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D9ABA" w14:textId="77777777" w:rsidR="001B6B86" w:rsidRPr="00A847B7" w:rsidRDefault="001B6B86" w:rsidP="00B36683">
      <w:pPr>
        <w:shd w:val="clear" w:color="auto" w:fill="374C80" w:themeFill="accent1" w:themeFillShade="BF"/>
        <w:jc w:val="center"/>
        <w:rPr>
          <w:b/>
          <w:color w:val="FFFFFF" w:themeColor="background1"/>
        </w:rPr>
      </w:pPr>
    </w:p>
    <w:p w14:paraId="49258499" w14:textId="77777777" w:rsidR="00FA283A" w:rsidRPr="00A847B7" w:rsidRDefault="00FA283A" w:rsidP="00B36683">
      <w:pPr>
        <w:shd w:val="clear" w:color="auto" w:fill="374C80" w:themeFill="accent1" w:themeFillShade="BF"/>
        <w:jc w:val="center"/>
        <w:rPr>
          <w:b/>
          <w:color w:val="FFFFFF" w:themeColor="background1"/>
        </w:rPr>
      </w:pPr>
    </w:p>
    <w:p w14:paraId="3F5CAFCF" w14:textId="77777777" w:rsidR="00FA283A" w:rsidRPr="00A847B7" w:rsidRDefault="00FA283A" w:rsidP="00B36683">
      <w:pPr>
        <w:shd w:val="clear" w:color="auto" w:fill="374C80" w:themeFill="accent1" w:themeFillShade="BF"/>
        <w:jc w:val="center"/>
        <w:rPr>
          <w:b/>
          <w:color w:val="FFFFFF" w:themeColor="background1"/>
        </w:rPr>
      </w:pPr>
    </w:p>
    <w:p w14:paraId="61D163F3" w14:textId="77777777" w:rsidR="00FA283A" w:rsidRPr="00A847B7" w:rsidRDefault="00FA283A" w:rsidP="00B36683">
      <w:pPr>
        <w:shd w:val="clear" w:color="auto" w:fill="374C80" w:themeFill="accent1" w:themeFillShade="BF"/>
        <w:jc w:val="center"/>
        <w:rPr>
          <w:b/>
          <w:color w:val="FFFFFF" w:themeColor="background1"/>
        </w:rPr>
      </w:pPr>
    </w:p>
    <w:p w14:paraId="4C764A20" w14:textId="17DF4280" w:rsidR="00521AAB" w:rsidRPr="00A847B7" w:rsidRDefault="00521AAB" w:rsidP="00521AAB">
      <w:pPr>
        <w:shd w:val="clear" w:color="auto" w:fill="374C80" w:themeFill="accent1" w:themeFillShade="BF"/>
        <w:jc w:val="center"/>
        <w:rPr>
          <w:b/>
          <w:color w:val="FFFFFF" w:themeColor="background1"/>
          <w:sz w:val="52"/>
          <w:szCs w:val="52"/>
        </w:rPr>
      </w:pPr>
      <w:r w:rsidRPr="00A847B7">
        <w:rPr>
          <w:b/>
          <w:color w:val="FFFFFF" w:themeColor="background1"/>
          <w:sz w:val="52"/>
          <w:szCs w:val="52"/>
        </w:rPr>
        <w:t>LOI DE FINANCES POUR 2021</w:t>
      </w:r>
    </w:p>
    <w:p w14:paraId="6B06E291" w14:textId="12D536E8" w:rsidR="00521AAB" w:rsidRPr="00A847B7" w:rsidRDefault="00521AAB" w:rsidP="00521AAB">
      <w:pPr>
        <w:shd w:val="clear" w:color="auto" w:fill="374C80" w:themeFill="accent1" w:themeFillShade="BF"/>
        <w:jc w:val="center"/>
        <w:rPr>
          <w:b/>
          <w:color w:val="FFFFFF" w:themeColor="background1"/>
          <w:sz w:val="52"/>
          <w:szCs w:val="52"/>
        </w:rPr>
      </w:pPr>
      <w:r w:rsidRPr="00A847B7">
        <w:rPr>
          <w:b/>
          <w:color w:val="FFFFFF" w:themeColor="background1"/>
          <w:sz w:val="52"/>
          <w:szCs w:val="52"/>
        </w:rPr>
        <w:t xml:space="preserve">LOI DE FINANCEMENT DE LA </w:t>
      </w:r>
      <w:r w:rsidR="000D086F" w:rsidRPr="00A847B7">
        <w:rPr>
          <w:b/>
          <w:caps/>
          <w:color w:val="FFFFFF" w:themeColor="background1"/>
          <w:sz w:val="52"/>
          <w:szCs w:val="52"/>
        </w:rPr>
        <w:t>sÉcuritÉ sociale pour 2021</w:t>
      </w:r>
    </w:p>
    <w:p w14:paraId="1038B549" w14:textId="77777777" w:rsidR="004F398D" w:rsidRPr="00A847B7" w:rsidRDefault="004F398D" w:rsidP="00B36683">
      <w:pPr>
        <w:shd w:val="clear" w:color="auto" w:fill="374C80" w:themeFill="accent1" w:themeFillShade="BF"/>
        <w:jc w:val="center"/>
        <w:rPr>
          <w:b/>
          <w:color w:val="FFFFFF" w:themeColor="background1"/>
          <w:sz w:val="52"/>
          <w:szCs w:val="52"/>
        </w:rPr>
      </w:pPr>
    </w:p>
    <w:p w14:paraId="223D2AB9" w14:textId="77777777" w:rsidR="001B6B86" w:rsidRPr="00A847B7" w:rsidRDefault="001B6B86" w:rsidP="00B36683">
      <w:pPr>
        <w:shd w:val="clear" w:color="auto" w:fill="374C80" w:themeFill="accent1" w:themeFillShade="BF"/>
        <w:jc w:val="center"/>
        <w:rPr>
          <w:b/>
          <w:color w:val="FFFFFF" w:themeColor="background1"/>
        </w:rPr>
      </w:pPr>
    </w:p>
    <w:p w14:paraId="1F9CCA30" w14:textId="77777777" w:rsidR="001B6B86" w:rsidRPr="00A847B7" w:rsidRDefault="001B6B86" w:rsidP="00B36683">
      <w:pPr>
        <w:shd w:val="clear" w:color="auto" w:fill="374C80" w:themeFill="accent1" w:themeFillShade="BF"/>
        <w:jc w:val="center"/>
        <w:rPr>
          <w:b/>
          <w:color w:val="FFFFFF" w:themeColor="background1"/>
        </w:rPr>
      </w:pPr>
    </w:p>
    <w:p w14:paraId="5D0548C9" w14:textId="77777777" w:rsidR="001B6B86" w:rsidRPr="00A847B7" w:rsidRDefault="001B6B86" w:rsidP="00B36683">
      <w:pPr>
        <w:shd w:val="clear" w:color="auto" w:fill="374C80" w:themeFill="accent1" w:themeFillShade="BF"/>
        <w:jc w:val="center"/>
        <w:rPr>
          <w:b/>
          <w:color w:val="FFFFFF" w:themeColor="background1"/>
        </w:rPr>
      </w:pPr>
    </w:p>
    <w:p w14:paraId="2EC62D73" w14:textId="77777777" w:rsidR="001B6B86" w:rsidRPr="00A847B7" w:rsidRDefault="001B6B86" w:rsidP="00B36683">
      <w:pPr>
        <w:shd w:val="clear" w:color="auto" w:fill="374C80" w:themeFill="accent1" w:themeFillShade="BF"/>
        <w:jc w:val="center"/>
        <w:rPr>
          <w:b/>
          <w:color w:val="FFFFFF" w:themeColor="background1"/>
          <w:sz w:val="52"/>
          <w:szCs w:val="52"/>
        </w:rPr>
      </w:pPr>
      <w:r w:rsidRPr="00A847B7">
        <w:rPr>
          <w:b/>
          <w:color w:val="FFFFFF" w:themeColor="background1"/>
          <w:sz w:val="52"/>
          <w:szCs w:val="52"/>
        </w:rPr>
        <w:t>SUPPORT D’ANIMATION</w:t>
      </w:r>
    </w:p>
    <w:p w14:paraId="03CA53DF" w14:textId="77777777" w:rsidR="00183DA0" w:rsidRPr="00A847B7" w:rsidRDefault="00183DA0" w:rsidP="00B36683">
      <w:pPr>
        <w:shd w:val="clear" w:color="auto" w:fill="374C80" w:themeFill="accent1" w:themeFillShade="BF"/>
        <w:jc w:val="center"/>
        <w:rPr>
          <w:b/>
          <w:color w:val="FFFFFF" w:themeColor="background1"/>
          <w:sz w:val="52"/>
          <w:szCs w:val="52"/>
        </w:rPr>
      </w:pPr>
    </w:p>
    <w:p w14:paraId="2763C182" w14:textId="77777777" w:rsidR="00A8095A" w:rsidRPr="00A847B7" w:rsidRDefault="00A8095A" w:rsidP="00A8095A">
      <w:r w:rsidRPr="00A847B7">
        <w:t xml:space="preserve">Sources : </w:t>
      </w:r>
    </w:p>
    <w:p w14:paraId="4EC6C6B3" w14:textId="4782AE85" w:rsidR="00A8095A" w:rsidRPr="00A847B7" w:rsidRDefault="0099471D" w:rsidP="00EE0687">
      <w:pPr>
        <w:pStyle w:val="Paragraphedeliste"/>
        <w:numPr>
          <w:ilvl w:val="0"/>
          <w:numId w:val="311"/>
        </w:numPr>
      </w:pPr>
      <w:r>
        <w:t>Loi de Finances pour 2021 du 29 décembre 2020, n°</w:t>
      </w:r>
      <w:r w:rsidR="004F3749">
        <w:t>2020-1721</w:t>
      </w:r>
    </w:p>
    <w:p w14:paraId="45B9FE8A" w14:textId="07A8E605" w:rsidR="00A8095A" w:rsidRPr="00A847B7" w:rsidRDefault="00825B61" w:rsidP="00EE0687">
      <w:pPr>
        <w:pStyle w:val="Paragraphedeliste"/>
        <w:numPr>
          <w:ilvl w:val="0"/>
          <w:numId w:val="311"/>
        </w:numPr>
      </w:pPr>
      <w:r>
        <w:t>Loi</w:t>
      </w:r>
      <w:r w:rsidRPr="00825B61">
        <w:t xml:space="preserve"> de </w:t>
      </w:r>
      <w:r w:rsidR="004B534F">
        <w:t>F</w:t>
      </w:r>
      <w:r w:rsidRPr="00825B61">
        <w:t>inancement de la sécurité sociale pour 2021 du 14 décembre 2020</w:t>
      </w:r>
      <w:r>
        <w:t>, n°</w:t>
      </w:r>
      <w:r w:rsidRPr="00825B61">
        <w:t xml:space="preserve">2020-1576  </w:t>
      </w:r>
    </w:p>
    <w:p w14:paraId="0400433E" w14:textId="477E5862" w:rsidR="00B36683" w:rsidRPr="00A847B7" w:rsidRDefault="00B36683">
      <w:r w:rsidRPr="00A847B7">
        <w:tab/>
      </w:r>
      <w:r w:rsidRPr="00A847B7">
        <w:tab/>
      </w:r>
      <w:r w:rsidRPr="00A847B7">
        <w:tab/>
      </w:r>
      <w:r w:rsidRPr="00A847B7">
        <w:tab/>
      </w:r>
      <w:r w:rsidRPr="00A847B7">
        <w:tab/>
      </w:r>
      <w:r w:rsidRPr="00A847B7">
        <w:tab/>
      </w:r>
      <w:r w:rsidRPr="00A847B7">
        <w:tab/>
      </w:r>
      <w:r w:rsidRPr="00A847B7">
        <w:tab/>
      </w:r>
      <w:r w:rsidRPr="00A847B7">
        <w:tab/>
      </w:r>
      <w:r w:rsidRPr="00A847B7">
        <w:rPr>
          <w:color w:val="002060"/>
        </w:rPr>
        <w:t xml:space="preserve">WebLex – </w:t>
      </w:r>
      <w:r w:rsidR="00511220">
        <w:rPr>
          <w:color w:val="002060"/>
        </w:rPr>
        <w:t>06 janvier 2021</w:t>
      </w:r>
    </w:p>
    <w:p w14:paraId="192061F7" w14:textId="562E5E56" w:rsidR="00837EDF" w:rsidRPr="00A847B7" w:rsidRDefault="00837EDF"/>
    <w:p w14:paraId="66524D16" w14:textId="4DE7EDEC" w:rsidR="001148C9" w:rsidRPr="00A847B7" w:rsidRDefault="00837EDF" w:rsidP="003F0F8E">
      <w:r w:rsidRPr="00A847B7">
        <w:br w:type="page"/>
      </w:r>
    </w:p>
    <w:p w14:paraId="7E6422F3" w14:textId="77777777" w:rsidR="00162CCC" w:rsidRPr="00A847B7" w:rsidRDefault="00162CCC"/>
    <w:sdt>
      <w:sdtPr>
        <w:rPr>
          <w:b w:val="0"/>
          <w:color w:val="auto"/>
          <w:sz w:val="20"/>
          <w:szCs w:val="20"/>
        </w:rPr>
        <w:id w:val="-1765759823"/>
        <w:docPartObj>
          <w:docPartGallery w:val="Table of Contents"/>
          <w:docPartUnique/>
        </w:docPartObj>
      </w:sdtPr>
      <w:sdtEndPr>
        <w:rPr>
          <w:bCs/>
        </w:rPr>
      </w:sdtEndPr>
      <w:sdtContent>
        <w:p w14:paraId="20AECCE5" w14:textId="3AC0C613" w:rsidR="008066C8" w:rsidRPr="00A847B7" w:rsidRDefault="003F0F8E">
          <w:pPr>
            <w:pStyle w:val="En-ttedetabledesmatires"/>
          </w:pPr>
          <w:r w:rsidRPr="00A847B7">
            <w:t>Sommaire</w:t>
          </w:r>
        </w:p>
        <w:p w14:paraId="31CF6820" w14:textId="03FC8087" w:rsidR="00420382" w:rsidRDefault="008066C8">
          <w:pPr>
            <w:pStyle w:val="TM1"/>
            <w:tabs>
              <w:tab w:val="right" w:leader="dot" w:pos="9062"/>
            </w:tabs>
            <w:rPr>
              <w:noProof/>
              <w:sz w:val="22"/>
              <w:szCs w:val="22"/>
              <w:lang w:eastAsia="fr-FR"/>
            </w:rPr>
          </w:pPr>
          <w:r w:rsidRPr="00A847B7">
            <w:fldChar w:fldCharType="begin"/>
          </w:r>
          <w:r w:rsidRPr="00A847B7">
            <w:instrText xml:space="preserve"> TOC \o "1-3" \h \z \u </w:instrText>
          </w:r>
          <w:r w:rsidRPr="00A847B7">
            <w:fldChar w:fldCharType="separate"/>
          </w:r>
          <w:hyperlink w:anchor="_Toc60780947" w:history="1">
            <w:r w:rsidR="00420382" w:rsidRPr="00AE5D3E">
              <w:rPr>
                <w:rStyle w:val="Lienhypertexte"/>
                <w:caps/>
                <w:noProof/>
              </w:rPr>
              <w:t>Dispositions applicables aux particuliers</w:t>
            </w:r>
            <w:r w:rsidR="00420382">
              <w:rPr>
                <w:noProof/>
                <w:webHidden/>
              </w:rPr>
              <w:tab/>
            </w:r>
            <w:r w:rsidR="00420382">
              <w:rPr>
                <w:noProof/>
                <w:webHidden/>
              </w:rPr>
              <w:fldChar w:fldCharType="begin"/>
            </w:r>
            <w:r w:rsidR="00420382">
              <w:rPr>
                <w:noProof/>
                <w:webHidden/>
              </w:rPr>
              <w:instrText xml:space="preserve"> PAGEREF _Toc60780947 \h </w:instrText>
            </w:r>
            <w:r w:rsidR="00420382">
              <w:rPr>
                <w:noProof/>
                <w:webHidden/>
              </w:rPr>
            </w:r>
            <w:r w:rsidR="00420382">
              <w:rPr>
                <w:noProof/>
                <w:webHidden/>
              </w:rPr>
              <w:fldChar w:fldCharType="separate"/>
            </w:r>
            <w:r w:rsidR="00420382">
              <w:rPr>
                <w:noProof/>
                <w:webHidden/>
              </w:rPr>
              <w:t>7</w:t>
            </w:r>
            <w:r w:rsidR="00420382">
              <w:rPr>
                <w:noProof/>
                <w:webHidden/>
              </w:rPr>
              <w:fldChar w:fldCharType="end"/>
            </w:r>
          </w:hyperlink>
        </w:p>
        <w:p w14:paraId="7CDA5C61" w14:textId="3C712437" w:rsidR="00420382" w:rsidRDefault="000B31AD">
          <w:pPr>
            <w:pStyle w:val="TM2"/>
            <w:tabs>
              <w:tab w:val="right" w:leader="dot" w:pos="9062"/>
            </w:tabs>
            <w:rPr>
              <w:noProof/>
              <w:sz w:val="22"/>
              <w:szCs w:val="22"/>
              <w:lang w:eastAsia="fr-FR"/>
            </w:rPr>
          </w:pPr>
          <w:hyperlink w:anchor="_Toc60780948" w:history="1">
            <w:r w:rsidR="00420382" w:rsidRPr="00AE5D3E">
              <w:rPr>
                <w:rStyle w:val="Lienhypertexte"/>
                <w:noProof/>
              </w:rPr>
              <w:t>Modalités de calcul de l’impôt sur le revenu</w:t>
            </w:r>
            <w:r w:rsidR="00420382">
              <w:rPr>
                <w:noProof/>
                <w:webHidden/>
              </w:rPr>
              <w:tab/>
            </w:r>
            <w:r w:rsidR="00420382">
              <w:rPr>
                <w:noProof/>
                <w:webHidden/>
              </w:rPr>
              <w:fldChar w:fldCharType="begin"/>
            </w:r>
            <w:r w:rsidR="00420382">
              <w:rPr>
                <w:noProof/>
                <w:webHidden/>
              </w:rPr>
              <w:instrText xml:space="preserve"> PAGEREF _Toc60780948 \h </w:instrText>
            </w:r>
            <w:r w:rsidR="00420382">
              <w:rPr>
                <w:noProof/>
                <w:webHidden/>
              </w:rPr>
            </w:r>
            <w:r w:rsidR="00420382">
              <w:rPr>
                <w:noProof/>
                <w:webHidden/>
              </w:rPr>
              <w:fldChar w:fldCharType="separate"/>
            </w:r>
            <w:r w:rsidR="00420382">
              <w:rPr>
                <w:noProof/>
                <w:webHidden/>
              </w:rPr>
              <w:t>8</w:t>
            </w:r>
            <w:r w:rsidR="00420382">
              <w:rPr>
                <w:noProof/>
                <w:webHidden/>
              </w:rPr>
              <w:fldChar w:fldCharType="end"/>
            </w:r>
          </w:hyperlink>
        </w:p>
        <w:p w14:paraId="6016DD63" w14:textId="137DF53D" w:rsidR="00420382" w:rsidRDefault="000B31AD">
          <w:pPr>
            <w:pStyle w:val="TM3"/>
            <w:tabs>
              <w:tab w:val="right" w:leader="dot" w:pos="9062"/>
            </w:tabs>
            <w:rPr>
              <w:noProof/>
            </w:rPr>
          </w:pPr>
          <w:hyperlink w:anchor="_Toc60780949" w:history="1">
            <w:r w:rsidR="00420382" w:rsidRPr="00AE5D3E">
              <w:rPr>
                <w:rStyle w:val="Lienhypertexte"/>
                <w:noProof/>
              </w:rPr>
              <w:t>Slide 3 : Barème de l’impôt sur le revenu</w:t>
            </w:r>
            <w:r w:rsidR="00420382">
              <w:rPr>
                <w:noProof/>
                <w:webHidden/>
              </w:rPr>
              <w:tab/>
            </w:r>
            <w:r w:rsidR="00420382">
              <w:rPr>
                <w:noProof/>
                <w:webHidden/>
              </w:rPr>
              <w:fldChar w:fldCharType="begin"/>
            </w:r>
            <w:r w:rsidR="00420382">
              <w:rPr>
                <w:noProof/>
                <w:webHidden/>
              </w:rPr>
              <w:instrText xml:space="preserve"> PAGEREF _Toc60780949 \h </w:instrText>
            </w:r>
            <w:r w:rsidR="00420382">
              <w:rPr>
                <w:noProof/>
                <w:webHidden/>
              </w:rPr>
            </w:r>
            <w:r w:rsidR="00420382">
              <w:rPr>
                <w:noProof/>
                <w:webHidden/>
              </w:rPr>
              <w:fldChar w:fldCharType="separate"/>
            </w:r>
            <w:r w:rsidR="00420382">
              <w:rPr>
                <w:noProof/>
                <w:webHidden/>
              </w:rPr>
              <w:t>8</w:t>
            </w:r>
            <w:r w:rsidR="00420382">
              <w:rPr>
                <w:noProof/>
                <w:webHidden/>
              </w:rPr>
              <w:fldChar w:fldCharType="end"/>
            </w:r>
          </w:hyperlink>
        </w:p>
        <w:p w14:paraId="68380B62" w14:textId="7EB2A993" w:rsidR="00420382" w:rsidRDefault="000B31AD">
          <w:pPr>
            <w:pStyle w:val="TM3"/>
            <w:tabs>
              <w:tab w:val="right" w:leader="dot" w:pos="9062"/>
            </w:tabs>
            <w:rPr>
              <w:noProof/>
            </w:rPr>
          </w:pPr>
          <w:hyperlink w:anchor="_Toc60780950" w:history="1">
            <w:r w:rsidR="00420382" w:rsidRPr="00AE5D3E">
              <w:rPr>
                <w:rStyle w:val="Lienhypertexte"/>
                <w:noProof/>
              </w:rPr>
              <w:t>Slide 4 : Plafonnement des effets du quotient familial</w:t>
            </w:r>
            <w:r w:rsidR="00420382">
              <w:rPr>
                <w:noProof/>
                <w:webHidden/>
              </w:rPr>
              <w:tab/>
            </w:r>
            <w:r w:rsidR="00420382">
              <w:rPr>
                <w:noProof/>
                <w:webHidden/>
              </w:rPr>
              <w:fldChar w:fldCharType="begin"/>
            </w:r>
            <w:r w:rsidR="00420382">
              <w:rPr>
                <w:noProof/>
                <w:webHidden/>
              </w:rPr>
              <w:instrText xml:space="preserve"> PAGEREF _Toc60780950 \h </w:instrText>
            </w:r>
            <w:r w:rsidR="00420382">
              <w:rPr>
                <w:noProof/>
                <w:webHidden/>
              </w:rPr>
            </w:r>
            <w:r w:rsidR="00420382">
              <w:rPr>
                <w:noProof/>
                <w:webHidden/>
              </w:rPr>
              <w:fldChar w:fldCharType="separate"/>
            </w:r>
            <w:r w:rsidR="00420382">
              <w:rPr>
                <w:noProof/>
                <w:webHidden/>
              </w:rPr>
              <w:t>8</w:t>
            </w:r>
            <w:r w:rsidR="00420382">
              <w:rPr>
                <w:noProof/>
                <w:webHidden/>
              </w:rPr>
              <w:fldChar w:fldCharType="end"/>
            </w:r>
          </w:hyperlink>
        </w:p>
        <w:p w14:paraId="4919A86F" w14:textId="30FFE742" w:rsidR="00420382" w:rsidRDefault="000B31AD">
          <w:pPr>
            <w:pStyle w:val="TM3"/>
            <w:tabs>
              <w:tab w:val="right" w:leader="dot" w:pos="9062"/>
            </w:tabs>
            <w:rPr>
              <w:noProof/>
            </w:rPr>
          </w:pPr>
          <w:hyperlink w:anchor="_Toc60780951" w:history="1">
            <w:r w:rsidR="00420382" w:rsidRPr="00AE5D3E">
              <w:rPr>
                <w:rStyle w:val="Lienhypertexte"/>
                <w:noProof/>
              </w:rPr>
              <w:t>Slide 5 : Avantages liés aux enfants majeurs</w:t>
            </w:r>
            <w:r w:rsidR="00420382">
              <w:rPr>
                <w:noProof/>
                <w:webHidden/>
              </w:rPr>
              <w:tab/>
            </w:r>
            <w:r w:rsidR="00420382">
              <w:rPr>
                <w:noProof/>
                <w:webHidden/>
              </w:rPr>
              <w:fldChar w:fldCharType="begin"/>
            </w:r>
            <w:r w:rsidR="00420382">
              <w:rPr>
                <w:noProof/>
                <w:webHidden/>
              </w:rPr>
              <w:instrText xml:space="preserve"> PAGEREF _Toc60780951 \h </w:instrText>
            </w:r>
            <w:r w:rsidR="00420382">
              <w:rPr>
                <w:noProof/>
                <w:webHidden/>
              </w:rPr>
            </w:r>
            <w:r w:rsidR="00420382">
              <w:rPr>
                <w:noProof/>
                <w:webHidden/>
              </w:rPr>
              <w:fldChar w:fldCharType="separate"/>
            </w:r>
            <w:r w:rsidR="00420382">
              <w:rPr>
                <w:noProof/>
                <w:webHidden/>
              </w:rPr>
              <w:t>9</w:t>
            </w:r>
            <w:r w:rsidR="00420382">
              <w:rPr>
                <w:noProof/>
                <w:webHidden/>
              </w:rPr>
              <w:fldChar w:fldCharType="end"/>
            </w:r>
          </w:hyperlink>
        </w:p>
        <w:p w14:paraId="785F917F" w14:textId="7B0FC16F" w:rsidR="00420382" w:rsidRDefault="000B31AD">
          <w:pPr>
            <w:pStyle w:val="TM3"/>
            <w:tabs>
              <w:tab w:val="right" w:leader="dot" w:pos="9062"/>
            </w:tabs>
            <w:rPr>
              <w:noProof/>
            </w:rPr>
          </w:pPr>
          <w:hyperlink w:anchor="_Toc60780952" w:history="1">
            <w:r w:rsidR="00420382" w:rsidRPr="00AE5D3E">
              <w:rPr>
                <w:rStyle w:val="Lienhypertexte"/>
                <w:noProof/>
              </w:rPr>
              <w:t>Slide 6 : Décote</w:t>
            </w:r>
            <w:r w:rsidR="00420382">
              <w:rPr>
                <w:noProof/>
                <w:webHidden/>
              </w:rPr>
              <w:tab/>
            </w:r>
            <w:r w:rsidR="00420382">
              <w:rPr>
                <w:noProof/>
                <w:webHidden/>
              </w:rPr>
              <w:fldChar w:fldCharType="begin"/>
            </w:r>
            <w:r w:rsidR="00420382">
              <w:rPr>
                <w:noProof/>
                <w:webHidden/>
              </w:rPr>
              <w:instrText xml:space="preserve"> PAGEREF _Toc60780952 \h </w:instrText>
            </w:r>
            <w:r w:rsidR="00420382">
              <w:rPr>
                <w:noProof/>
                <w:webHidden/>
              </w:rPr>
            </w:r>
            <w:r w:rsidR="00420382">
              <w:rPr>
                <w:noProof/>
                <w:webHidden/>
              </w:rPr>
              <w:fldChar w:fldCharType="separate"/>
            </w:r>
            <w:r w:rsidR="00420382">
              <w:rPr>
                <w:noProof/>
                <w:webHidden/>
              </w:rPr>
              <w:t>10</w:t>
            </w:r>
            <w:r w:rsidR="00420382">
              <w:rPr>
                <w:noProof/>
                <w:webHidden/>
              </w:rPr>
              <w:fldChar w:fldCharType="end"/>
            </w:r>
          </w:hyperlink>
        </w:p>
        <w:p w14:paraId="055DB9EA" w14:textId="1C616BCD" w:rsidR="00420382" w:rsidRDefault="000B31AD">
          <w:pPr>
            <w:pStyle w:val="TM3"/>
            <w:tabs>
              <w:tab w:val="right" w:leader="dot" w:pos="9062"/>
            </w:tabs>
            <w:rPr>
              <w:noProof/>
            </w:rPr>
          </w:pPr>
          <w:hyperlink w:anchor="_Toc60780953" w:history="1">
            <w:r w:rsidR="00420382" w:rsidRPr="00AE5D3E">
              <w:rPr>
                <w:rStyle w:val="Lienhypertexte"/>
                <w:noProof/>
              </w:rPr>
              <w:t>Slide 7 : Mesures fiscales diverses</w:t>
            </w:r>
            <w:r w:rsidR="00420382">
              <w:rPr>
                <w:noProof/>
                <w:webHidden/>
              </w:rPr>
              <w:tab/>
            </w:r>
            <w:r w:rsidR="00420382">
              <w:rPr>
                <w:noProof/>
                <w:webHidden/>
              </w:rPr>
              <w:fldChar w:fldCharType="begin"/>
            </w:r>
            <w:r w:rsidR="00420382">
              <w:rPr>
                <w:noProof/>
                <w:webHidden/>
              </w:rPr>
              <w:instrText xml:space="preserve"> PAGEREF _Toc60780953 \h </w:instrText>
            </w:r>
            <w:r w:rsidR="00420382">
              <w:rPr>
                <w:noProof/>
                <w:webHidden/>
              </w:rPr>
            </w:r>
            <w:r w:rsidR="00420382">
              <w:rPr>
                <w:noProof/>
                <w:webHidden/>
              </w:rPr>
              <w:fldChar w:fldCharType="separate"/>
            </w:r>
            <w:r w:rsidR="00420382">
              <w:rPr>
                <w:noProof/>
                <w:webHidden/>
              </w:rPr>
              <w:t>10</w:t>
            </w:r>
            <w:r w:rsidR="00420382">
              <w:rPr>
                <w:noProof/>
                <w:webHidden/>
              </w:rPr>
              <w:fldChar w:fldCharType="end"/>
            </w:r>
          </w:hyperlink>
        </w:p>
        <w:p w14:paraId="77B1F463" w14:textId="1D11AE94" w:rsidR="00420382" w:rsidRDefault="000B31AD">
          <w:pPr>
            <w:pStyle w:val="TM2"/>
            <w:tabs>
              <w:tab w:val="right" w:leader="dot" w:pos="9062"/>
            </w:tabs>
            <w:rPr>
              <w:noProof/>
              <w:sz w:val="22"/>
              <w:szCs w:val="22"/>
              <w:lang w:eastAsia="fr-FR"/>
            </w:rPr>
          </w:pPr>
          <w:hyperlink w:anchor="_Toc60780954" w:history="1">
            <w:r w:rsidR="00420382" w:rsidRPr="00AE5D3E">
              <w:rPr>
                <w:rStyle w:val="Lienhypertexte"/>
                <w:rFonts w:cstheme="minorHAnsi"/>
                <w:noProof/>
              </w:rPr>
              <w:t>Les nouveautés 2021 applicables au prélèvement à la source</w:t>
            </w:r>
            <w:r w:rsidR="00420382">
              <w:rPr>
                <w:noProof/>
                <w:webHidden/>
              </w:rPr>
              <w:tab/>
            </w:r>
            <w:r w:rsidR="00420382">
              <w:rPr>
                <w:noProof/>
                <w:webHidden/>
              </w:rPr>
              <w:fldChar w:fldCharType="begin"/>
            </w:r>
            <w:r w:rsidR="00420382">
              <w:rPr>
                <w:noProof/>
                <w:webHidden/>
              </w:rPr>
              <w:instrText xml:space="preserve"> PAGEREF _Toc60780954 \h </w:instrText>
            </w:r>
            <w:r w:rsidR="00420382">
              <w:rPr>
                <w:noProof/>
                <w:webHidden/>
              </w:rPr>
            </w:r>
            <w:r w:rsidR="00420382">
              <w:rPr>
                <w:noProof/>
                <w:webHidden/>
              </w:rPr>
              <w:fldChar w:fldCharType="separate"/>
            </w:r>
            <w:r w:rsidR="00420382">
              <w:rPr>
                <w:noProof/>
                <w:webHidden/>
              </w:rPr>
              <w:t>13</w:t>
            </w:r>
            <w:r w:rsidR="00420382">
              <w:rPr>
                <w:noProof/>
                <w:webHidden/>
              </w:rPr>
              <w:fldChar w:fldCharType="end"/>
            </w:r>
          </w:hyperlink>
        </w:p>
        <w:p w14:paraId="00F96484" w14:textId="7AD27B9E" w:rsidR="00420382" w:rsidRDefault="000B31AD">
          <w:pPr>
            <w:pStyle w:val="TM3"/>
            <w:tabs>
              <w:tab w:val="right" w:leader="dot" w:pos="9062"/>
            </w:tabs>
            <w:rPr>
              <w:noProof/>
            </w:rPr>
          </w:pPr>
          <w:hyperlink w:anchor="_Toc60780955" w:history="1">
            <w:r w:rsidR="00420382" w:rsidRPr="00AE5D3E">
              <w:rPr>
                <w:rStyle w:val="Lienhypertexte"/>
                <w:noProof/>
              </w:rPr>
              <w:t>Slide 8 : Taux du prélèvement à la source</w:t>
            </w:r>
            <w:r w:rsidR="00420382">
              <w:rPr>
                <w:noProof/>
                <w:webHidden/>
              </w:rPr>
              <w:tab/>
            </w:r>
            <w:r w:rsidR="00420382">
              <w:rPr>
                <w:noProof/>
                <w:webHidden/>
              </w:rPr>
              <w:fldChar w:fldCharType="begin"/>
            </w:r>
            <w:r w:rsidR="00420382">
              <w:rPr>
                <w:noProof/>
                <w:webHidden/>
              </w:rPr>
              <w:instrText xml:space="preserve"> PAGEREF _Toc60780955 \h </w:instrText>
            </w:r>
            <w:r w:rsidR="00420382">
              <w:rPr>
                <w:noProof/>
                <w:webHidden/>
              </w:rPr>
            </w:r>
            <w:r w:rsidR="00420382">
              <w:rPr>
                <w:noProof/>
                <w:webHidden/>
              </w:rPr>
              <w:fldChar w:fldCharType="separate"/>
            </w:r>
            <w:r w:rsidR="00420382">
              <w:rPr>
                <w:noProof/>
                <w:webHidden/>
              </w:rPr>
              <w:t>13</w:t>
            </w:r>
            <w:r w:rsidR="00420382">
              <w:rPr>
                <w:noProof/>
                <w:webHidden/>
              </w:rPr>
              <w:fldChar w:fldCharType="end"/>
            </w:r>
          </w:hyperlink>
        </w:p>
        <w:p w14:paraId="7A91DAD1" w14:textId="5E470E7C" w:rsidR="00420382" w:rsidRDefault="000B31AD">
          <w:pPr>
            <w:pStyle w:val="TM2"/>
            <w:tabs>
              <w:tab w:val="right" w:leader="dot" w:pos="9062"/>
            </w:tabs>
            <w:rPr>
              <w:noProof/>
              <w:sz w:val="22"/>
              <w:szCs w:val="22"/>
              <w:lang w:eastAsia="fr-FR"/>
            </w:rPr>
          </w:pPr>
          <w:hyperlink w:anchor="_Toc60780956" w:history="1">
            <w:r w:rsidR="00420382" w:rsidRPr="00AE5D3E">
              <w:rPr>
                <w:rStyle w:val="Lienhypertexte"/>
                <w:noProof/>
              </w:rPr>
              <w:t>Réductions et crédits d’impôt sur le revenu</w:t>
            </w:r>
            <w:r w:rsidR="00420382">
              <w:rPr>
                <w:noProof/>
                <w:webHidden/>
              </w:rPr>
              <w:tab/>
            </w:r>
            <w:r w:rsidR="00420382">
              <w:rPr>
                <w:noProof/>
                <w:webHidden/>
              </w:rPr>
              <w:fldChar w:fldCharType="begin"/>
            </w:r>
            <w:r w:rsidR="00420382">
              <w:rPr>
                <w:noProof/>
                <w:webHidden/>
              </w:rPr>
              <w:instrText xml:space="preserve"> PAGEREF _Toc60780956 \h </w:instrText>
            </w:r>
            <w:r w:rsidR="00420382">
              <w:rPr>
                <w:noProof/>
                <w:webHidden/>
              </w:rPr>
            </w:r>
            <w:r w:rsidR="00420382">
              <w:rPr>
                <w:noProof/>
                <w:webHidden/>
              </w:rPr>
              <w:fldChar w:fldCharType="separate"/>
            </w:r>
            <w:r w:rsidR="00420382">
              <w:rPr>
                <w:noProof/>
                <w:webHidden/>
              </w:rPr>
              <w:t>16</w:t>
            </w:r>
            <w:r w:rsidR="00420382">
              <w:rPr>
                <w:noProof/>
                <w:webHidden/>
              </w:rPr>
              <w:fldChar w:fldCharType="end"/>
            </w:r>
          </w:hyperlink>
        </w:p>
        <w:p w14:paraId="48846CFA" w14:textId="45846612" w:rsidR="00420382" w:rsidRDefault="000B31AD">
          <w:pPr>
            <w:pStyle w:val="TM3"/>
            <w:tabs>
              <w:tab w:val="right" w:leader="dot" w:pos="9062"/>
            </w:tabs>
            <w:rPr>
              <w:noProof/>
            </w:rPr>
          </w:pPr>
          <w:hyperlink w:anchor="_Toc60780957" w:history="1">
            <w:r w:rsidR="00420382" w:rsidRPr="00AE5D3E">
              <w:rPr>
                <w:rStyle w:val="Lienhypertexte"/>
                <w:noProof/>
              </w:rPr>
              <w:t>Slide 9 : Acquisition et pose de système de charge pour véhicule électrique</w:t>
            </w:r>
            <w:r w:rsidR="00420382">
              <w:rPr>
                <w:noProof/>
                <w:webHidden/>
              </w:rPr>
              <w:tab/>
            </w:r>
            <w:r w:rsidR="00420382">
              <w:rPr>
                <w:noProof/>
                <w:webHidden/>
              </w:rPr>
              <w:fldChar w:fldCharType="begin"/>
            </w:r>
            <w:r w:rsidR="00420382">
              <w:rPr>
                <w:noProof/>
                <w:webHidden/>
              </w:rPr>
              <w:instrText xml:space="preserve"> PAGEREF _Toc60780957 \h </w:instrText>
            </w:r>
            <w:r w:rsidR="00420382">
              <w:rPr>
                <w:noProof/>
                <w:webHidden/>
              </w:rPr>
            </w:r>
            <w:r w:rsidR="00420382">
              <w:rPr>
                <w:noProof/>
                <w:webHidden/>
              </w:rPr>
              <w:fldChar w:fldCharType="separate"/>
            </w:r>
            <w:r w:rsidR="00420382">
              <w:rPr>
                <w:noProof/>
                <w:webHidden/>
              </w:rPr>
              <w:t>16</w:t>
            </w:r>
            <w:r w:rsidR="00420382">
              <w:rPr>
                <w:noProof/>
                <w:webHidden/>
              </w:rPr>
              <w:fldChar w:fldCharType="end"/>
            </w:r>
          </w:hyperlink>
        </w:p>
        <w:p w14:paraId="1B558B2A" w14:textId="61521402" w:rsidR="00420382" w:rsidRDefault="000B31AD">
          <w:pPr>
            <w:pStyle w:val="TM3"/>
            <w:tabs>
              <w:tab w:val="right" w:leader="dot" w:pos="9062"/>
            </w:tabs>
            <w:rPr>
              <w:noProof/>
            </w:rPr>
          </w:pPr>
          <w:hyperlink w:anchor="_Toc60780958" w:history="1">
            <w:r w:rsidR="00420382" w:rsidRPr="00AE5D3E">
              <w:rPr>
                <w:rStyle w:val="Lienhypertexte"/>
                <w:noProof/>
              </w:rPr>
              <w:t>Slide 10 : Souscription au capital de PME (réduction Madelin)</w:t>
            </w:r>
            <w:r w:rsidR="00420382">
              <w:rPr>
                <w:noProof/>
                <w:webHidden/>
              </w:rPr>
              <w:tab/>
            </w:r>
            <w:r w:rsidR="00420382">
              <w:rPr>
                <w:noProof/>
                <w:webHidden/>
              </w:rPr>
              <w:fldChar w:fldCharType="begin"/>
            </w:r>
            <w:r w:rsidR="00420382">
              <w:rPr>
                <w:noProof/>
                <w:webHidden/>
              </w:rPr>
              <w:instrText xml:space="preserve"> PAGEREF _Toc60780958 \h </w:instrText>
            </w:r>
            <w:r w:rsidR="00420382">
              <w:rPr>
                <w:noProof/>
                <w:webHidden/>
              </w:rPr>
            </w:r>
            <w:r w:rsidR="00420382">
              <w:rPr>
                <w:noProof/>
                <w:webHidden/>
              </w:rPr>
              <w:fldChar w:fldCharType="separate"/>
            </w:r>
            <w:r w:rsidR="00420382">
              <w:rPr>
                <w:noProof/>
                <w:webHidden/>
              </w:rPr>
              <w:t>17</w:t>
            </w:r>
            <w:r w:rsidR="00420382">
              <w:rPr>
                <w:noProof/>
                <w:webHidden/>
              </w:rPr>
              <w:fldChar w:fldCharType="end"/>
            </w:r>
          </w:hyperlink>
        </w:p>
        <w:p w14:paraId="3BC883A7" w14:textId="44A761C5" w:rsidR="00420382" w:rsidRDefault="000B31AD">
          <w:pPr>
            <w:pStyle w:val="TM3"/>
            <w:tabs>
              <w:tab w:val="right" w:leader="dot" w:pos="9062"/>
            </w:tabs>
            <w:rPr>
              <w:noProof/>
            </w:rPr>
          </w:pPr>
          <w:hyperlink w:anchor="_Toc60780959" w:history="1">
            <w:r w:rsidR="00420382" w:rsidRPr="00AE5D3E">
              <w:rPr>
                <w:rStyle w:val="Lienhypertexte"/>
                <w:noProof/>
              </w:rPr>
              <w:t>Slide 11 : Souscription au capital d’une “ société foncière solidaire”</w:t>
            </w:r>
            <w:r w:rsidR="00420382">
              <w:rPr>
                <w:noProof/>
                <w:webHidden/>
              </w:rPr>
              <w:tab/>
            </w:r>
            <w:r w:rsidR="00420382">
              <w:rPr>
                <w:noProof/>
                <w:webHidden/>
              </w:rPr>
              <w:fldChar w:fldCharType="begin"/>
            </w:r>
            <w:r w:rsidR="00420382">
              <w:rPr>
                <w:noProof/>
                <w:webHidden/>
              </w:rPr>
              <w:instrText xml:space="preserve"> PAGEREF _Toc60780959 \h </w:instrText>
            </w:r>
            <w:r w:rsidR="00420382">
              <w:rPr>
                <w:noProof/>
                <w:webHidden/>
              </w:rPr>
            </w:r>
            <w:r w:rsidR="00420382">
              <w:rPr>
                <w:noProof/>
                <w:webHidden/>
              </w:rPr>
              <w:fldChar w:fldCharType="separate"/>
            </w:r>
            <w:r w:rsidR="00420382">
              <w:rPr>
                <w:noProof/>
                <w:webHidden/>
              </w:rPr>
              <w:t>18</w:t>
            </w:r>
            <w:r w:rsidR="00420382">
              <w:rPr>
                <w:noProof/>
                <w:webHidden/>
              </w:rPr>
              <w:fldChar w:fldCharType="end"/>
            </w:r>
          </w:hyperlink>
        </w:p>
        <w:p w14:paraId="166F7CC1" w14:textId="5C35CF22" w:rsidR="00420382" w:rsidRDefault="000B31AD">
          <w:pPr>
            <w:pStyle w:val="TM3"/>
            <w:tabs>
              <w:tab w:val="right" w:leader="dot" w:pos="9062"/>
            </w:tabs>
            <w:rPr>
              <w:noProof/>
            </w:rPr>
          </w:pPr>
          <w:hyperlink w:anchor="_Toc60780960" w:history="1">
            <w:r w:rsidR="00420382" w:rsidRPr="00AE5D3E">
              <w:rPr>
                <w:rStyle w:val="Lienhypertexte"/>
                <w:noProof/>
              </w:rPr>
              <w:t>Slide 12 : Souscription au capital d’entreprises de presse</w:t>
            </w:r>
            <w:r w:rsidR="00420382">
              <w:rPr>
                <w:noProof/>
                <w:webHidden/>
              </w:rPr>
              <w:tab/>
            </w:r>
            <w:r w:rsidR="00420382">
              <w:rPr>
                <w:noProof/>
                <w:webHidden/>
              </w:rPr>
              <w:fldChar w:fldCharType="begin"/>
            </w:r>
            <w:r w:rsidR="00420382">
              <w:rPr>
                <w:noProof/>
                <w:webHidden/>
              </w:rPr>
              <w:instrText xml:space="preserve"> PAGEREF _Toc60780960 \h </w:instrText>
            </w:r>
            <w:r w:rsidR="00420382">
              <w:rPr>
                <w:noProof/>
                <w:webHidden/>
              </w:rPr>
            </w:r>
            <w:r w:rsidR="00420382">
              <w:rPr>
                <w:noProof/>
                <w:webHidden/>
              </w:rPr>
              <w:fldChar w:fldCharType="separate"/>
            </w:r>
            <w:r w:rsidR="00420382">
              <w:rPr>
                <w:noProof/>
                <w:webHidden/>
              </w:rPr>
              <w:t>19</w:t>
            </w:r>
            <w:r w:rsidR="00420382">
              <w:rPr>
                <w:noProof/>
                <w:webHidden/>
              </w:rPr>
              <w:fldChar w:fldCharType="end"/>
            </w:r>
          </w:hyperlink>
        </w:p>
        <w:p w14:paraId="4E11BED8" w14:textId="3818299F" w:rsidR="00420382" w:rsidRDefault="000B31AD">
          <w:pPr>
            <w:pStyle w:val="TM3"/>
            <w:tabs>
              <w:tab w:val="right" w:leader="dot" w:pos="9062"/>
            </w:tabs>
            <w:rPr>
              <w:noProof/>
            </w:rPr>
          </w:pPr>
          <w:hyperlink w:anchor="_Toc60780961" w:history="1">
            <w:r w:rsidR="00420382" w:rsidRPr="00AE5D3E">
              <w:rPr>
                <w:rStyle w:val="Lienhypertexte"/>
                <w:noProof/>
              </w:rPr>
              <w:t>Slide 13 : Dons en faveur des organismes d’aide aux personnes</w:t>
            </w:r>
            <w:r w:rsidR="00420382">
              <w:rPr>
                <w:noProof/>
                <w:webHidden/>
              </w:rPr>
              <w:tab/>
            </w:r>
            <w:r w:rsidR="00420382">
              <w:rPr>
                <w:noProof/>
                <w:webHidden/>
              </w:rPr>
              <w:fldChar w:fldCharType="begin"/>
            </w:r>
            <w:r w:rsidR="00420382">
              <w:rPr>
                <w:noProof/>
                <w:webHidden/>
              </w:rPr>
              <w:instrText xml:space="preserve"> PAGEREF _Toc60780961 \h </w:instrText>
            </w:r>
            <w:r w:rsidR="00420382">
              <w:rPr>
                <w:noProof/>
                <w:webHidden/>
              </w:rPr>
            </w:r>
            <w:r w:rsidR="00420382">
              <w:rPr>
                <w:noProof/>
                <w:webHidden/>
              </w:rPr>
              <w:fldChar w:fldCharType="separate"/>
            </w:r>
            <w:r w:rsidR="00420382">
              <w:rPr>
                <w:noProof/>
                <w:webHidden/>
              </w:rPr>
              <w:t>21</w:t>
            </w:r>
            <w:r w:rsidR="00420382">
              <w:rPr>
                <w:noProof/>
                <w:webHidden/>
              </w:rPr>
              <w:fldChar w:fldCharType="end"/>
            </w:r>
          </w:hyperlink>
        </w:p>
        <w:p w14:paraId="19D3504B" w14:textId="0148210C" w:rsidR="00420382" w:rsidRDefault="000B31AD">
          <w:pPr>
            <w:pStyle w:val="TM3"/>
            <w:tabs>
              <w:tab w:val="right" w:leader="dot" w:pos="9062"/>
            </w:tabs>
            <w:rPr>
              <w:noProof/>
            </w:rPr>
          </w:pPr>
          <w:hyperlink w:anchor="_Toc60780962" w:history="1">
            <w:r w:rsidR="00420382" w:rsidRPr="00AE5D3E">
              <w:rPr>
                <w:rStyle w:val="Lienhypertexte"/>
                <w:noProof/>
              </w:rPr>
              <w:t>Slide 14 : Dépenses en faveur de l’aide aux personnes</w:t>
            </w:r>
            <w:r w:rsidR="00420382">
              <w:rPr>
                <w:noProof/>
                <w:webHidden/>
              </w:rPr>
              <w:tab/>
            </w:r>
            <w:r w:rsidR="00420382">
              <w:rPr>
                <w:noProof/>
                <w:webHidden/>
              </w:rPr>
              <w:fldChar w:fldCharType="begin"/>
            </w:r>
            <w:r w:rsidR="00420382">
              <w:rPr>
                <w:noProof/>
                <w:webHidden/>
              </w:rPr>
              <w:instrText xml:space="preserve"> PAGEREF _Toc60780962 \h </w:instrText>
            </w:r>
            <w:r w:rsidR="00420382">
              <w:rPr>
                <w:noProof/>
                <w:webHidden/>
              </w:rPr>
            </w:r>
            <w:r w:rsidR="00420382">
              <w:rPr>
                <w:noProof/>
                <w:webHidden/>
              </w:rPr>
              <w:fldChar w:fldCharType="separate"/>
            </w:r>
            <w:r w:rsidR="00420382">
              <w:rPr>
                <w:noProof/>
                <w:webHidden/>
              </w:rPr>
              <w:t>21</w:t>
            </w:r>
            <w:r w:rsidR="00420382">
              <w:rPr>
                <w:noProof/>
                <w:webHidden/>
              </w:rPr>
              <w:fldChar w:fldCharType="end"/>
            </w:r>
          </w:hyperlink>
        </w:p>
        <w:p w14:paraId="5ABC0F55" w14:textId="0CF88982" w:rsidR="00420382" w:rsidRDefault="000B31AD">
          <w:pPr>
            <w:pStyle w:val="TM3"/>
            <w:tabs>
              <w:tab w:val="right" w:leader="dot" w:pos="9062"/>
            </w:tabs>
            <w:rPr>
              <w:noProof/>
            </w:rPr>
          </w:pPr>
          <w:hyperlink w:anchor="_Toc60780963" w:history="1">
            <w:r w:rsidR="00420382" w:rsidRPr="00AE5D3E">
              <w:rPr>
                <w:rStyle w:val="Lienhypertexte"/>
                <w:noProof/>
              </w:rPr>
              <w:t>Slide 15 : Dispositif Défi-Forêt</w:t>
            </w:r>
            <w:r w:rsidR="00420382">
              <w:rPr>
                <w:noProof/>
                <w:webHidden/>
              </w:rPr>
              <w:tab/>
            </w:r>
            <w:r w:rsidR="00420382">
              <w:rPr>
                <w:noProof/>
                <w:webHidden/>
              </w:rPr>
              <w:fldChar w:fldCharType="begin"/>
            </w:r>
            <w:r w:rsidR="00420382">
              <w:rPr>
                <w:noProof/>
                <w:webHidden/>
              </w:rPr>
              <w:instrText xml:space="preserve"> PAGEREF _Toc60780963 \h </w:instrText>
            </w:r>
            <w:r w:rsidR="00420382">
              <w:rPr>
                <w:noProof/>
                <w:webHidden/>
              </w:rPr>
            </w:r>
            <w:r w:rsidR="00420382">
              <w:rPr>
                <w:noProof/>
                <w:webHidden/>
              </w:rPr>
              <w:fldChar w:fldCharType="separate"/>
            </w:r>
            <w:r w:rsidR="00420382">
              <w:rPr>
                <w:noProof/>
                <w:webHidden/>
              </w:rPr>
              <w:t>22</w:t>
            </w:r>
            <w:r w:rsidR="00420382">
              <w:rPr>
                <w:noProof/>
                <w:webHidden/>
              </w:rPr>
              <w:fldChar w:fldCharType="end"/>
            </w:r>
          </w:hyperlink>
        </w:p>
        <w:p w14:paraId="7BA511A8" w14:textId="42943343" w:rsidR="00420382" w:rsidRDefault="000B31AD">
          <w:pPr>
            <w:pStyle w:val="TM3"/>
            <w:tabs>
              <w:tab w:val="right" w:leader="dot" w:pos="9062"/>
            </w:tabs>
            <w:rPr>
              <w:noProof/>
            </w:rPr>
          </w:pPr>
          <w:hyperlink w:anchor="_Toc60780964" w:history="1">
            <w:r w:rsidR="00420382" w:rsidRPr="00AE5D3E">
              <w:rPr>
                <w:rStyle w:val="Lienhypertexte"/>
                <w:noProof/>
              </w:rPr>
              <w:t>Slide 16 : Prestation compensatoire en cas de divorce</w:t>
            </w:r>
            <w:r w:rsidR="00420382">
              <w:rPr>
                <w:noProof/>
                <w:webHidden/>
              </w:rPr>
              <w:tab/>
            </w:r>
            <w:r w:rsidR="00420382">
              <w:rPr>
                <w:noProof/>
                <w:webHidden/>
              </w:rPr>
              <w:fldChar w:fldCharType="begin"/>
            </w:r>
            <w:r w:rsidR="00420382">
              <w:rPr>
                <w:noProof/>
                <w:webHidden/>
              </w:rPr>
              <w:instrText xml:space="preserve"> PAGEREF _Toc60780964 \h </w:instrText>
            </w:r>
            <w:r w:rsidR="00420382">
              <w:rPr>
                <w:noProof/>
                <w:webHidden/>
              </w:rPr>
            </w:r>
            <w:r w:rsidR="00420382">
              <w:rPr>
                <w:noProof/>
                <w:webHidden/>
              </w:rPr>
              <w:fldChar w:fldCharType="separate"/>
            </w:r>
            <w:r w:rsidR="00420382">
              <w:rPr>
                <w:noProof/>
                <w:webHidden/>
              </w:rPr>
              <w:t>23</w:t>
            </w:r>
            <w:r w:rsidR="00420382">
              <w:rPr>
                <w:noProof/>
                <w:webHidden/>
              </w:rPr>
              <w:fldChar w:fldCharType="end"/>
            </w:r>
          </w:hyperlink>
        </w:p>
        <w:p w14:paraId="06A35BD0" w14:textId="745969ED" w:rsidR="00420382" w:rsidRDefault="000B31AD">
          <w:pPr>
            <w:pStyle w:val="TM3"/>
            <w:tabs>
              <w:tab w:val="right" w:leader="dot" w:pos="9062"/>
            </w:tabs>
            <w:rPr>
              <w:noProof/>
            </w:rPr>
          </w:pPr>
          <w:hyperlink w:anchor="_Toc60780965" w:history="1">
            <w:r w:rsidR="00420382" w:rsidRPr="00AE5D3E">
              <w:rPr>
                <w:rStyle w:val="Lienhypertexte"/>
                <w:noProof/>
              </w:rPr>
              <w:t>Slide 17 : Souscription au capital de SOFICA</w:t>
            </w:r>
            <w:r w:rsidR="00420382">
              <w:rPr>
                <w:noProof/>
                <w:webHidden/>
              </w:rPr>
              <w:tab/>
            </w:r>
            <w:r w:rsidR="00420382">
              <w:rPr>
                <w:noProof/>
                <w:webHidden/>
              </w:rPr>
              <w:fldChar w:fldCharType="begin"/>
            </w:r>
            <w:r w:rsidR="00420382">
              <w:rPr>
                <w:noProof/>
                <w:webHidden/>
              </w:rPr>
              <w:instrText xml:space="preserve"> PAGEREF _Toc60780965 \h </w:instrText>
            </w:r>
            <w:r w:rsidR="00420382">
              <w:rPr>
                <w:noProof/>
                <w:webHidden/>
              </w:rPr>
            </w:r>
            <w:r w:rsidR="00420382">
              <w:rPr>
                <w:noProof/>
                <w:webHidden/>
              </w:rPr>
              <w:fldChar w:fldCharType="separate"/>
            </w:r>
            <w:r w:rsidR="00420382">
              <w:rPr>
                <w:noProof/>
                <w:webHidden/>
              </w:rPr>
              <w:t>23</w:t>
            </w:r>
            <w:r w:rsidR="00420382">
              <w:rPr>
                <w:noProof/>
                <w:webHidden/>
              </w:rPr>
              <w:fldChar w:fldCharType="end"/>
            </w:r>
          </w:hyperlink>
        </w:p>
        <w:p w14:paraId="4405DEC1" w14:textId="762431FE" w:rsidR="00420382" w:rsidRDefault="000B31AD">
          <w:pPr>
            <w:pStyle w:val="TM2"/>
            <w:tabs>
              <w:tab w:val="right" w:leader="dot" w:pos="9062"/>
            </w:tabs>
            <w:rPr>
              <w:noProof/>
              <w:sz w:val="22"/>
              <w:szCs w:val="22"/>
              <w:lang w:eastAsia="fr-FR"/>
            </w:rPr>
          </w:pPr>
          <w:hyperlink w:anchor="_Toc60780966" w:history="1">
            <w:r w:rsidR="00420382" w:rsidRPr="00AE5D3E">
              <w:rPr>
                <w:rStyle w:val="Lienhypertexte"/>
                <w:rFonts w:cstheme="minorHAnsi"/>
                <w:noProof/>
              </w:rPr>
              <w:t>Impôts locaux</w:t>
            </w:r>
            <w:r w:rsidR="00420382">
              <w:rPr>
                <w:noProof/>
                <w:webHidden/>
              </w:rPr>
              <w:tab/>
            </w:r>
            <w:r w:rsidR="00420382">
              <w:rPr>
                <w:noProof/>
                <w:webHidden/>
              </w:rPr>
              <w:fldChar w:fldCharType="begin"/>
            </w:r>
            <w:r w:rsidR="00420382">
              <w:rPr>
                <w:noProof/>
                <w:webHidden/>
              </w:rPr>
              <w:instrText xml:space="preserve"> PAGEREF _Toc60780966 \h </w:instrText>
            </w:r>
            <w:r w:rsidR="00420382">
              <w:rPr>
                <w:noProof/>
                <w:webHidden/>
              </w:rPr>
            </w:r>
            <w:r w:rsidR="00420382">
              <w:rPr>
                <w:noProof/>
                <w:webHidden/>
              </w:rPr>
              <w:fldChar w:fldCharType="separate"/>
            </w:r>
            <w:r w:rsidR="00420382">
              <w:rPr>
                <w:noProof/>
                <w:webHidden/>
              </w:rPr>
              <w:t>25</w:t>
            </w:r>
            <w:r w:rsidR="00420382">
              <w:rPr>
                <w:noProof/>
                <w:webHidden/>
              </w:rPr>
              <w:fldChar w:fldCharType="end"/>
            </w:r>
          </w:hyperlink>
        </w:p>
        <w:p w14:paraId="303F61B0" w14:textId="23165864" w:rsidR="00420382" w:rsidRDefault="000B31AD">
          <w:pPr>
            <w:pStyle w:val="TM3"/>
            <w:tabs>
              <w:tab w:val="right" w:leader="dot" w:pos="9062"/>
            </w:tabs>
            <w:rPr>
              <w:noProof/>
            </w:rPr>
          </w:pPr>
          <w:hyperlink w:anchor="_Toc60780967" w:history="1">
            <w:r w:rsidR="00420382" w:rsidRPr="00AE5D3E">
              <w:rPr>
                <w:rStyle w:val="Lienhypertexte"/>
                <w:noProof/>
              </w:rPr>
              <w:t>Slide 18 : Contribution à l’audiovisuel public</w:t>
            </w:r>
            <w:r w:rsidR="00420382">
              <w:rPr>
                <w:noProof/>
                <w:webHidden/>
              </w:rPr>
              <w:tab/>
            </w:r>
            <w:r w:rsidR="00420382">
              <w:rPr>
                <w:noProof/>
                <w:webHidden/>
              </w:rPr>
              <w:fldChar w:fldCharType="begin"/>
            </w:r>
            <w:r w:rsidR="00420382">
              <w:rPr>
                <w:noProof/>
                <w:webHidden/>
              </w:rPr>
              <w:instrText xml:space="preserve"> PAGEREF _Toc60780967 \h </w:instrText>
            </w:r>
            <w:r w:rsidR="00420382">
              <w:rPr>
                <w:noProof/>
                <w:webHidden/>
              </w:rPr>
            </w:r>
            <w:r w:rsidR="00420382">
              <w:rPr>
                <w:noProof/>
                <w:webHidden/>
              </w:rPr>
              <w:fldChar w:fldCharType="separate"/>
            </w:r>
            <w:r w:rsidR="00420382">
              <w:rPr>
                <w:noProof/>
                <w:webHidden/>
              </w:rPr>
              <w:t>25</w:t>
            </w:r>
            <w:r w:rsidR="00420382">
              <w:rPr>
                <w:noProof/>
                <w:webHidden/>
              </w:rPr>
              <w:fldChar w:fldCharType="end"/>
            </w:r>
          </w:hyperlink>
        </w:p>
        <w:p w14:paraId="0A937309" w14:textId="294924A7" w:rsidR="00420382" w:rsidRDefault="000B31AD">
          <w:pPr>
            <w:pStyle w:val="TM3"/>
            <w:tabs>
              <w:tab w:val="right" w:leader="dot" w:pos="9062"/>
            </w:tabs>
            <w:rPr>
              <w:noProof/>
            </w:rPr>
          </w:pPr>
          <w:hyperlink w:anchor="_Toc60780968" w:history="1">
            <w:r w:rsidR="00420382" w:rsidRPr="00AE5D3E">
              <w:rPr>
                <w:rStyle w:val="Lienhypertexte"/>
                <w:noProof/>
              </w:rPr>
              <w:t>Slide 19 : Taxe foncière</w:t>
            </w:r>
            <w:r w:rsidR="00420382">
              <w:rPr>
                <w:noProof/>
                <w:webHidden/>
              </w:rPr>
              <w:tab/>
            </w:r>
            <w:r w:rsidR="00420382">
              <w:rPr>
                <w:noProof/>
                <w:webHidden/>
              </w:rPr>
              <w:fldChar w:fldCharType="begin"/>
            </w:r>
            <w:r w:rsidR="00420382">
              <w:rPr>
                <w:noProof/>
                <w:webHidden/>
              </w:rPr>
              <w:instrText xml:space="preserve"> PAGEREF _Toc60780968 \h </w:instrText>
            </w:r>
            <w:r w:rsidR="00420382">
              <w:rPr>
                <w:noProof/>
                <w:webHidden/>
              </w:rPr>
            </w:r>
            <w:r w:rsidR="00420382">
              <w:rPr>
                <w:noProof/>
                <w:webHidden/>
              </w:rPr>
              <w:fldChar w:fldCharType="separate"/>
            </w:r>
            <w:r w:rsidR="00420382">
              <w:rPr>
                <w:noProof/>
                <w:webHidden/>
              </w:rPr>
              <w:t>25</w:t>
            </w:r>
            <w:r w:rsidR="00420382">
              <w:rPr>
                <w:noProof/>
                <w:webHidden/>
              </w:rPr>
              <w:fldChar w:fldCharType="end"/>
            </w:r>
          </w:hyperlink>
        </w:p>
        <w:p w14:paraId="55B0C86E" w14:textId="5E8E7B1A" w:rsidR="00420382" w:rsidRDefault="000B31AD">
          <w:pPr>
            <w:pStyle w:val="TM2"/>
            <w:tabs>
              <w:tab w:val="right" w:leader="dot" w:pos="9062"/>
            </w:tabs>
            <w:rPr>
              <w:noProof/>
              <w:sz w:val="22"/>
              <w:szCs w:val="22"/>
              <w:lang w:eastAsia="fr-FR"/>
            </w:rPr>
          </w:pPr>
          <w:hyperlink w:anchor="_Toc60780969" w:history="1">
            <w:r w:rsidR="00420382" w:rsidRPr="00AE5D3E">
              <w:rPr>
                <w:rStyle w:val="Lienhypertexte"/>
                <w:rFonts w:cstheme="minorHAnsi"/>
                <w:noProof/>
              </w:rPr>
              <w:t>Gestion du patrimoine immobilier</w:t>
            </w:r>
            <w:r w:rsidR="00420382">
              <w:rPr>
                <w:noProof/>
                <w:webHidden/>
              </w:rPr>
              <w:tab/>
            </w:r>
            <w:r w:rsidR="00420382">
              <w:rPr>
                <w:noProof/>
                <w:webHidden/>
              </w:rPr>
              <w:fldChar w:fldCharType="begin"/>
            </w:r>
            <w:r w:rsidR="00420382">
              <w:rPr>
                <w:noProof/>
                <w:webHidden/>
              </w:rPr>
              <w:instrText xml:space="preserve"> PAGEREF _Toc60780969 \h </w:instrText>
            </w:r>
            <w:r w:rsidR="00420382">
              <w:rPr>
                <w:noProof/>
                <w:webHidden/>
              </w:rPr>
            </w:r>
            <w:r w:rsidR="00420382">
              <w:rPr>
                <w:noProof/>
                <w:webHidden/>
              </w:rPr>
              <w:fldChar w:fldCharType="separate"/>
            </w:r>
            <w:r w:rsidR="00420382">
              <w:rPr>
                <w:noProof/>
                <w:webHidden/>
              </w:rPr>
              <w:t>28</w:t>
            </w:r>
            <w:r w:rsidR="00420382">
              <w:rPr>
                <w:noProof/>
                <w:webHidden/>
              </w:rPr>
              <w:fldChar w:fldCharType="end"/>
            </w:r>
          </w:hyperlink>
        </w:p>
        <w:p w14:paraId="7A060B95" w14:textId="4B5AF11E" w:rsidR="00420382" w:rsidRDefault="000B31AD">
          <w:pPr>
            <w:pStyle w:val="TM3"/>
            <w:tabs>
              <w:tab w:val="right" w:leader="dot" w:pos="9062"/>
            </w:tabs>
            <w:rPr>
              <w:noProof/>
            </w:rPr>
          </w:pPr>
          <w:hyperlink w:anchor="_Toc60780970" w:history="1">
            <w:r w:rsidR="00420382" w:rsidRPr="00AE5D3E">
              <w:rPr>
                <w:rStyle w:val="Lienhypertexte"/>
                <w:noProof/>
              </w:rPr>
              <w:t>Slide 20 : Transition énergétique (CITE)</w:t>
            </w:r>
            <w:r w:rsidR="00420382">
              <w:rPr>
                <w:noProof/>
                <w:webHidden/>
              </w:rPr>
              <w:tab/>
            </w:r>
            <w:r w:rsidR="00420382">
              <w:rPr>
                <w:noProof/>
                <w:webHidden/>
              </w:rPr>
              <w:fldChar w:fldCharType="begin"/>
            </w:r>
            <w:r w:rsidR="00420382">
              <w:rPr>
                <w:noProof/>
                <w:webHidden/>
              </w:rPr>
              <w:instrText xml:space="preserve"> PAGEREF _Toc60780970 \h </w:instrText>
            </w:r>
            <w:r w:rsidR="00420382">
              <w:rPr>
                <w:noProof/>
                <w:webHidden/>
              </w:rPr>
            </w:r>
            <w:r w:rsidR="00420382">
              <w:rPr>
                <w:noProof/>
                <w:webHidden/>
              </w:rPr>
              <w:fldChar w:fldCharType="separate"/>
            </w:r>
            <w:r w:rsidR="00420382">
              <w:rPr>
                <w:noProof/>
                <w:webHidden/>
              </w:rPr>
              <w:t>28</w:t>
            </w:r>
            <w:r w:rsidR="00420382">
              <w:rPr>
                <w:noProof/>
                <w:webHidden/>
              </w:rPr>
              <w:fldChar w:fldCharType="end"/>
            </w:r>
          </w:hyperlink>
        </w:p>
        <w:p w14:paraId="54F75B59" w14:textId="32EC76D7" w:rsidR="00420382" w:rsidRDefault="000B31AD">
          <w:pPr>
            <w:pStyle w:val="TM3"/>
            <w:tabs>
              <w:tab w:val="right" w:leader="dot" w:pos="9062"/>
            </w:tabs>
            <w:rPr>
              <w:noProof/>
            </w:rPr>
          </w:pPr>
          <w:hyperlink w:anchor="_Toc60780971" w:history="1">
            <w:r w:rsidR="00420382" w:rsidRPr="00AE5D3E">
              <w:rPr>
                <w:rStyle w:val="Lienhypertexte"/>
                <w:noProof/>
              </w:rPr>
              <w:t>Slide 21 : Prime forfaitaire de transition énergétique</w:t>
            </w:r>
            <w:r w:rsidR="00420382">
              <w:rPr>
                <w:noProof/>
                <w:webHidden/>
              </w:rPr>
              <w:tab/>
            </w:r>
            <w:r w:rsidR="00420382">
              <w:rPr>
                <w:noProof/>
                <w:webHidden/>
              </w:rPr>
              <w:fldChar w:fldCharType="begin"/>
            </w:r>
            <w:r w:rsidR="00420382">
              <w:rPr>
                <w:noProof/>
                <w:webHidden/>
              </w:rPr>
              <w:instrText xml:space="preserve"> PAGEREF _Toc60780971 \h </w:instrText>
            </w:r>
            <w:r w:rsidR="00420382">
              <w:rPr>
                <w:noProof/>
                <w:webHidden/>
              </w:rPr>
            </w:r>
            <w:r w:rsidR="00420382">
              <w:rPr>
                <w:noProof/>
                <w:webHidden/>
              </w:rPr>
              <w:fldChar w:fldCharType="separate"/>
            </w:r>
            <w:r w:rsidR="00420382">
              <w:rPr>
                <w:noProof/>
                <w:webHidden/>
              </w:rPr>
              <w:t>30</w:t>
            </w:r>
            <w:r w:rsidR="00420382">
              <w:rPr>
                <w:noProof/>
                <w:webHidden/>
              </w:rPr>
              <w:fldChar w:fldCharType="end"/>
            </w:r>
          </w:hyperlink>
        </w:p>
        <w:p w14:paraId="307847DD" w14:textId="3E11735F" w:rsidR="00420382" w:rsidRDefault="000B31AD">
          <w:pPr>
            <w:pStyle w:val="TM3"/>
            <w:tabs>
              <w:tab w:val="right" w:leader="dot" w:pos="9062"/>
            </w:tabs>
            <w:rPr>
              <w:noProof/>
            </w:rPr>
          </w:pPr>
          <w:hyperlink w:anchor="_Toc60780972" w:history="1">
            <w:r w:rsidR="00420382" w:rsidRPr="00AE5D3E">
              <w:rPr>
                <w:rStyle w:val="Lienhypertexte"/>
                <w:noProof/>
              </w:rPr>
              <w:t>Slide 22 : Plus-values immobilières</w:t>
            </w:r>
            <w:r w:rsidR="00420382">
              <w:rPr>
                <w:noProof/>
                <w:webHidden/>
              </w:rPr>
              <w:tab/>
            </w:r>
            <w:r w:rsidR="00420382">
              <w:rPr>
                <w:noProof/>
                <w:webHidden/>
              </w:rPr>
              <w:fldChar w:fldCharType="begin"/>
            </w:r>
            <w:r w:rsidR="00420382">
              <w:rPr>
                <w:noProof/>
                <w:webHidden/>
              </w:rPr>
              <w:instrText xml:space="preserve"> PAGEREF _Toc60780972 \h </w:instrText>
            </w:r>
            <w:r w:rsidR="00420382">
              <w:rPr>
                <w:noProof/>
                <w:webHidden/>
              </w:rPr>
            </w:r>
            <w:r w:rsidR="00420382">
              <w:rPr>
                <w:noProof/>
                <w:webHidden/>
              </w:rPr>
              <w:fldChar w:fldCharType="separate"/>
            </w:r>
            <w:r w:rsidR="00420382">
              <w:rPr>
                <w:noProof/>
                <w:webHidden/>
              </w:rPr>
              <w:t>31</w:t>
            </w:r>
            <w:r w:rsidR="00420382">
              <w:rPr>
                <w:noProof/>
                <w:webHidden/>
              </w:rPr>
              <w:fldChar w:fldCharType="end"/>
            </w:r>
          </w:hyperlink>
        </w:p>
        <w:p w14:paraId="1169BDA8" w14:textId="4222D977" w:rsidR="00420382" w:rsidRDefault="000B31AD">
          <w:pPr>
            <w:pStyle w:val="TM3"/>
            <w:tabs>
              <w:tab w:val="right" w:leader="dot" w:pos="9062"/>
            </w:tabs>
            <w:rPr>
              <w:noProof/>
            </w:rPr>
          </w:pPr>
          <w:hyperlink w:anchor="_Toc60780973" w:history="1">
            <w:r w:rsidR="00420382" w:rsidRPr="00AE5D3E">
              <w:rPr>
                <w:rStyle w:val="Lienhypertexte"/>
                <w:noProof/>
              </w:rPr>
              <w:t>Slide 23 : Défiscalisation : dispositif Pinel</w:t>
            </w:r>
            <w:r w:rsidR="00420382">
              <w:rPr>
                <w:noProof/>
                <w:webHidden/>
              </w:rPr>
              <w:tab/>
            </w:r>
            <w:r w:rsidR="00420382">
              <w:rPr>
                <w:noProof/>
                <w:webHidden/>
              </w:rPr>
              <w:fldChar w:fldCharType="begin"/>
            </w:r>
            <w:r w:rsidR="00420382">
              <w:rPr>
                <w:noProof/>
                <w:webHidden/>
              </w:rPr>
              <w:instrText xml:space="preserve"> PAGEREF _Toc60780973 \h </w:instrText>
            </w:r>
            <w:r w:rsidR="00420382">
              <w:rPr>
                <w:noProof/>
                <w:webHidden/>
              </w:rPr>
            </w:r>
            <w:r w:rsidR="00420382">
              <w:rPr>
                <w:noProof/>
                <w:webHidden/>
              </w:rPr>
              <w:fldChar w:fldCharType="separate"/>
            </w:r>
            <w:r w:rsidR="00420382">
              <w:rPr>
                <w:noProof/>
                <w:webHidden/>
              </w:rPr>
              <w:t>34</w:t>
            </w:r>
            <w:r w:rsidR="00420382">
              <w:rPr>
                <w:noProof/>
                <w:webHidden/>
              </w:rPr>
              <w:fldChar w:fldCharType="end"/>
            </w:r>
          </w:hyperlink>
        </w:p>
        <w:p w14:paraId="209D9DBD" w14:textId="0EE17DD8" w:rsidR="00420382" w:rsidRDefault="000B31AD">
          <w:pPr>
            <w:pStyle w:val="TM3"/>
            <w:tabs>
              <w:tab w:val="right" w:leader="dot" w:pos="9062"/>
            </w:tabs>
            <w:rPr>
              <w:noProof/>
            </w:rPr>
          </w:pPr>
          <w:hyperlink w:anchor="_Toc60780974" w:history="1">
            <w:r w:rsidR="00420382" w:rsidRPr="00AE5D3E">
              <w:rPr>
                <w:rStyle w:val="Lienhypertexte"/>
                <w:noProof/>
              </w:rPr>
              <w:t>Slide 24 : Prêt à taux zéro</w:t>
            </w:r>
            <w:r w:rsidR="00420382">
              <w:rPr>
                <w:noProof/>
                <w:webHidden/>
              </w:rPr>
              <w:tab/>
            </w:r>
            <w:r w:rsidR="00420382">
              <w:rPr>
                <w:noProof/>
                <w:webHidden/>
              </w:rPr>
              <w:fldChar w:fldCharType="begin"/>
            </w:r>
            <w:r w:rsidR="00420382">
              <w:rPr>
                <w:noProof/>
                <w:webHidden/>
              </w:rPr>
              <w:instrText xml:space="preserve"> PAGEREF _Toc60780974 \h </w:instrText>
            </w:r>
            <w:r w:rsidR="00420382">
              <w:rPr>
                <w:noProof/>
                <w:webHidden/>
              </w:rPr>
            </w:r>
            <w:r w:rsidR="00420382">
              <w:rPr>
                <w:noProof/>
                <w:webHidden/>
              </w:rPr>
              <w:fldChar w:fldCharType="separate"/>
            </w:r>
            <w:r w:rsidR="00420382">
              <w:rPr>
                <w:noProof/>
                <w:webHidden/>
              </w:rPr>
              <w:t>35</w:t>
            </w:r>
            <w:r w:rsidR="00420382">
              <w:rPr>
                <w:noProof/>
                <w:webHidden/>
              </w:rPr>
              <w:fldChar w:fldCharType="end"/>
            </w:r>
          </w:hyperlink>
        </w:p>
        <w:p w14:paraId="59B92EFB" w14:textId="0DFB5A3D" w:rsidR="00420382" w:rsidRDefault="000B31AD">
          <w:pPr>
            <w:pStyle w:val="TM2"/>
            <w:tabs>
              <w:tab w:val="right" w:leader="dot" w:pos="9062"/>
            </w:tabs>
            <w:rPr>
              <w:noProof/>
              <w:sz w:val="22"/>
              <w:szCs w:val="22"/>
              <w:lang w:eastAsia="fr-FR"/>
            </w:rPr>
          </w:pPr>
          <w:hyperlink w:anchor="_Toc60780975" w:history="1">
            <w:r w:rsidR="00420382" w:rsidRPr="00AE5D3E">
              <w:rPr>
                <w:rStyle w:val="Lienhypertexte"/>
                <w:rFonts w:cstheme="minorHAnsi"/>
                <w:noProof/>
              </w:rPr>
              <w:t>Mesures fiscales diverses</w:t>
            </w:r>
            <w:r w:rsidR="00420382">
              <w:rPr>
                <w:noProof/>
                <w:webHidden/>
              </w:rPr>
              <w:tab/>
            </w:r>
            <w:r w:rsidR="00420382">
              <w:rPr>
                <w:noProof/>
                <w:webHidden/>
              </w:rPr>
              <w:fldChar w:fldCharType="begin"/>
            </w:r>
            <w:r w:rsidR="00420382">
              <w:rPr>
                <w:noProof/>
                <w:webHidden/>
              </w:rPr>
              <w:instrText xml:space="preserve"> PAGEREF _Toc60780975 \h </w:instrText>
            </w:r>
            <w:r w:rsidR="00420382">
              <w:rPr>
                <w:noProof/>
                <w:webHidden/>
              </w:rPr>
            </w:r>
            <w:r w:rsidR="00420382">
              <w:rPr>
                <w:noProof/>
                <w:webHidden/>
              </w:rPr>
              <w:fldChar w:fldCharType="separate"/>
            </w:r>
            <w:r w:rsidR="00420382">
              <w:rPr>
                <w:noProof/>
                <w:webHidden/>
              </w:rPr>
              <w:t>37</w:t>
            </w:r>
            <w:r w:rsidR="00420382">
              <w:rPr>
                <w:noProof/>
                <w:webHidden/>
              </w:rPr>
              <w:fldChar w:fldCharType="end"/>
            </w:r>
          </w:hyperlink>
        </w:p>
        <w:p w14:paraId="304C2C6D" w14:textId="21B2CC5D" w:rsidR="00420382" w:rsidRDefault="000B31AD">
          <w:pPr>
            <w:pStyle w:val="TM3"/>
            <w:tabs>
              <w:tab w:val="right" w:leader="dot" w:pos="9062"/>
            </w:tabs>
            <w:rPr>
              <w:noProof/>
            </w:rPr>
          </w:pPr>
          <w:hyperlink w:anchor="_Toc60780976" w:history="1">
            <w:r w:rsidR="00420382" w:rsidRPr="00AE5D3E">
              <w:rPr>
                <w:rStyle w:val="Lienhypertexte"/>
                <w:noProof/>
              </w:rPr>
              <w:t>Slide 25 : Plus-value mobilières</w:t>
            </w:r>
            <w:r w:rsidR="00420382">
              <w:rPr>
                <w:noProof/>
                <w:webHidden/>
              </w:rPr>
              <w:tab/>
            </w:r>
            <w:r w:rsidR="00420382">
              <w:rPr>
                <w:noProof/>
                <w:webHidden/>
              </w:rPr>
              <w:fldChar w:fldCharType="begin"/>
            </w:r>
            <w:r w:rsidR="00420382">
              <w:rPr>
                <w:noProof/>
                <w:webHidden/>
              </w:rPr>
              <w:instrText xml:space="preserve"> PAGEREF _Toc60780976 \h </w:instrText>
            </w:r>
            <w:r w:rsidR="00420382">
              <w:rPr>
                <w:noProof/>
                <w:webHidden/>
              </w:rPr>
            </w:r>
            <w:r w:rsidR="00420382">
              <w:rPr>
                <w:noProof/>
                <w:webHidden/>
              </w:rPr>
              <w:fldChar w:fldCharType="separate"/>
            </w:r>
            <w:r w:rsidR="00420382">
              <w:rPr>
                <w:noProof/>
                <w:webHidden/>
              </w:rPr>
              <w:t>37</w:t>
            </w:r>
            <w:r w:rsidR="00420382">
              <w:rPr>
                <w:noProof/>
                <w:webHidden/>
              </w:rPr>
              <w:fldChar w:fldCharType="end"/>
            </w:r>
          </w:hyperlink>
        </w:p>
        <w:p w14:paraId="755111E2" w14:textId="1C159212" w:rsidR="00420382" w:rsidRDefault="000B31AD">
          <w:pPr>
            <w:pStyle w:val="TM3"/>
            <w:tabs>
              <w:tab w:val="right" w:leader="dot" w:pos="9062"/>
            </w:tabs>
            <w:rPr>
              <w:noProof/>
            </w:rPr>
          </w:pPr>
          <w:hyperlink w:anchor="_Toc60780977" w:history="1">
            <w:r w:rsidR="00420382" w:rsidRPr="00AE5D3E">
              <w:rPr>
                <w:rStyle w:val="Lienhypertexte"/>
                <w:noProof/>
              </w:rPr>
              <w:t>Slide 26 : Revenus distribués et majoration de 1,25</w:t>
            </w:r>
            <w:r w:rsidR="00420382">
              <w:rPr>
                <w:noProof/>
                <w:webHidden/>
              </w:rPr>
              <w:tab/>
            </w:r>
            <w:r w:rsidR="00420382">
              <w:rPr>
                <w:noProof/>
                <w:webHidden/>
              </w:rPr>
              <w:fldChar w:fldCharType="begin"/>
            </w:r>
            <w:r w:rsidR="00420382">
              <w:rPr>
                <w:noProof/>
                <w:webHidden/>
              </w:rPr>
              <w:instrText xml:space="preserve"> PAGEREF _Toc60780977 \h </w:instrText>
            </w:r>
            <w:r w:rsidR="00420382">
              <w:rPr>
                <w:noProof/>
                <w:webHidden/>
              </w:rPr>
            </w:r>
            <w:r w:rsidR="00420382">
              <w:rPr>
                <w:noProof/>
                <w:webHidden/>
              </w:rPr>
              <w:fldChar w:fldCharType="separate"/>
            </w:r>
            <w:r w:rsidR="00420382">
              <w:rPr>
                <w:noProof/>
                <w:webHidden/>
              </w:rPr>
              <w:t>37</w:t>
            </w:r>
            <w:r w:rsidR="00420382">
              <w:rPr>
                <w:noProof/>
                <w:webHidden/>
              </w:rPr>
              <w:fldChar w:fldCharType="end"/>
            </w:r>
          </w:hyperlink>
        </w:p>
        <w:p w14:paraId="42280576" w14:textId="74621C5E" w:rsidR="00420382" w:rsidRDefault="000B31AD">
          <w:pPr>
            <w:pStyle w:val="TM3"/>
            <w:tabs>
              <w:tab w:val="right" w:leader="dot" w:pos="9062"/>
            </w:tabs>
            <w:rPr>
              <w:noProof/>
            </w:rPr>
          </w:pPr>
          <w:hyperlink w:anchor="_Toc60780978" w:history="1">
            <w:r w:rsidR="00420382" w:rsidRPr="00AE5D3E">
              <w:rPr>
                <w:rStyle w:val="Lienhypertexte"/>
                <w:noProof/>
              </w:rPr>
              <w:t>Slide 27 : Prélèvement forfaitaire unique et plan d’épargne retraite</w:t>
            </w:r>
            <w:r w:rsidR="00420382">
              <w:rPr>
                <w:noProof/>
                <w:webHidden/>
              </w:rPr>
              <w:tab/>
            </w:r>
            <w:r w:rsidR="00420382">
              <w:rPr>
                <w:noProof/>
                <w:webHidden/>
              </w:rPr>
              <w:fldChar w:fldCharType="begin"/>
            </w:r>
            <w:r w:rsidR="00420382">
              <w:rPr>
                <w:noProof/>
                <w:webHidden/>
              </w:rPr>
              <w:instrText xml:space="preserve"> PAGEREF _Toc60780978 \h </w:instrText>
            </w:r>
            <w:r w:rsidR="00420382">
              <w:rPr>
                <w:noProof/>
                <w:webHidden/>
              </w:rPr>
            </w:r>
            <w:r w:rsidR="00420382">
              <w:rPr>
                <w:noProof/>
                <w:webHidden/>
              </w:rPr>
              <w:fldChar w:fldCharType="separate"/>
            </w:r>
            <w:r w:rsidR="00420382">
              <w:rPr>
                <w:noProof/>
                <w:webHidden/>
              </w:rPr>
              <w:t>37</w:t>
            </w:r>
            <w:r w:rsidR="00420382">
              <w:rPr>
                <w:noProof/>
                <w:webHidden/>
              </w:rPr>
              <w:fldChar w:fldCharType="end"/>
            </w:r>
          </w:hyperlink>
        </w:p>
        <w:p w14:paraId="14664B2C" w14:textId="05770741" w:rsidR="00420382" w:rsidRDefault="000B31AD">
          <w:pPr>
            <w:pStyle w:val="TM3"/>
            <w:tabs>
              <w:tab w:val="right" w:leader="dot" w:pos="9062"/>
            </w:tabs>
            <w:rPr>
              <w:noProof/>
            </w:rPr>
          </w:pPr>
          <w:hyperlink w:anchor="_Toc60780979" w:history="1">
            <w:r w:rsidR="00420382" w:rsidRPr="00AE5D3E">
              <w:rPr>
                <w:rStyle w:val="Lienhypertexte"/>
                <w:noProof/>
              </w:rPr>
              <w:t>Slide 28 : Droits de mutation</w:t>
            </w:r>
            <w:r w:rsidR="00420382">
              <w:rPr>
                <w:noProof/>
                <w:webHidden/>
              </w:rPr>
              <w:tab/>
            </w:r>
            <w:r w:rsidR="00420382">
              <w:rPr>
                <w:noProof/>
                <w:webHidden/>
              </w:rPr>
              <w:fldChar w:fldCharType="begin"/>
            </w:r>
            <w:r w:rsidR="00420382">
              <w:rPr>
                <w:noProof/>
                <w:webHidden/>
              </w:rPr>
              <w:instrText xml:space="preserve"> PAGEREF _Toc60780979 \h </w:instrText>
            </w:r>
            <w:r w:rsidR="00420382">
              <w:rPr>
                <w:noProof/>
                <w:webHidden/>
              </w:rPr>
            </w:r>
            <w:r w:rsidR="00420382">
              <w:rPr>
                <w:noProof/>
                <w:webHidden/>
              </w:rPr>
              <w:fldChar w:fldCharType="separate"/>
            </w:r>
            <w:r w:rsidR="00420382">
              <w:rPr>
                <w:noProof/>
                <w:webHidden/>
              </w:rPr>
              <w:t>38</w:t>
            </w:r>
            <w:r w:rsidR="00420382">
              <w:rPr>
                <w:noProof/>
                <w:webHidden/>
              </w:rPr>
              <w:fldChar w:fldCharType="end"/>
            </w:r>
          </w:hyperlink>
        </w:p>
        <w:p w14:paraId="335E9F84" w14:textId="77009351" w:rsidR="00420382" w:rsidRDefault="000B31AD">
          <w:pPr>
            <w:pStyle w:val="TM3"/>
            <w:tabs>
              <w:tab w:val="right" w:leader="dot" w:pos="9062"/>
            </w:tabs>
            <w:rPr>
              <w:noProof/>
            </w:rPr>
          </w:pPr>
          <w:hyperlink w:anchor="_Toc60780980" w:history="1">
            <w:r w:rsidR="00420382" w:rsidRPr="00AE5D3E">
              <w:rPr>
                <w:rStyle w:val="Lienhypertexte"/>
                <w:noProof/>
              </w:rPr>
              <w:t>Slide 29 : Mesures diverses</w:t>
            </w:r>
            <w:r w:rsidR="00420382">
              <w:rPr>
                <w:noProof/>
                <w:webHidden/>
              </w:rPr>
              <w:tab/>
            </w:r>
            <w:r w:rsidR="00420382">
              <w:rPr>
                <w:noProof/>
                <w:webHidden/>
              </w:rPr>
              <w:fldChar w:fldCharType="begin"/>
            </w:r>
            <w:r w:rsidR="00420382">
              <w:rPr>
                <w:noProof/>
                <w:webHidden/>
              </w:rPr>
              <w:instrText xml:space="preserve"> PAGEREF _Toc60780980 \h </w:instrText>
            </w:r>
            <w:r w:rsidR="00420382">
              <w:rPr>
                <w:noProof/>
                <w:webHidden/>
              </w:rPr>
            </w:r>
            <w:r w:rsidR="00420382">
              <w:rPr>
                <w:noProof/>
                <w:webHidden/>
              </w:rPr>
              <w:fldChar w:fldCharType="separate"/>
            </w:r>
            <w:r w:rsidR="00420382">
              <w:rPr>
                <w:noProof/>
                <w:webHidden/>
              </w:rPr>
              <w:t>39</w:t>
            </w:r>
            <w:r w:rsidR="00420382">
              <w:rPr>
                <w:noProof/>
                <w:webHidden/>
              </w:rPr>
              <w:fldChar w:fldCharType="end"/>
            </w:r>
          </w:hyperlink>
        </w:p>
        <w:p w14:paraId="501A5E33" w14:textId="0DCACC88" w:rsidR="00420382" w:rsidRDefault="000B31AD">
          <w:pPr>
            <w:pStyle w:val="TM2"/>
            <w:tabs>
              <w:tab w:val="right" w:leader="dot" w:pos="9062"/>
            </w:tabs>
            <w:rPr>
              <w:noProof/>
              <w:sz w:val="22"/>
              <w:szCs w:val="22"/>
              <w:lang w:eastAsia="fr-FR"/>
            </w:rPr>
          </w:pPr>
          <w:hyperlink w:anchor="_Toc60780981" w:history="1">
            <w:r w:rsidR="00420382" w:rsidRPr="00AE5D3E">
              <w:rPr>
                <w:rStyle w:val="Lienhypertexte"/>
                <w:rFonts w:cstheme="minorHAnsi"/>
                <w:noProof/>
              </w:rPr>
              <w:t>Mesures sociales</w:t>
            </w:r>
            <w:r w:rsidR="00420382">
              <w:rPr>
                <w:noProof/>
                <w:webHidden/>
              </w:rPr>
              <w:tab/>
            </w:r>
            <w:r w:rsidR="00420382">
              <w:rPr>
                <w:noProof/>
                <w:webHidden/>
              </w:rPr>
              <w:fldChar w:fldCharType="begin"/>
            </w:r>
            <w:r w:rsidR="00420382">
              <w:rPr>
                <w:noProof/>
                <w:webHidden/>
              </w:rPr>
              <w:instrText xml:space="preserve"> PAGEREF _Toc60780981 \h </w:instrText>
            </w:r>
            <w:r w:rsidR="00420382">
              <w:rPr>
                <w:noProof/>
                <w:webHidden/>
              </w:rPr>
            </w:r>
            <w:r w:rsidR="00420382">
              <w:rPr>
                <w:noProof/>
                <w:webHidden/>
              </w:rPr>
              <w:fldChar w:fldCharType="separate"/>
            </w:r>
            <w:r w:rsidR="00420382">
              <w:rPr>
                <w:noProof/>
                <w:webHidden/>
              </w:rPr>
              <w:t>40</w:t>
            </w:r>
            <w:r w:rsidR="00420382">
              <w:rPr>
                <w:noProof/>
                <w:webHidden/>
              </w:rPr>
              <w:fldChar w:fldCharType="end"/>
            </w:r>
          </w:hyperlink>
        </w:p>
        <w:p w14:paraId="1E9C9CCD" w14:textId="2A9A8A6A" w:rsidR="00420382" w:rsidRDefault="000B31AD">
          <w:pPr>
            <w:pStyle w:val="TM3"/>
            <w:tabs>
              <w:tab w:val="right" w:leader="dot" w:pos="9062"/>
            </w:tabs>
            <w:rPr>
              <w:noProof/>
            </w:rPr>
          </w:pPr>
          <w:hyperlink w:anchor="_Toc60780982" w:history="1">
            <w:r w:rsidR="00420382" w:rsidRPr="00AE5D3E">
              <w:rPr>
                <w:rStyle w:val="Lienhypertexte"/>
                <w:noProof/>
              </w:rPr>
              <w:t>Slide 30 : Prime naissance</w:t>
            </w:r>
            <w:r w:rsidR="00420382">
              <w:rPr>
                <w:noProof/>
                <w:webHidden/>
              </w:rPr>
              <w:tab/>
            </w:r>
            <w:r w:rsidR="00420382">
              <w:rPr>
                <w:noProof/>
                <w:webHidden/>
              </w:rPr>
              <w:fldChar w:fldCharType="begin"/>
            </w:r>
            <w:r w:rsidR="00420382">
              <w:rPr>
                <w:noProof/>
                <w:webHidden/>
              </w:rPr>
              <w:instrText xml:space="preserve"> PAGEREF _Toc60780982 \h </w:instrText>
            </w:r>
            <w:r w:rsidR="00420382">
              <w:rPr>
                <w:noProof/>
                <w:webHidden/>
              </w:rPr>
            </w:r>
            <w:r w:rsidR="00420382">
              <w:rPr>
                <w:noProof/>
                <w:webHidden/>
              </w:rPr>
              <w:fldChar w:fldCharType="separate"/>
            </w:r>
            <w:r w:rsidR="00420382">
              <w:rPr>
                <w:noProof/>
                <w:webHidden/>
              </w:rPr>
              <w:t>40</w:t>
            </w:r>
            <w:r w:rsidR="00420382">
              <w:rPr>
                <w:noProof/>
                <w:webHidden/>
              </w:rPr>
              <w:fldChar w:fldCharType="end"/>
            </w:r>
          </w:hyperlink>
        </w:p>
        <w:p w14:paraId="793828E1" w14:textId="246AE8EA" w:rsidR="00420382" w:rsidRDefault="000B31AD">
          <w:pPr>
            <w:pStyle w:val="TM3"/>
            <w:tabs>
              <w:tab w:val="right" w:leader="dot" w:pos="9062"/>
            </w:tabs>
            <w:rPr>
              <w:noProof/>
            </w:rPr>
          </w:pPr>
          <w:hyperlink w:anchor="_Toc60780983" w:history="1">
            <w:r w:rsidR="00420382" w:rsidRPr="00AE5D3E">
              <w:rPr>
                <w:rStyle w:val="Lienhypertexte"/>
                <w:noProof/>
              </w:rPr>
              <w:t>Slide 31 : Particuliers « vendeurs »</w:t>
            </w:r>
            <w:r w:rsidR="00420382">
              <w:rPr>
                <w:noProof/>
                <w:webHidden/>
              </w:rPr>
              <w:tab/>
            </w:r>
            <w:r w:rsidR="00420382">
              <w:rPr>
                <w:noProof/>
                <w:webHidden/>
              </w:rPr>
              <w:fldChar w:fldCharType="begin"/>
            </w:r>
            <w:r w:rsidR="00420382">
              <w:rPr>
                <w:noProof/>
                <w:webHidden/>
              </w:rPr>
              <w:instrText xml:space="preserve"> PAGEREF _Toc60780983 \h </w:instrText>
            </w:r>
            <w:r w:rsidR="00420382">
              <w:rPr>
                <w:noProof/>
                <w:webHidden/>
              </w:rPr>
            </w:r>
            <w:r w:rsidR="00420382">
              <w:rPr>
                <w:noProof/>
                <w:webHidden/>
              </w:rPr>
              <w:fldChar w:fldCharType="separate"/>
            </w:r>
            <w:r w:rsidR="00420382">
              <w:rPr>
                <w:noProof/>
                <w:webHidden/>
              </w:rPr>
              <w:t>40</w:t>
            </w:r>
            <w:r w:rsidR="00420382">
              <w:rPr>
                <w:noProof/>
                <w:webHidden/>
              </w:rPr>
              <w:fldChar w:fldCharType="end"/>
            </w:r>
          </w:hyperlink>
        </w:p>
        <w:p w14:paraId="7A8539B8" w14:textId="7BE1B66D" w:rsidR="00420382" w:rsidRDefault="000B31AD">
          <w:pPr>
            <w:pStyle w:val="TM3"/>
            <w:tabs>
              <w:tab w:val="right" w:leader="dot" w:pos="9062"/>
            </w:tabs>
            <w:rPr>
              <w:noProof/>
            </w:rPr>
          </w:pPr>
          <w:hyperlink w:anchor="_Toc60780984" w:history="1">
            <w:r w:rsidR="00420382" w:rsidRPr="00AE5D3E">
              <w:rPr>
                <w:rStyle w:val="Lienhypertexte"/>
                <w:noProof/>
              </w:rPr>
              <w:t>Slide 32 : Particuliers « loueurs »</w:t>
            </w:r>
            <w:r w:rsidR="00420382">
              <w:rPr>
                <w:noProof/>
                <w:webHidden/>
              </w:rPr>
              <w:tab/>
            </w:r>
            <w:r w:rsidR="00420382">
              <w:rPr>
                <w:noProof/>
                <w:webHidden/>
              </w:rPr>
              <w:fldChar w:fldCharType="begin"/>
            </w:r>
            <w:r w:rsidR="00420382">
              <w:rPr>
                <w:noProof/>
                <w:webHidden/>
              </w:rPr>
              <w:instrText xml:space="preserve"> PAGEREF _Toc60780984 \h </w:instrText>
            </w:r>
            <w:r w:rsidR="00420382">
              <w:rPr>
                <w:noProof/>
                <w:webHidden/>
              </w:rPr>
            </w:r>
            <w:r w:rsidR="00420382">
              <w:rPr>
                <w:noProof/>
                <w:webHidden/>
              </w:rPr>
              <w:fldChar w:fldCharType="separate"/>
            </w:r>
            <w:r w:rsidR="00420382">
              <w:rPr>
                <w:noProof/>
                <w:webHidden/>
              </w:rPr>
              <w:t>41</w:t>
            </w:r>
            <w:r w:rsidR="00420382">
              <w:rPr>
                <w:noProof/>
                <w:webHidden/>
              </w:rPr>
              <w:fldChar w:fldCharType="end"/>
            </w:r>
          </w:hyperlink>
        </w:p>
        <w:p w14:paraId="64043CF4" w14:textId="408F1E0C" w:rsidR="00420382" w:rsidRDefault="000B31AD">
          <w:pPr>
            <w:pStyle w:val="TM3"/>
            <w:tabs>
              <w:tab w:val="right" w:leader="dot" w:pos="9062"/>
            </w:tabs>
            <w:rPr>
              <w:noProof/>
            </w:rPr>
          </w:pPr>
          <w:hyperlink w:anchor="_Toc60780985" w:history="1">
            <w:r w:rsidR="00420382" w:rsidRPr="00AE5D3E">
              <w:rPr>
                <w:rStyle w:val="Lienhypertexte"/>
                <w:noProof/>
              </w:rPr>
              <w:t>Slide 33 : Allocation de proche aidant</w:t>
            </w:r>
            <w:r w:rsidR="00420382">
              <w:rPr>
                <w:noProof/>
                <w:webHidden/>
              </w:rPr>
              <w:tab/>
            </w:r>
            <w:r w:rsidR="00420382">
              <w:rPr>
                <w:noProof/>
                <w:webHidden/>
              </w:rPr>
              <w:fldChar w:fldCharType="begin"/>
            </w:r>
            <w:r w:rsidR="00420382">
              <w:rPr>
                <w:noProof/>
                <w:webHidden/>
              </w:rPr>
              <w:instrText xml:space="preserve"> PAGEREF _Toc60780985 \h </w:instrText>
            </w:r>
            <w:r w:rsidR="00420382">
              <w:rPr>
                <w:noProof/>
                <w:webHidden/>
              </w:rPr>
            </w:r>
            <w:r w:rsidR="00420382">
              <w:rPr>
                <w:noProof/>
                <w:webHidden/>
              </w:rPr>
              <w:fldChar w:fldCharType="separate"/>
            </w:r>
            <w:r w:rsidR="00420382">
              <w:rPr>
                <w:noProof/>
                <w:webHidden/>
              </w:rPr>
              <w:t>42</w:t>
            </w:r>
            <w:r w:rsidR="00420382">
              <w:rPr>
                <w:noProof/>
                <w:webHidden/>
              </w:rPr>
              <w:fldChar w:fldCharType="end"/>
            </w:r>
          </w:hyperlink>
        </w:p>
        <w:p w14:paraId="11A35940" w14:textId="4DB55CDC" w:rsidR="00420382" w:rsidRDefault="000B31AD">
          <w:pPr>
            <w:pStyle w:val="TM3"/>
            <w:tabs>
              <w:tab w:val="right" w:leader="dot" w:pos="9062"/>
            </w:tabs>
            <w:rPr>
              <w:noProof/>
            </w:rPr>
          </w:pPr>
          <w:hyperlink w:anchor="_Toc60780986" w:history="1">
            <w:r w:rsidR="00420382" w:rsidRPr="00AE5D3E">
              <w:rPr>
                <w:rStyle w:val="Lienhypertexte"/>
                <w:noProof/>
              </w:rPr>
              <w:t>Slide 34 : Prise en charge des frais de santé</w:t>
            </w:r>
            <w:r w:rsidR="00420382">
              <w:rPr>
                <w:noProof/>
                <w:webHidden/>
              </w:rPr>
              <w:tab/>
            </w:r>
            <w:r w:rsidR="00420382">
              <w:rPr>
                <w:noProof/>
                <w:webHidden/>
              </w:rPr>
              <w:fldChar w:fldCharType="begin"/>
            </w:r>
            <w:r w:rsidR="00420382">
              <w:rPr>
                <w:noProof/>
                <w:webHidden/>
              </w:rPr>
              <w:instrText xml:space="preserve"> PAGEREF _Toc60780986 \h </w:instrText>
            </w:r>
            <w:r w:rsidR="00420382">
              <w:rPr>
                <w:noProof/>
                <w:webHidden/>
              </w:rPr>
            </w:r>
            <w:r w:rsidR="00420382">
              <w:rPr>
                <w:noProof/>
                <w:webHidden/>
              </w:rPr>
              <w:fldChar w:fldCharType="separate"/>
            </w:r>
            <w:r w:rsidR="00420382">
              <w:rPr>
                <w:noProof/>
                <w:webHidden/>
              </w:rPr>
              <w:t>42</w:t>
            </w:r>
            <w:r w:rsidR="00420382">
              <w:rPr>
                <w:noProof/>
                <w:webHidden/>
              </w:rPr>
              <w:fldChar w:fldCharType="end"/>
            </w:r>
          </w:hyperlink>
        </w:p>
        <w:p w14:paraId="42A3A259" w14:textId="3438CF6C" w:rsidR="00420382" w:rsidRDefault="000B31AD">
          <w:pPr>
            <w:pStyle w:val="TM3"/>
            <w:tabs>
              <w:tab w:val="right" w:leader="dot" w:pos="9062"/>
            </w:tabs>
            <w:rPr>
              <w:noProof/>
            </w:rPr>
          </w:pPr>
          <w:hyperlink w:anchor="_Toc60780987" w:history="1">
            <w:r w:rsidR="00420382" w:rsidRPr="00AE5D3E">
              <w:rPr>
                <w:rStyle w:val="Lienhypertexte"/>
                <w:noProof/>
              </w:rPr>
              <w:t>Slide 35 : Création d’une aide à la vie partagée</w:t>
            </w:r>
            <w:r w:rsidR="00420382">
              <w:rPr>
                <w:noProof/>
                <w:webHidden/>
              </w:rPr>
              <w:tab/>
            </w:r>
            <w:r w:rsidR="00420382">
              <w:rPr>
                <w:noProof/>
                <w:webHidden/>
              </w:rPr>
              <w:fldChar w:fldCharType="begin"/>
            </w:r>
            <w:r w:rsidR="00420382">
              <w:rPr>
                <w:noProof/>
                <w:webHidden/>
              </w:rPr>
              <w:instrText xml:space="preserve"> PAGEREF _Toc60780987 \h </w:instrText>
            </w:r>
            <w:r w:rsidR="00420382">
              <w:rPr>
                <w:noProof/>
                <w:webHidden/>
              </w:rPr>
            </w:r>
            <w:r w:rsidR="00420382">
              <w:rPr>
                <w:noProof/>
                <w:webHidden/>
              </w:rPr>
              <w:fldChar w:fldCharType="separate"/>
            </w:r>
            <w:r w:rsidR="00420382">
              <w:rPr>
                <w:noProof/>
                <w:webHidden/>
              </w:rPr>
              <w:t>45</w:t>
            </w:r>
            <w:r w:rsidR="00420382">
              <w:rPr>
                <w:noProof/>
                <w:webHidden/>
              </w:rPr>
              <w:fldChar w:fldCharType="end"/>
            </w:r>
          </w:hyperlink>
        </w:p>
        <w:p w14:paraId="1A980FB8" w14:textId="78120032" w:rsidR="00420382" w:rsidRDefault="000B31AD">
          <w:pPr>
            <w:pStyle w:val="TM3"/>
            <w:tabs>
              <w:tab w:val="right" w:leader="dot" w:pos="9062"/>
            </w:tabs>
            <w:rPr>
              <w:noProof/>
            </w:rPr>
          </w:pPr>
          <w:hyperlink w:anchor="_Toc60780988" w:history="1">
            <w:r w:rsidR="00420382" w:rsidRPr="00AE5D3E">
              <w:rPr>
                <w:rStyle w:val="Lienhypertexte"/>
                <w:noProof/>
              </w:rPr>
              <w:t>Slide 36 : Pension de réversion</w:t>
            </w:r>
            <w:r w:rsidR="00420382">
              <w:rPr>
                <w:noProof/>
                <w:webHidden/>
              </w:rPr>
              <w:tab/>
            </w:r>
            <w:r w:rsidR="00420382">
              <w:rPr>
                <w:noProof/>
                <w:webHidden/>
              </w:rPr>
              <w:fldChar w:fldCharType="begin"/>
            </w:r>
            <w:r w:rsidR="00420382">
              <w:rPr>
                <w:noProof/>
                <w:webHidden/>
              </w:rPr>
              <w:instrText xml:space="preserve"> PAGEREF _Toc60780988 \h </w:instrText>
            </w:r>
            <w:r w:rsidR="00420382">
              <w:rPr>
                <w:noProof/>
                <w:webHidden/>
              </w:rPr>
            </w:r>
            <w:r w:rsidR="00420382">
              <w:rPr>
                <w:noProof/>
                <w:webHidden/>
              </w:rPr>
              <w:fldChar w:fldCharType="separate"/>
            </w:r>
            <w:r w:rsidR="00420382">
              <w:rPr>
                <w:noProof/>
                <w:webHidden/>
              </w:rPr>
              <w:t>45</w:t>
            </w:r>
            <w:r w:rsidR="00420382">
              <w:rPr>
                <w:noProof/>
                <w:webHidden/>
              </w:rPr>
              <w:fldChar w:fldCharType="end"/>
            </w:r>
          </w:hyperlink>
        </w:p>
        <w:p w14:paraId="569FC216" w14:textId="0789F0F8" w:rsidR="00420382" w:rsidRDefault="000B31AD">
          <w:pPr>
            <w:pStyle w:val="TM3"/>
            <w:tabs>
              <w:tab w:val="right" w:leader="dot" w:pos="9062"/>
            </w:tabs>
            <w:rPr>
              <w:noProof/>
            </w:rPr>
          </w:pPr>
          <w:hyperlink w:anchor="_Toc60780989" w:history="1">
            <w:r w:rsidR="00420382" w:rsidRPr="00AE5D3E">
              <w:rPr>
                <w:rStyle w:val="Lienhypertexte"/>
                <w:noProof/>
              </w:rPr>
              <w:t>Slide 37 : Mesures diverses</w:t>
            </w:r>
            <w:r w:rsidR="00420382">
              <w:rPr>
                <w:noProof/>
                <w:webHidden/>
              </w:rPr>
              <w:tab/>
            </w:r>
            <w:r w:rsidR="00420382">
              <w:rPr>
                <w:noProof/>
                <w:webHidden/>
              </w:rPr>
              <w:fldChar w:fldCharType="begin"/>
            </w:r>
            <w:r w:rsidR="00420382">
              <w:rPr>
                <w:noProof/>
                <w:webHidden/>
              </w:rPr>
              <w:instrText xml:space="preserve"> PAGEREF _Toc60780989 \h </w:instrText>
            </w:r>
            <w:r w:rsidR="00420382">
              <w:rPr>
                <w:noProof/>
                <w:webHidden/>
              </w:rPr>
            </w:r>
            <w:r w:rsidR="00420382">
              <w:rPr>
                <w:noProof/>
                <w:webHidden/>
              </w:rPr>
              <w:fldChar w:fldCharType="separate"/>
            </w:r>
            <w:r w:rsidR="00420382">
              <w:rPr>
                <w:noProof/>
                <w:webHidden/>
              </w:rPr>
              <w:t>46</w:t>
            </w:r>
            <w:r w:rsidR="00420382">
              <w:rPr>
                <w:noProof/>
                <w:webHidden/>
              </w:rPr>
              <w:fldChar w:fldCharType="end"/>
            </w:r>
          </w:hyperlink>
        </w:p>
        <w:p w14:paraId="49E5A154" w14:textId="04F731D7" w:rsidR="00420382" w:rsidRDefault="000B31AD">
          <w:pPr>
            <w:pStyle w:val="TM1"/>
            <w:tabs>
              <w:tab w:val="right" w:leader="dot" w:pos="9062"/>
            </w:tabs>
            <w:rPr>
              <w:noProof/>
              <w:sz w:val="22"/>
              <w:szCs w:val="22"/>
              <w:lang w:eastAsia="fr-FR"/>
            </w:rPr>
          </w:pPr>
          <w:hyperlink w:anchor="_Toc60780990" w:history="1">
            <w:r w:rsidR="00420382" w:rsidRPr="00AE5D3E">
              <w:rPr>
                <w:rStyle w:val="Lienhypertexte"/>
                <w:caps/>
                <w:noProof/>
              </w:rPr>
              <w:t>Dispositions applicables aux dirigeants et aux travailleurs indépendants</w:t>
            </w:r>
            <w:r w:rsidR="00420382">
              <w:rPr>
                <w:noProof/>
                <w:webHidden/>
              </w:rPr>
              <w:tab/>
            </w:r>
            <w:r w:rsidR="00420382">
              <w:rPr>
                <w:noProof/>
                <w:webHidden/>
              </w:rPr>
              <w:fldChar w:fldCharType="begin"/>
            </w:r>
            <w:r w:rsidR="00420382">
              <w:rPr>
                <w:noProof/>
                <w:webHidden/>
              </w:rPr>
              <w:instrText xml:space="preserve"> PAGEREF _Toc60780990 \h </w:instrText>
            </w:r>
            <w:r w:rsidR="00420382">
              <w:rPr>
                <w:noProof/>
                <w:webHidden/>
              </w:rPr>
            </w:r>
            <w:r w:rsidR="00420382">
              <w:rPr>
                <w:noProof/>
                <w:webHidden/>
              </w:rPr>
              <w:fldChar w:fldCharType="separate"/>
            </w:r>
            <w:r w:rsidR="00420382">
              <w:rPr>
                <w:noProof/>
                <w:webHidden/>
              </w:rPr>
              <w:t>49</w:t>
            </w:r>
            <w:r w:rsidR="00420382">
              <w:rPr>
                <w:noProof/>
                <w:webHidden/>
              </w:rPr>
              <w:fldChar w:fldCharType="end"/>
            </w:r>
          </w:hyperlink>
        </w:p>
        <w:p w14:paraId="096AFD78" w14:textId="734C38A2" w:rsidR="00420382" w:rsidRDefault="000B31AD">
          <w:pPr>
            <w:pStyle w:val="TM2"/>
            <w:tabs>
              <w:tab w:val="right" w:leader="dot" w:pos="9062"/>
            </w:tabs>
            <w:rPr>
              <w:noProof/>
              <w:sz w:val="22"/>
              <w:szCs w:val="22"/>
              <w:lang w:eastAsia="fr-FR"/>
            </w:rPr>
          </w:pPr>
          <w:hyperlink w:anchor="_Toc60780991" w:history="1">
            <w:r w:rsidR="00420382" w:rsidRPr="00AE5D3E">
              <w:rPr>
                <w:rStyle w:val="Lienhypertexte"/>
                <w:noProof/>
              </w:rPr>
              <w:t>Mesures sociales concernant les travailleurs indépendants</w:t>
            </w:r>
            <w:r w:rsidR="00420382">
              <w:rPr>
                <w:noProof/>
                <w:webHidden/>
              </w:rPr>
              <w:tab/>
            </w:r>
            <w:r w:rsidR="00420382">
              <w:rPr>
                <w:noProof/>
                <w:webHidden/>
              </w:rPr>
              <w:fldChar w:fldCharType="begin"/>
            </w:r>
            <w:r w:rsidR="00420382">
              <w:rPr>
                <w:noProof/>
                <w:webHidden/>
              </w:rPr>
              <w:instrText xml:space="preserve"> PAGEREF _Toc60780991 \h </w:instrText>
            </w:r>
            <w:r w:rsidR="00420382">
              <w:rPr>
                <w:noProof/>
                <w:webHidden/>
              </w:rPr>
            </w:r>
            <w:r w:rsidR="00420382">
              <w:rPr>
                <w:noProof/>
                <w:webHidden/>
              </w:rPr>
              <w:fldChar w:fldCharType="separate"/>
            </w:r>
            <w:r w:rsidR="00420382">
              <w:rPr>
                <w:noProof/>
                <w:webHidden/>
              </w:rPr>
              <w:t>50</w:t>
            </w:r>
            <w:r w:rsidR="00420382">
              <w:rPr>
                <w:noProof/>
                <w:webHidden/>
              </w:rPr>
              <w:fldChar w:fldCharType="end"/>
            </w:r>
          </w:hyperlink>
        </w:p>
        <w:p w14:paraId="688A91EC" w14:textId="24C1DA85" w:rsidR="00420382" w:rsidRDefault="000B31AD">
          <w:pPr>
            <w:pStyle w:val="TM3"/>
            <w:tabs>
              <w:tab w:val="right" w:leader="dot" w:pos="9062"/>
            </w:tabs>
            <w:rPr>
              <w:noProof/>
            </w:rPr>
          </w:pPr>
          <w:hyperlink w:anchor="_Toc60780992" w:history="1">
            <w:r w:rsidR="00420382" w:rsidRPr="00AE5D3E">
              <w:rPr>
                <w:rStyle w:val="Lienhypertexte"/>
                <w:noProof/>
              </w:rPr>
              <w:t>Slide 39 : Congé de paternité du travailleur indépendant</w:t>
            </w:r>
            <w:r w:rsidR="00420382">
              <w:rPr>
                <w:noProof/>
                <w:webHidden/>
              </w:rPr>
              <w:tab/>
            </w:r>
            <w:r w:rsidR="00420382">
              <w:rPr>
                <w:noProof/>
                <w:webHidden/>
              </w:rPr>
              <w:fldChar w:fldCharType="begin"/>
            </w:r>
            <w:r w:rsidR="00420382">
              <w:rPr>
                <w:noProof/>
                <w:webHidden/>
              </w:rPr>
              <w:instrText xml:space="preserve"> PAGEREF _Toc60780992 \h </w:instrText>
            </w:r>
            <w:r w:rsidR="00420382">
              <w:rPr>
                <w:noProof/>
                <w:webHidden/>
              </w:rPr>
            </w:r>
            <w:r w:rsidR="00420382">
              <w:rPr>
                <w:noProof/>
                <w:webHidden/>
              </w:rPr>
              <w:fldChar w:fldCharType="separate"/>
            </w:r>
            <w:r w:rsidR="00420382">
              <w:rPr>
                <w:noProof/>
                <w:webHidden/>
              </w:rPr>
              <w:t>50</w:t>
            </w:r>
            <w:r w:rsidR="00420382">
              <w:rPr>
                <w:noProof/>
                <w:webHidden/>
              </w:rPr>
              <w:fldChar w:fldCharType="end"/>
            </w:r>
          </w:hyperlink>
        </w:p>
        <w:p w14:paraId="270D06D1" w14:textId="4C0C9CE7" w:rsidR="00420382" w:rsidRDefault="000B31AD">
          <w:pPr>
            <w:pStyle w:val="TM3"/>
            <w:tabs>
              <w:tab w:val="right" w:leader="dot" w:pos="9062"/>
            </w:tabs>
            <w:rPr>
              <w:noProof/>
            </w:rPr>
          </w:pPr>
          <w:hyperlink w:anchor="_Toc60780993" w:history="1">
            <w:r w:rsidR="00420382" w:rsidRPr="00AE5D3E">
              <w:rPr>
                <w:rStyle w:val="Lienhypertexte"/>
                <w:noProof/>
              </w:rPr>
              <w:t xml:space="preserve">Slide 40 : </w:t>
            </w:r>
            <w:r w:rsidR="00420382" w:rsidRPr="00AE5D3E">
              <w:rPr>
                <w:rStyle w:val="Lienhypertexte"/>
                <w:rFonts w:cstheme="minorHAnsi"/>
                <w:noProof/>
              </w:rPr>
              <w:t>Indemnisation maladie des professionnels libéraux</w:t>
            </w:r>
            <w:r w:rsidR="00420382">
              <w:rPr>
                <w:noProof/>
                <w:webHidden/>
              </w:rPr>
              <w:tab/>
            </w:r>
            <w:r w:rsidR="00420382">
              <w:rPr>
                <w:noProof/>
                <w:webHidden/>
              </w:rPr>
              <w:fldChar w:fldCharType="begin"/>
            </w:r>
            <w:r w:rsidR="00420382">
              <w:rPr>
                <w:noProof/>
                <w:webHidden/>
              </w:rPr>
              <w:instrText xml:space="preserve"> PAGEREF _Toc60780993 \h </w:instrText>
            </w:r>
            <w:r w:rsidR="00420382">
              <w:rPr>
                <w:noProof/>
                <w:webHidden/>
              </w:rPr>
            </w:r>
            <w:r w:rsidR="00420382">
              <w:rPr>
                <w:noProof/>
                <w:webHidden/>
              </w:rPr>
              <w:fldChar w:fldCharType="separate"/>
            </w:r>
            <w:r w:rsidR="00420382">
              <w:rPr>
                <w:noProof/>
                <w:webHidden/>
              </w:rPr>
              <w:t>50</w:t>
            </w:r>
            <w:r w:rsidR="00420382">
              <w:rPr>
                <w:noProof/>
                <w:webHidden/>
              </w:rPr>
              <w:fldChar w:fldCharType="end"/>
            </w:r>
          </w:hyperlink>
        </w:p>
        <w:p w14:paraId="39CB51F9" w14:textId="0FEF4D0E" w:rsidR="00420382" w:rsidRDefault="000B31AD">
          <w:pPr>
            <w:pStyle w:val="TM3"/>
            <w:tabs>
              <w:tab w:val="right" w:leader="dot" w:pos="9062"/>
            </w:tabs>
            <w:rPr>
              <w:noProof/>
            </w:rPr>
          </w:pPr>
          <w:hyperlink w:anchor="_Toc60780994" w:history="1">
            <w:r w:rsidR="00420382" w:rsidRPr="00AE5D3E">
              <w:rPr>
                <w:rStyle w:val="Lienhypertexte"/>
                <w:noProof/>
              </w:rPr>
              <w:t>Slide 41 : Affiliation du travailleur indépendant « proche aidant »</w:t>
            </w:r>
            <w:r w:rsidR="00420382">
              <w:rPr>
                <w:noProof/>
                <w:webHidden/>
              </w:rPr>
              <w:tab/>
            </w:r>
            <w:r w:rsidR="00420382">
              <w:rPr>
                <w:noProof/>
                <w:webHidden/>
              </w:rPr>
              <w:fldChar w:fldCharType="begin"/>
            </w:r>
            <w:r w:rsidR="00420382">
              <w:rPr>
                <w:noProof/>
                <w:webHidden/>
              </w:rPr>
              <w:instrText xml:space="preserve"> PAGEREF _Toc60780994 \h </w:instrText>
            </w:r>
            <w:r w:rsidR="00420382">
              <w:rPr>
                <w:noProof/>
                <w:webHidden/>
              </w:rPr>
            </w:r>
            <w:r w:rsidR="00420382">
              <w:rPr>
                <w:noProof/>
                <w:webHidden/>
              </w:rPr>
              <w:fldChar w:fldCharType="separate"/>
            </w:r>
            <w:r w:rsidR="00420382">
              <w:rPr>
                <w:noProof/>
                <w:webHidden/>
              </w:rPr>
              <w:t>51</w:t>
            </w:r>
            <w:r w:rsidR="00420382">
              <w:rPr>
                <w:noProof/>
                <w:webHidden/>
              </w:rPr>
              <w:fldChar w:fldCharType="end"/>
            </w:r>
          </w:hyperlink>
        </w:p>
        <w:p w14:paraId="48149353" w14:textId="0EB5DB05" w:rsidR="00420382" w:rsidRDefault="000B31AD">
          <w:pPr>
            <w:pStyle w:val="TM3"/>
            <w:tabs>
              <w:tab w:val="right" w:leader="dot" w:pos="9062"/>
            </w:tabs>
            <w:rPr>
              <w:noProof/>
            </w:rPr>
          </w:pPr>
          <w:hyperlink w:anchor="_Toc60780995" w:history="1">
            <w:r w:rsidR="00420382" w:rsidRPr="00AE5D3E">
              <w:rPr>
                <w:rStyle w:val="Lienhypertexte"/>
                <w:noProof/>
              </w:rPr>
              <w:t>Slide 42 : Majoration due par les travailleurs indépendants en cas de non résPêct de l’obligation de dématérialisation</w:t>
            </w:r>
            <w:r w:rsidR="00420382">
              <w:rPr>
                <w:noProof/>
                <w:webHidden/>
              </w:rPr>
              <w:tab/>
            </w:r>
            <w:r w:rsidR="00420382">
              <w:rPr>
                <w:noProof/>
                <w:webHidden/>
              </w:rPr>
              <w:fldChar w:fldCharType="begin"/>
            </w:r>
            <w:r w:rsidR="00420382">
              <w:rPr>
                <w:noProof/>
                <w:webHidden/>
              </w:rPr>
              <w:instrText xml:space="preserve"> PAGEREF _Toc60780995 \h </w:instrText>
            </w:r>
            <w:r w:rsidR="00420382">
              <w:rPr>
                <w:noProof/>
                <w:webHidden/>
              </w:rPr>
            </w:r>
            <w:r w:rsidR="00420382">
              <w:rPr>
                <w:noProof/>
                <w:webHidden/>
              </w:rPr>
              <w:fldChar w:fldCharType="separate"/>
            </w:r>
            <w:r w:rsidR="00420382">
              <w:rPr>
                <w:noProof/>
                <w:webHidden/>
              </w:rPr>
              <w:t>51</w:t>
            </w:r>
            <w:r w:rsidR="00420382">
              <w:rPr>
                <w:noProof/>
                <w:webHidden/>
              </w:rPr>
              <w:fldChar w:fldCharType="end"/>
            </w:r>
          </w:hyperlink>
        </w:p>
        <w:p w14:paraId="5864B722" w14:textId="27F8C0D5" w:rsidR="00420382" w:rsidRDefault="000B31AD">
          <w:pPr>
            <w:pStyle w:val="TM1"/>
            <w:tabs>
              <w:tab w:val="right" w:leader="dot" w:pos="9062"/>
            </w:tabs>
            <w:rPr>
              <w:noProof/>
              <w:sz w:val="22"/>
              <w:szCs w:val="22"/>
              <w:lang w:eastAsia="fr-FR"/>
            </w:rPr>
          </w:pPr>
          <w:hyperlink w:anchor="_Toc60780996" w:history="1">
            <w:r w:rsidR="00420382" w:rsidRPr="00AE5D3E">
              <w:rPr>
                <w:rStyle w:val="Lienhypertexte"/>
                <w:caps/>
                <w:noProof/>
              </w:rPr>
              <w:t>Dispositions applicables aux entreprises</w:t>
            </w:r>
            <w:r w:rsidR="00420382">
              <w:rPr>
                <w:noProof/>
                <w:webHidden/>
              </w:rPr>
              <w:tab/>
            </w:r>
            <w:r w:rsidR="00420382">
              <w:rPr>
                <w:noProof/>
                <w:webHidden/>
              </w:rPr>
              <w:fldChar w:fldCharType="begin"/>
            </w:r>
            <w:r w:rsidR="00420382">
              <w:rPr>
                <w:noProof/>
                <w:webHidden/>
              </w:rPr>
              <w:instrText xml:space="preserve"> PAGEREF _Toc60780996 \h </w:instrText>
            </w:r>
            <w:r w:rsidR="00420382">
              <w:rPr>
                <w:noProof/>
                <w:webHidden/>
              </w:rPr>
            </w:r>
            <w:r w:rsidR="00420382">
              <w:rPr>
                <w:noProof/>
                <w:webHidden/>
              </w:rPr>
              <w:fldChar w:fldCharType="separate"/>
            </w:r>
            <w:r w:rsidR="00420382">
              <w:rPr>
                <w:noProof/>
                <w:webHidden/>
              </w:rPr>
              <w:t>53</w:t>
            </w:r>
            <w:r w:rsidR="00420382">
              <w:rPr>
                <w:noProof/>
                <w:webHidden/>
              </w:rPr>
              <w:fldChar w:fldCharType="end"/>
            </w:r>
          </w:hyperlink>
        </w:p>
        <w:p w14:paraId="2AD28758" w14:textId="2374D541" w:rsidR="00420382" w:rsidRDefault="000B31AD">
          <w:pPr>
            <w:pStyle w:val="TM2"/>
            <w:tabs>
              <w:tab w:val="right" w:leader="dot" w:pos="9062"/>
            </w:tabs>
            <w:rPr>
              <w:noProof/>
              <w:sz w:val="22"/>
              <w:szCs w:val="22"/>
              <w:lang w:eastAsia="fr-FR"/>
            </w:rPr>
          </w:pPr>
          <w:hyperlink w:anchor="_Toc60780997" w:history="1">
            <w:r w:rsidR="00420382" w:rsidRPr="00AE5D3E">
              <w:rPr>
                <w:rStyle w:val="Lienhypertexte"/>
                <w:noProof/>
              </w:rPr>
              <w:t>Modalités de calcul de l’impôt sur les bénéfices</w:t>
            </w:r>
            <w:r w:rsidR="00420382">
              <w:rPr>
                <w:noProof/>
                <w:webHidden/>
              </w:rPr>
              <w:tab/>
            </w:r>
            <w:r w:rsidR="00420382">
              <w:rPr>
                <w:noProof/>
                <w:webHidden/>
              </w:rPr>
              <w:fldChar w:fldCharType="begin"/>
            </w:r>
            <w:r w:rsidR="00420382">
              <w:rPr>
                <w:noProof/>
                <w:webHidden/>
              </w:rPr>
              <w:instrText xml:space="preserve"> PAGEREF _Toc60780997 \h </w:instrText>
            </w:r>
            <w:r w:rsidR="00420382">
              <w:rPr>
                <w:noProof/>
                <w:webHidden/>
              </w:rPr>
            </w:r>
            <w:r w:rsidR="00420382">
              <w:rPr>
                <w:noProof/>
                <w:webHidden/>
              </w:rPr>
              <w:fldChar w:fldCharType="separate"/>
            </w:r>
            <w:r w:rsidR="00420382">
              <w:rPr>
                <w:noProof/>
                <w:webHidden/>
              </w:rPr>
              <w:t>54</w:t>
            </w:r>
            <w:r w:rsidR="00420382">
              <w:rPr>
                <w:noProof/>
                <w:webHidden/>
              </w:rPr>
              <w:fldChar w:fldCharType="end"/>
            </w:r>
          </w:hyperlink>
        </w:p>
        <w:p w14:paraId="699EF556" w14:textId="7B0FFD86" w:rsidR="00420382" w:rsidRDefault="000B31AD">
          <w:pPr>
            <w:pStyle w:val="TM3"/>
            <w:tabs>
              <w:tab w:val="right" w:leader="dot" w:pos="9062"/>
            </w:tabs>
            <w:rPr>
              <w:noProof/>
            </w:rPr>
          </w:pPr>
          <w:hyperlink w:anchor="_Toc60780998" w:history="1">
            <w:r w:rsidR="00420382" w:rsidRPr="00AE5D3E">
              <w:rPr>
                <w:rStyle w:val="Lienhypertexte"/>
                <w:noProof/>
              </w:rPr>
              <w:t>Slide 44 : Neutralisation fiscale de la réévaluation des actifs</w:t>
            </w:r>
            <w:r w:rsidR="00420382">
              <w:rPr>
                <w:noProof/>
                <w:webHidden/>
              </w:rPr>
              <w:tab/>
            </w:r>
            <w:r w:rsidR="00420382">
              <w:rPr>
                <w:noProof/>
                <w:webHidden/>
              </w:rPr>
              <w:fldChar w:fldCharType="begin"/>
            </w:r>
            <w:r w:rsidR="00420382">
              <w:rPr>
                <w:noProof/>
                <w:webHidden/>
              </w:rPr>
              <w:instrText xml:space="preserve"> PAGEREF _Toc60780998 \h </w:instrText>
            </w:r>
            <w:r w:rsidR="00420382">
              <w:rPr>
                <w:noProof/>
                <w:webHidden/>
              </w:rPr>
            </w:r>
            <w:r w:rsidR="00420382">
              <w:rPr>
                <w:noProof/>
                <w:webHidden/>
              </w:rPr>
              <w:fldChar w:fldCharType="separate"/>
            </w:r>
            <w:r w:rsidR="00420382">
              <w:rPr>
                <w:noProof/>
                <w:webHidden/>
              </w:rPr>
              <w:t>54</w:t>
            </w:r>
            <w:r w:rsidR="00420382">
              <w:rPr>
                <w:noProof/>
                <w:webHidden/>
              </w:rPr>
              <w:fldChar w:fldCharType="end"/>
            </w:r>
          </w:hyperlink>
        </w:p>
        <w:p w14:paraId="1236D131" w14:textId="3EBC0F7B" w:rsidR="00420382" w:rsidRDefault="000B31AD">
          <w:pPr>
            <w:pStyle w:val="TM3"/>
            <w:tabs>
              <w:tab w:val="right" w:leader="dot" w:pos="9062"/>
            </w:tabs>
            <w:rPr>
              <w:noProof/>
            </w:rPr>
          </w:pPr>
          <w:hyperlink w:anchor="_Toc60780999" w:history="1">
            <w:r w:rsidR="00420382" w:rsidRPr="00AE5D3E">
              <w:rPr>
                <w:rStyle w:val="Lienhypertexte"/>
                <w:noProof/>
              </w:rPr>
              <w:t>Slide 45 : Organisme de gestion agréé</w:t>
            </w:r>
            <w:r w:rsidR="00420382">
              <w:rPr>
                <w:noProof/>
                <w:webHidden/>
              </w:rPr>
              <w:tab/>
            </w:r>
            <w:r w:rsidR="00420382">
              <w:rPr>
                <w:noProof/>
                <w:webHidden/>
              </w:rPr>
              <w:fldChar w:fldCharType="begin"/>
            </w:r>
            <w:r w:rsidR="00420382">
              <w:rPr>
                <w:noProof/>
                <w:webHidden/>
              </w:rPr>
              <w:instrText xml:space="preserve"> PAGEREF _Toc60780999 \h </w:instrText>
            </w:r>
            <w:r w:rsidR="00420382">
              <w:rPr>
                <w:noProof/>
                <w:webHidden/>
              </w:rPr>
            </w:r>
            <w:r w:rsidR="00420382">
              <w:rPr>
                <w:noProof/>
                <w:webHidden/>
              </w:rPr>
              <w:fldChar w:fldCharType="separate"/>
            </w:r>
            <w:r w:rsidR="00420382">
              <w:rPr>
                <w:noProof/>
                <w:webHidden/>
              </w:rPr>
              <w:t>54</w:t>
            </w:r>
            <w:r w:rsidR="00420382">
              <w:rPr>
                <w:noProof/>
                <w:webHidden/>
              </w:rPr>
              <w:fldChar w:fldCharType="end"/>
            </w:r>
          </w:hyperlink>
        </w:p>
        <w:p w14:paraId="5C03FC52" w14:textId="1DB65817" w:rsidR="00420382" w:rsidRDefault="000B31AD">
          <w:pPr>
            <w:pStyle w:val="TM3"/>
            <w:tabs>
              <w:tab w:val="right" w:leader="dot" w:pos="9062"/>
            </w:tabs>
            <w:rPr>
              <w:noProof/>
            </w:rPr>
          </w:pPr>
          <w:hyperlink w:anchor="_Toc60781000" w:history="1">
            <w:r w:rsidR="00420382" w:rsidRPr="00AE5D3E">
              <w:rPr>
                <w:rStyle w:val="Lienhypertexte"/>
                <w:noProof/>
              </w:rPr>
              <w:t>Slide 46 : Taux réduit d’IS à 15 %</w:t>
            </w:r>
            <w:r w:rsidR="00420382">
              <w:rPr>
                <w:noProof/>
                <w:webHidden/>
              </w:rPr>
              <w:tab/>
            </w:r>
            <w:r w:rsidR="00420382">
              <w:rPr>
                <w:noProof/>
                <w:webHidden/>
              </w:rPr>
              <w:fldChar w:fldCharType="begin"/>
            </w:r>
            <w:r w:rsidR="00420382">
              <w:rPr>
                <w:noProof/>
                <w:webHidden/>
              </w:rPr>
              <w:instrText xml:space="preserve"> PAGEREF _Toc60781000 \h </w:instrText>
            </w:r>
            <w:r w:rsidR="00420382">
              <w:rPr>
                <w:noProof/>
                <w:webHidden/>
              </w:rPr>
            </w:r>
            <w:r w:rsidR="00420382">
              <w:rPr>
                <w:noProof/>
                <w:webHidden/>
              </w:rPr>
              <w:fldChar w:fldCharType="separate"/>
            </w:r>
            <w:r w:rsidR="00420382">
              <w:rPr>
                <w:noProof/>
                <w:webHidden/>
              </w:rPr>
              <w:t>55</w:t>
            </w:r>
            <w:r w:rsidR="00420382">
              <w:rPr>
                <w:noProof/>
                <w:webHidden/>
              </w:rPr>
              <w:fldChar w:fldCharType="end"/>
            </w:r>
          </w:hyperlink>
        </w:p>
        <w:p w14:paraId="1FF3C67C" w14:textId="4C611CFF" w:rsidR="00420382" w:rsidRDefault="000B31AD">
          <w:pPr>
            <w:pStyle w:val="TM3"/>
            <w:tabs>
              <w:tab w:val="right" w:leader="dot" w:pos="9062"/>
            </w:tabs>
            <w:rPr>
              <w:noProof/>
            </w:rPr>
          </w:pPr>
          <w:hyperlink w:anchor="_Toc60781001" w:history="1">
            <w:r w:rsidR="00420382" w:rsidRPr="00AE5D3E">
              <w:rPr>
                <w:rStyle w:val="Lienhypertexte"/>
                <w:noProof/>
              </w:rPr>
              <w:t>Slide 47 : Entreprises en difficultés</w:t>
            </w:r>
            <w:r w:rsidR="00420382">
              <w:rPr>
                <w:noProof/>
                <w:webHidden/>
              </w:rPr>
              <w:tab/>
            </w:r>
            <w:r w:rsidR="00420382">
              <w:rPr>
                <w:noProof/>
                <w:webHidden/>
              </w:rPr>
              <w:fldChar w:fldCharType="begin"/>
            </w:r>
            <w:r w:rsidR="00420382">
              <w:rPr>
                <w:noProof/>
                <w:webHidden/>
              </w:rPr>
              <w:instrText xml:space="preserve"> PAGEREF _Toc60781001 \h </w:instrText>
            </w:r>
            <w:r w:rsidR="00420382">
              <w:rPr>
                <w:noProof/>
                <w:webHidden/>
              </w:rPr>
            </w:r>
            <w:r w:rsidR="00420382">
              <w:rPr>
                <w:noProof/>
                <w:webHidden/>
              </w:rPr>
              <w:fldChar w:fldCharType="separate"/>
            </w:r>
            <w:r w:rsidR="00420382">
              <w:rPr>
                <w:noProof/>
                <w:webHidden/>
              </w:rPr>
              <w:t>55</w:t>
            </w:r>
            <w:r w:rsidR="00420382">
              <w:rPr>
                <w:noProof/>
                <w:webHidden/>
              </w:rPr>
              <w:fldChar w:fldCharType="end"/>
            </w:r>
          </w:hyperlink>
        </w:p>
        <w:p w14:paraId="66123DB7" w14:textId="6AD78837" w:rsidR="00420382" w:rsidRDefault="000B31AD">
          <w:pPr>
            <w:pStyle w:val="TM3"/>
            <w:tabs>
              <w:tab w:val="right" w:leader="dot" w:pos="9062"/>
            </w:tabs>
            <w:rPr>
              <w:noProof/>
            </w:rPr>
          </w:pPr>
          <w:hyperlink w:anchor="_Toc60781002" w:history="1">
            <w:r w:rsidR="00420382" w:rsidRPr="00AE5D3E">
              <w:rPr>
                <w:rStyle w:val="Lienhypertexte"/>
                <w:noProof/>
              </w:rPr>
              <w:t>Slide 48 : Opérations de cession-bail d’immeuble</w:t>
            </w:r>
            <w:r w:rsidR="00420382">
              <w:rPr>
                <w:noProof/>
                <w:webHidden/>
              </w:rPr>
              <w:tab/>
            </w:r>
            <w:r w:rsidR="00420382">
              <w:rPr>
                <w:noProof/>
                <w:webHidden/>
              </w:rPr>
              <w:fldChar w:fldCharType="begin"/>
            </w:r>
            <w:r w:rsidR="00420382">
              <w:rPr>
                <w:noProof/>
                <w:webHidden/>
              </w:rPr>
              <w:instrText xml:space="preserve"> PAGEREF _Toc60781002 \h </w:instrText>
            </w:r>
            <w:r w:rsidR="00420382">
              <w:rPr>
                <w:noProof/>
                <w:webHidden/>
              </w:rPr>
            </w:r>
            <w:r w:rsidR="00420382">
              <w:rPr>
                <w:noProof/>
                <w:webHidden/>
              </w:rPr>
              <w:fldChar w:fldCharType="separate"/>
            </w:r>
            <w:r w:rsidR="00420382">
              <w:rPr>
                <w:noProof/>
                <w:webHidden/>
              </w:rPr>
              <w:t>56</w:t>
            </w:r>
            <w:r w:rsidR="00420382">
              <w:rPr>
                <w:noProof/>
                <w:webHidden/>
              </w:rPr>
              <w:fldChar w:fldCharType="end"/>
            </w:r>
          </w:hyperlink>
        </w:p>
        <w:p w14:paraId="64D677EF" w14:textId="3C979DCA" w:rsidR="00420382" w:rsidRDefault="000B31AD">
          <w:pPr>
            <w:pStyle w:val="TM3"/>
            <w:tabs>
              <w:tab w:val="right" w:leader="dot" w:pos="9062"/>
            </w:tabs>
            <w:rPr>
              <w:noProof/>
            </w:rPr>
          </w:pPr>
          <w:hyperlink w:anchor="_Toc60781003" w:history="1">
            <w:r w:rsidR="00420382" w:rsidRPr="00AE5D3E">
              <w:rPr>
                <w:rStyle w:val="Lienhypertexte"/>
                <w:noProof/>
              </w:rPr>
              <w:t>Slide 49 : Plus-values de cession d’un local professionnel ou d’un terrain à bâtir destiné à être transformé en logements</w:t>
            </w:r>
            <w:r w:rsidR="00420382">
              <w:rPr>
                <w:noProof/>
                <w:webHidden/>
              </w:rPr>
              <w:tab/>
            </w:r>
            <w:r w:rsidR="00420382">
              <w:rPr>
                <w:noProof/>
                <w:webHidden/>
              </w:rPr>
              <w:fldChar w:fldCharType="begin"/>
            </w:r>
            <w:r w:rsidR="00420382">
              <w:rPr>
                <w:noProof/>
                <w:webHidden/>
              </w:rPr>
              <w:instrText xml:space="preserve"> PAGEREF _Toc60781003 \h </w:instrText>
            </w:r>
            <w:r w:rsidR="00420382">
              <w:rPr>
                <w:noProof/>
                <w:webHidden/>
              </w:rPr>
            </w:r>
            <w:r w:rsidR="00420382">
              <w:rPr>
                <w:noProof/>
                <w:webHidden/>
              </w:rPr>
              <w:fldChar w:fldCharType="separate"/>
            </w:r>
            <w:r w:rsidR="00420382">
              <w:rPr>
                <w:noProof/>
                <w:webHidden/>
              </w:rPr>
              <w:t>57</w:t>
            </w:r>
            <w:r w:rsidR="00420382">
              <w:rPr>
                <w:noProof/>
                <w:webHidden/>
              </w:rPr>
              <w:fldChar w:fldCharType="end"/>
            </w:r>
          </w:hyperlink>
        </w:p>
        <w:p w14:paraId="12C3FF97" w14:textId="729742AD" w:rsidR="00420382" w:rsidRDefault="000B31AD">
          <w:pPr>
            <w:pStyle w:val="TM3"/>
            <w:tabs>
              <w:tab w:val="right" w:leader="dot" w:pos="9062"/>
            </w:tabs>
            <w:rPr>
              <w:noProof/>
            </w:rPr>
          </w:pPr>
          <w:hyperlink w:anchor="_Toc60781004" w:history="1">
            <w:r w:rsidR="00420382" w:rsidRPr="00AE5D3E">
              <w:rPr>
                <w:rStyle w:val="Lienhypertexte"/>
                <w:noProof/>
              </w:rPr>
              <w:t>Slide 50 : Restructuration dans les groupes de société</w:t>
            </w:r>
            <w:r w:rsidR="00420382">
              <w:rPr>
                <w:noProof/>
                <w:webHidden/>
              </w:rPr>
              <w:tab/>
            </w:r>
            <w:r w:rsidR="00420382">
              <w:rPr>
                <w:noProof/>
                <w:webHidden/>
              </w:rPr>
              <w:fldChar w:fldCharType="begin"/>
            </w:r>
            <w:r w:rsidR="00420382">
              <w:rPr>
                <w:noProof/>
                <w:webHidden/>
              </w:rPr>
              <w:instrText xml:space="preserve"> PAGEREF _Toc60781004 \h </w:instrText>
            </w:r>
            <w:r w:rsidR="00420382">
              <w:rPr>
                <w:noProof/>
                <w:webHidden/>
              </w:rPr>
            </w:r>
            <w:r w:rsidR="00420382">
              <w:rPr>
                <w:noProof/>
                <w:webHidden/>
              </w:rPr>
              <w:fldChar w:fldCharType="separate"/>
            </w:r>
            <w:r w:rsidR="00420382">
              <w:rPr>
                <w:noProof/>
                <w:webHidden/>
              </w:rPr>
              <w:t>59</w:t>
            </w:r>
            <w:r w:rsidR="00420382">
              <w:rPr>
                <w:noProof/>
                <w:webHidden/>
              </w:rPr>
              <w:fldChar w:fldCharType="end"/>
            </w:r>
          </w:hyperlink>
        </w:p>
        <w:p w14:paraId="04310FB0" w14:textId="414059A1" w:rsidR="00420382" w:rsidRDefault="000B31AD">
          <w:pPr>
            <w:pStyle w:val="TM2"/>
            <w:tabs>
              <w:tab w:val="right" w:leader="dot" w:pos="9062"/>
            </w:tabs>
            <w:rPr>
              <w:noProof/>
              <w:sz w:val="22"/>
              <w:szCs w:val="22"/>
              <w:lang w:eastAsia="fr-FR"/>
            </w:rPr>
          </w:pPr>
          <w:hyperlink w:anchor="_Toc60781005" w:history="1">
            <w:r w:rsidR="00420382" w:rsidRPr="00AE5D3E">
              <w:rPr>
                <w:rStyle w:val="Lienhypertexte"/>
                <w:noProof/>
              </w:rPr>
              <w:t>Réductions et crédits d’impôt</w:t>
            </w:r>
            <w:r w:rsidR="00420382">
              <w:rPr>
                <w:noProof/>
                <w:webHidden/>
              </w:rPr>
              <w:tab/>
            </w:r>
            <w:r w:rsidR="00420382">
              <w:rPr>
                <w:noProof/>
                <w:webHidden/>
              </w:rPr>
              <w:fldChar w:fldCharType="begin"/>
            </w:r>
            <w:r w:rsidR="00420382">
              <w:rPr>
                <w:noProof/>
                <w:webHidden/>
              </w:rPr>
              <w:instrText xml:space="preserve"> PAGEREF _Toc60781005 \h </w:instrText>
            </w:r>
            <w:r w:rsidR="00420382">
              <w:rPr>
                <w:noProof/>
                <w:webHidden/>
              </w:rPr>
            </w:r>
            <w:r w:rsidR="00420382">
              <w:rPr>
                <w:noProof/>
                <w:webHidden/>
              </w:rPr>
              <w:fldChar w:fldCharType="separate"/>
            </w:r>
            <w:r w:rsidR="00420382">
              <w:rPr>
                <w:noProof/>
                <w:webHidden/>
              </w:rPr>
              <w:t>61</w:t>
            </w:r>
            <w:r w:rsidR="00420382">
              <w:rPr>
                <w:noProof/>
                <w:webHidden/>
              </w:rPr>
              <w:fldChar w:fldCharType="end"/>
            </w:r>
          </w:hyperlink>
        </w:p>
        <w:p w14:paraId="69337F85" w14:textId="79029C79" w:rsidR="00420382" w:rsidRDefault="000B31AD">
          <w:pPr>
            <w:pStyle w:val="TM3"/>
            <w:tabs>
              <w:tab w:val="right" w:leader="dot" w:pos="9062"/>
            </w:tabs>
            <w:rPr>
              <w:noProof/>
            </w:rPr>
          </w:pPr>
          <w:hyperlink w:anchor="_Toc60781006" w:history="1">
            <w:r w:rsidR="00420382" w:rsidRPr="00AE5D3E">
              <w:rPr>
                <w:rStyle w:val="Lienhypertexte"/>
                <w:noProof/>
              </w:rPr>
              <w:t>Slide 51 : Crédit d’impôt recherche et crédit d’impôt innovation</w:t>
            </w:r>
            <w:r w:rsidR="00420382">
              <w:rPr>
                <w:noProof/>
                <w:webHidden/>
              </w:rPr>
              <w:tab/>
            </w:r>
            <w:r w:rsidR="00420382">
              <w:rPr>
                <w:noProof/>
                <w:webHidden/>
              </w:rPr>
              <w:fldChar w:fldCharType="begin"/>
            </w:r>
            <w:r w:rsidR="00420382">
              <w:rPr>
                <w:noProof/>
                <w:webHidden/>
              </w:rPr>
              <w:instrText xml:space="preserve"> PAGEREF _Toc60781006 \h </w:instrText>
            </w:r>
            <w:r w:rsidR="00420382">
              <w:rPr>
                <w:noProof/>
                <w:webHidden/>
              </w:rPr>
            </w:r>
            <w:r w:rsidR="00420382">
              <w:rPr>
                <w:noProof/>
                <w:webHidden/>
              </w:rPr>
              <w:fldChar w:fldCharType="separate"/>
            </w:r>
            <w:r w:rsidR="00420382">
              <w:rPr>
                <w:noProof/>
                <w:webHidden/>
              </w:rPr>
              <w:t>61</w:t>
            </w:r>
            <w:r w:rsidR="00420382">
              <w:rPr>
                <w:noProof/>
                <w:webHidden/>
              </w:rPr>
              <w:fldChar w:fldCharType="end"/>
            </w:r>
          </w:hyperlink>
        </w:p>
        <w:p w14:paraId="77AFEE13" w14:textId="39713BE8" w:rsidR="00420382" w:rsidRDefault="000B31AD">
          <w:pPr>
            <w:pStyle w:val="TM3"/>
            <w:tabs>
              <w:tab w:val="right" w:leader="dot" w:pos="9062"/>
            </w:tabs>
            <w:rPr>
              <w:noProof/>
            </w:rPr>
          </w:pPr>
          <w:hyperlink w:anchor="_Toc60781007" w:history="1">
            <w:r w:rsidR="00420382" w:rsidRPr="00AE5D3E">
              <w:rPr>
                <w:rStyle w:val="Lienhypertexte"/>
                <w:noProof/>
              </w:rPr>
              <w:t>Slide 52 : Crédit d’impôt pour la rénovation énergétique des bâtiments</w:t>
            </w:r>
            <w:r w:rsidR="00420382">
              <w:rPr>
                <w:noProof/>
                <w:webHidden/>
              </w:rPr>
              <w:tab/>
            </w:r>
            <w:r w:rsidR="00420382">
              <w:rPr>
                <w:noProof/>
                <w:webHidden/>
              </w:rPr>
              <w:fldChar w:fldCharType="begin"/>
            </w:r>
            <w:r w:rsidR="00420382">
              <w:rPr>
                <w:noProof/>
                <w:webHidden/>
              </w:rPr>
              <w:instrText xml:space="preserve"> PAGEREF _Toc60781007 \h </w:instrText>
            </w:r>
            <w:r w:rsidR="00420382">
              <w:rPr>
                <w:noProof/>
                <w:webHidden/>
              </w:rPr>
            </w:r>
            <w:r w:rsidR="00420382">
              <w:rPr>
                <w:noProof/>
                <w:webHidden/>
              </w:rPr>
              <w:fldChar w:fldCharType="separate"/>
            </w:r>
            <w:r w:rsidR="00420382">
              <w:rPr>
                <w:noProof/>
                <w:webHidden/>
              </w:rPr>
              <w:t>63</w:t>
            </w:r>
            <w:r w:rsidR="00420382">
              <w:rPr>
                <w:noProof/>
                <w:webHidden/>
              </w:rPr>
              <w:fldChar w:fldCharType="end"/>
            </w:r>
          </w:hyperlink>
        </w:p>
        <w:p w14:paraId="334D4A29" w14:textId="2FAA91F4" w:rsidR="00420382" w:rsidRDefault="000B31AD">
          <w:pPr>
            <w:pStyle w:val="TM3"/>
            <w:tabs>
              <w:tab w:val="right" w:leader="dot" w:pos="9062"/>
            </w:tabs>
            <w:rPr>
              <w:noProof/>
            </w:rPr>
          </w:pPr>
          <w:hyperlink w:anchor="_Toc60781008" w:history="1">
            <w:r w:rsidR="00420382" w:rsidRPr="00AE5D3E">
              <w:rPr>
                <w:rStyle w:val="Lienhypertexte"/>
                <w:noProof/>
              </w:rPr>
              <w:t>Slide 53 : Souscription au capital d’une entreprise de presse</w:t>
            </w:r>
            <w:r w:rsidR="00420382">
              <w:rPr>
                <w:noProof/>
                <w:webHidden/>
              </w:rPr>
              <w:tab/>
            </w:r>
            <w:r w:rsidR="00420382">
              <w:rPr>
                <w:noProof/>
                <w:webHidden/>
              </w:rPr>
              <w:fldChar w:fldCharType="begin"/>
            </w:r>
            <w:r w:rsidR="00420382">
              <w:rPr>
                <w:noProof/>
                <w:webHidden/>
              </w:rPr>
              <w:instrText xml:space="preserve"> PAGEREF _Toc60781008 \h </w:instrText>
            </w:r>
            <w:r w:rsidR="00420382">
              <w:rPr>
                <w:noProof/>
                <w:webHidden/>
              </w:rPr>
            </w:r>
            <w:r w:rsidR="00420382">
              <w:rPr>
                <w:noProof/>
                <w:webHidden/>
              </w:rPr>
              <w:fldChar w:fldCharType="separate"/>
            </w:r>
            <w:r w:rsidR="00420382">
              <w:rPr>
                <w:noProof/>
                <w:webHidden/>
              </w:rPr>
              <w:t>64</w:t>
            </w:r>
            <w:r w:rsidR="00420382">
              <w:rPr>
                <w:noProof/>
                <w:webHidden/>
              </w:rPr>
              <w:fldChar w:fldCharType="end"/>
            </w:r>
          </w:hyperlink>
        </w:p>
        <w:p w14:paraId="3722D917" w14:textId="47B743A6" w:rsidR="00420382" w:rsidRDefault="000B31AD">
          <w:pPr>
            <w:pStyle w:val="TM3"/>
            <w:tabs>
              <w:tab w:val="right" w:leader="dot" w:pos="9062"/>
            </w:tabs>
            <w:rPr>
              <w:noProof/>
            </w:rPr>
          </w:pPr>
          <w:hyperlink w:anchor="_Toc60781009" w:history="1">
            <w:r w:rsidR="00420382" w:rsidRPr="00AE5D3E">
              <w:rPr>
                <w:rStyle w:val="Lienhypertexte"/>
                <w:noProof/>
              </w:rPr>
              <w:t>Slide 54 : Mécénat</w:t>
            </w:r>
            <w:r w:rsidR="00420382">
              <w:rPr>
                <w:noProof/>
                <w:webHidden/>
              </w:rPr>
              <w:tab/>
            </w:r>
            <w:r w:rsidR="00420382">
              <w:rPr>
                <w:noProof/>
                <w:webHidden/>
              </w:rPr>
              <w:fldChar w:fldCharType="begin"/>
            </w:r>
            <w:r w:rsidR="00420382">
              <w:rPr>
                <w:noProof/>
                <w:webHidden/>
              </w:rPr>
              <w:instrText xml:space="preserve"> PAGEREF _Toc60781009 \h </w:instrText>
            </w:r>
            <w:r w:rsidR="00420382">
              <w:rPr>
                <w:noProof/>
                <w:webHidden/>
              </w:rPr>
            </w:r>
            <w:r w:rsidR="00420382">
              <w:rPr>
                <w:noProof/>
                <w:webHidden/>
              </w:rPr>
              <w:fldChar w:fldCharType="separate"/>
            </w:r>
            <w:r w:rsidR="00420382">
              <w:rPr>
                <w:noProof/>
                <w:webHidden/>
              </w:rPr>
              <w:t>64</w:t>
            </w:r>
            <w:r w:rsidR="00420382">
              <w:rPr>
                <w:noProof/>
                <w:webHidden/>
              </w:rPr>
              <w:fldChar w:fldCharType="end"/>
            </w:r>
          </w:hyperlink>
        </w:p>
        <w:p w14:paraId="4EEF2B29" w14:textId="1A8D4956" w:rsidR="00420382" w:rsidRDefault="000B31AD">
          <w:pPr>
            <w:pStyle w:val="TM3"/>
            <w:tabs>
              <w:tab w:val="right" w:leader="dot" w:pos="9062"/>
            </w:tabs>
            <w:rPr>
              <w:noProof/>
            </w:rPr>
          </w:pPr>
          <w:hyperlink w:anchor="_Toc60781010" w:history="1">
            <w:r w:rsidR="00420382" w:rsidRPr="00AE5D3E">
              <w:rPr>
                <w:rStyle w:val="Lienhypertexte"/>
                <w:noProof/>
              </w:rPr>
              <w:t>Slide 55 : Mise à disposition d’une flotte de vélos</w:t>
            </w:r>
            <w:r w:rsidR="00420382">
              <w:rPr>
                <w:noProof/>
                <w:webHidden/>
              </w:rPr>
              <w:tab/>
            </w:r>
            <w:r w:rsidR="00420382">
              <w:rPr>
                <w:noProof/>
                <w:webHidden/>
              </w:rPr>
              <w:fldChar w:fldCharType="begin"/>
            </w:r>
            <w:r w:rsidR="00420382">
              <w:rPr>
                <w:noProof/>
                <w:webHidden/>
              </w:rPr>
              <w:instrText xml:space="preserve"> PAGEREF _Toc60781010 \h </w:instrText>
            </w:r>
            <w:r w:rsidR="00420382">
              <w:rPr>
                <w:noProof/>
                <w:webHidden/>
              </w:rPr>
            </w:r>
            <w:r w:rsidR="00420382">
              <w:rPr>
                <w:noProof/>
                <w:webHidden/>
              </w:rPr>
              <w:fldChar w:fldCharType="separate"/>
            </w:r>
            <w:r w:rsidR="00420382">
              <w:rPr>
                <w:noProof/>
                <w:webHidden/>
              </w:rPr>
              <w:t>65</w:t>
            </w:r>
            <w:r w:rsidR="00420382">
              <w:rPr>
                <w:noProof/>
                <w:webHidden/>
              </w:rPr>
              <w:fldChar w:fldCharType="end"/>
            </w:r>
          </w:hyperlink>
        </w:p>
        <w:p w14:paraId="48579BA3" w14:textId="03784173" w:rsidR="00420382" w:rsidRDefault="000B31AD">
          <w:pPr>
            <w:pStyle w:val="TM3"/>
            <w:tabs>
              <w:tab w:val="right" w:leader="dot" w:pos="9062"/>
            </w:tabs>
            <w:rPr>
              <w:noProof/>
            </w:rPr>
          </w:pPr>
          <w:hyperlink w:anchor="_Toc60781011" w:history="1">
            <w:r w:rsidR="00420382" w:rsidRPr="00AE5D3E">
              <w:rPr>
                <w:rStyle w:val="Lienhypertexte"/>
                <w:noProof/>
              </w:rPr>
              <w:t>Slide 56 : Allègements fiscaux et sociaux dans les zones territoriales</w:t>
            </w:r>
            <w:r w:rsidR="00420382">
              <w:rPr>
                <w:noProof/>
                <w:webHidden/>
              </w:rPr>
              <w:tab/>
            </w:r>
            <w:r w:rsidR="00420382">
              <w:rPr>
                <w:noProof/>
                <w:webHidden/>
              </w:rPr>
              <w:fldChar w:fldCharType="begin"/>
            </w:r>
            <w:r w:rsidR="00420382">
              <w:rPr>
                <w:noProof/>
                <w:webHidden/>
              </w:rPr>
              <w:instrText xml:space="preserve"> PAGEREF _Toc60781011 \h </w:instrText>
            </w:r>
            <w:r w:rsidR="00420382">
              <w:rPr>
                <w:noProof/>
                <w:webHidden/>
              </w:rPr>
            </w:r>
            <w:r w:rsidR="00420382">
              <w:rPr>
                <w:noProof/>
                <w:webHidden/>
              </w:rPr>
              <w:fldChar w:fldCharType="separate"/>
            </w:r>
            <w:r w:rsidR="00420382">
              <w:rPr>
                <w:noProof/>
                <w:webHidden/>
              </w:rPr>
              <w:t>66</w:t>
            </w:r>
            <w:r w:rsidR="00420382">
              <w:rPr>
                <w:noProof/>
                <w:webHidden/>
              </w:rPr>
              <w:fldChar w:fldCharType="end"/>
            </w:r>
          </w:hyperlink>
        </w:p>
        <w:p w14:paraId="63FA8A97" w14:textId="4D403096" w:rsidR="00420382" w:rsidRDefault="000B31AD">
          <w:pPr>
            <w:pStyle w:val="TM2"/>
            <w:tabs>
              <w:tab w:val="right" w:leader="dot" w:pos="9062"/>
            </w:tabs>
            <w:rPr>
              <w:noProof/>
              <w:sz w:val="22"/>
              <w:szCs w:val="22"/>
              <w:lang w:eastAsia="fr-FR"/>
            </w:rPr>
          </w:pPr>
          <w:hyperlink w:anchor="_Toc60781012" w:history="1">
            <w:r w:rsidR="00420382" w:rsidRPr="00AE5D3E">
              <w:rPr>
                <w:rStyle w:val="Lienhypertexte"/>
                <w:rFonts w:cstheme="minorHAnsi"/>
                <w:noProof/>
              </w:rPr>
              <w:t>TVA</w:t>
            </w:r>
            <w:r w:rsidR="00420382">
              <w:rPr>
                <w:noProof/>
                <w:webHidden/>
              </w:rPr>
              <w:tab/>
            </w:r>
            <w:r w:rsidR="00420382">
              <w:rPr>
                <w:noProof/>
                <w:webHidden/>
              </w:rPr>
              <w:fldChar w:fldCharType="begin"/>
            </w:r>
            <w:r w:rsidR="00420382">
              <w:rPr>
                <w:noProof/>
                <w:webHidden/>
              </w:rPr>
              <w:instrText xml:space="preserve"> PAGEREF _Toc60781012 \h </w:instrText>
            </w:r>
            <w:r w:rsidR="00420382">
              <w:rPr>
                <w:noProof/>
                <w:webHidden/>
              </w:rPr>
            </w:r>
            <w:r w:rsidR="00420382">
              <w:rPr>
                <w:noProof/>
                <w:webHidden/>
              </w:rPr>
              <w:fldChar w:fldCharType="separate"/>
            </w:r>
            <w:r w:rsidR="00420382">
              <w:rPr>
                <w:noProof/>
                <w:webHidden/>
              </w:rPr>
              <w:t>68</w:t>
            </w:r>
            <w:r w:rsidR="00420382">
              <w:rPr>
                <w:noProof/>
                <w:webHidden/>
              </w:rPr>
              <w:fldChar w:fldCharType="end"/>
            </w:r>
          </w:hyperlink>
        </w:p>
        <w:p w14:paraId="1DA39C8C" w14:textId="63B3818F" w:rsidR="00420382" w:rsidRDefault="000B31AD">
          <w:pPr>
            <w:pStyle w:val="TM3"/>
            <w:tabs>
              <w:tab w:val="right" w:leader="dot" w:pos="9062"/>
            </w:tabs>
            <w:rPr>
              <w:noProof/>
            </w:rPr>
          </w:pPr>
          <w:hyperlink w:anchor="_Toc60781013" w:history="1">
            <w:r w:rsidR="00420382" w:rsidRPr="00AE5D3E">
              <w:rPr>
                <w:rStyle w:val="Lienhypertexte"/>
                <w:noProof/>
              </w:rPr>
              <w:t>Slide 57 : E-commerce et ventes à distance</w:t>
            </w:r>
            <w:r w:rsidR="00420382">
              <w:rPr>
                <w:noProof/>
                <w:webHidden/>
              </w:rPr>
              <w:tab/>
            </w:r>
            <w:r w:rsidR="00420382">
              <w:rPr>
                <w:noProof/>
                <w:webHidden/>
              </w:rPr>
              <w:fldChar w:fldCharType="begin"/>
            </w:r>
            <w:r w:rsidR="00420382">
              <w:rPr>
                <w:noProof/>
                <w:webHidden/>
              </w:rPr>
              <w:instrText xml:space="preserve"> PAGEREF _Toc60781013 \h </w:instrText>
            </w:r>
            <w:r w:rsidR="00420382">
              <w:rPr>
                <w:noProof/>
                <w:webHidden/>
              </w:rPr>
            </w:r>
            <w:r w:rsidR="00420382">
              <w:rPr>
                <w:noProof/>
                <w:webHidden/>
              </w:rPr>
              <w:fldChar w:fldCharType="separate"/>
            </w:r>
            <w:r w:rsidR="00420382">
              <w:rPr>
                <w:noProof/>
                <w:webHidden/>
              </w:rPr>
              <w:t>68</w:t>
            </w:r>
            <w:r w:rsidR="00420382">
              <w:rPr>
                <w:noProof/>
                <w:webHidden/>
              </w:rPr>
              <w:fldChar w:fldCharType="end"/>
            </w:r>
          </w:hyperlink>
        </w:p>
        <w:p w14:paraId="28B96A99" w14:textId="50486AE5" w:rsidR="00420382" w:rsidRDefault="000B31AD">
          <w:pPr>
            <w:pStyle w:val="TM3"/>
            <w:tabs>
              <w:tab w:val="right" w:leader="dot" w:pos="9062"/>
            </w:tabs>
            <w:rPr>
              <w:noProof/>
            </w:rPr>
          </w:pPr>
          <w:hyperlink w:anchor="_Toc60781014" w:history="1">
            <w:r w:rsidR="00420382" w:rsidRPr="00AE5D3E">
              <w:rPr>
                <w:rStyle w:val="Lienhypertexte"/>
                <w:noProof/>
              </w:rPr>
              <w:t>Slide 58 : Création d’un régime de groupe pour la TVA</w:t>
            </w:r>
            <w:r w:rsidR="00420382">
              <w:rPr>
                <w:noProof/>
                <w:webHidden/>
              </w:rPr>
              <w:tab/>
            </w:r>
            <w:r w:rsidR="00420382">
              <w:rPr>
                <w:noProof/>
                <w:webHidden/>
              </w:rPr>
              <w:fldChar w:fldCharType="begin"/>
            </w:r>
            <w:r w:rsidR="00420382">
              <w:rPr>
                <w:noProof/>
                <w:webHidden/>
              </w:rPr>
              <w:instrText xml:space="preserve"> PAGEREF _Toc60781014 \h </w:instrText>
            </w:r>
            <w:r w:rsidR="00420382">
              <w:rPr>
                <w:noProof/>
                <w:webHidden/>
              </w:rPr>
            </w:r>
            <w:r w:rsidR="00420382">
              <w:rPr>
                <w:noProof/>
                <w:webHidden/>
              </w:rPr>
              <w:fldChar w:fldCharType="separate"/>
            </w:r>
            <w:r w:rsidR="00420382">
              <w:rPr>
                <w:noProof/>
                <w:webHidden/>
              </w:rPr>
              <w:t>76</w:t>
            </w:r>
            <w:r w:rsidR="00420382">
              <w:rPr>
                <w:noProof/>
                <w:webHidden/>
              </w:rPr>
              <w:fldChar w:fldCharType="end"/>
            </w:r>
          </w:hyperlink>
        </w:p>
        <w:p w14:paraId="6C3B2AD9" w14:textId="6B07DB00" w:rsidR="00420382" w:rsidRDefault="000B31AD">
          <w:pPr>
            <w:pStyle w:val="TM3"/>
            <w:tabs>
              <w:tab w:val="right" w:leader="dot" w:pos="9062"/>
            </w:tabs>
            <w:rPr>
              <w:noProof/>
            </w:rPr>
          </w:pPr>
          <w:hyperlink w:anchor="_Toc60781015" w:history="1">
            <w:r w:rsidR="00420382" w:rsidRPr="00AE5D3E">
              <w:rPr>
                <w:rStyle w:val="Lienhypertexte"/>
                <w:noProof/>
              </w:rPr>
              <w:t>Slide 59 : Offres complexes et offres composites</w:t>
            </w:r>
            <w:r w:rsidR="00420382">
              <w:rPr>
                <w:noProof/>
                <w:webHidden/>
              </w:rPr>
              <w:tab/>
            </w:r>
            <w:r w:rsidR="00420382">
              <w:rPr>
                <w:noProof/>
                <w:webHidden/>
              </w:rPr>
              <w:fldChar w:fldCharType="begin"/>
            </w:r>
            <w:r w:rsidR="00420382">
              <w:rPr>
                <w:noProof/>
                <w:webHidden/>
              </w:rPr>
              <w:instrText xml:space="preserve"> PAGEREF _Toc60781015 \h </w:instrText>
            </w:r>
            <w:r w:rsidR="00420382">
              <w:rPr>
                <w:noProof/>
                <w:webHidden/>
              </w:rPr>
            </w:r>
            <w:r w:rsidR="00420382">
              <w:rPr>
                <w:noProof/>
                <w:webHidden/>
              </w:rPr>
              <w:fldChar w:fldCharType="separate"/>
            </w:r>
            <w:r w:rsidR="00420382">
              <w:rPr>
                <w:noProof/>
                <w:webHidden/>
              </w:rPr>
              <w:t>78</w:t>
            </w:r>
            <w:r w:rsidR="00420382">
              <w:rPr>
                <w:noProof/>
                <w:webHidden/>
              </w:rPr>
              <w:fldChar w:fldCharType="end"/>
            </w:r>
          </w:hyperlink>
        </w:p>
        <w:p w14:paraId="34E7BAAC" w14:textId="1DB53DDC" w:rsidR="00420382" w:rsidRDefault="000B31AD">
          <w:pPr>
            <w:pStyle w:val="TM3"/>
            <w:tabs>
              <w:tab w:val="right" w:leader="dot" w:pos="9062"/>
            </w:tabs>
            <w:rPr>
              <w:noProof/>
            </w:rPr>
          </w:pPr>
          <w:hyperlink w:anchor="_Toc60781016" w:history="1">
            <w:r w:rsidR="00420382" w:rsidRPr="00AE5D3E">
              <w:rPr>
                <w:rStyle w:val="Lienhypertexte"/>
                <w:noProof/>
              </w:rPr>
              <w:t>Slide 60 : Facturation électronique</w:t>
            </w:r>
            <w:r w:rsidR="00420382">
              <w:rPr>
                <w:noProof/>
                <w:webHidden/>
              </w:rPr>
              <w:tab/>
            </w:r>
            <w:r w:rsidR="00420382">
              <w:rPr>
                <w:noProof/>
                <w:webHidden/>
              </w:rPr>
              <w:fldChar w:fldCharType="begin"/>
            </w:r>
            <w:r w:rsidR="00420382">
              <w:rPr>
                <w:noProof/>
                <w:webHidden/>
              </w:rPr>
              <w:instrText xml:space="preserve"> PAGEREF _Toc60781016 \h </w:instrText>
            </w:r>
            <w:r w:rsidR="00420382">
              <w:rPr>
                <w:noProof/>
                <w:webHidden/>
              </w:rPr>
            </w:r>
            <w:r w:rsidR="00420382">
              <w:rPr>
                <w:noProof/>
                <w:webHidden/>
              </w:rPr>
              <w:fldChar w:fldCharType="separate"/>
            </w:r>
            <w:r w:rsidR="00420382">
              <w:rPr>
                <w:noProof/>
                <w:webHidden/>
              </w:rPr>
              <w:t>80</w:t>
            </w:r>
            <w:r w:rsidR="00420382">
              <w:rPr>
                <w:noProof/>
                <w:webHidden/>
              </w:rPr>
              <w:fldChar w:fldCharType="end"/>
            </w:r>
          </w:hyperlink>
        </w:p>
        <w:p w14:paraId="38F12B6E" w14:textId="23C10DBD" w:rsidR="00420382" w:rsidRDefault="000B31AD">
          <w:pPr>
            <w:pStyle w:val="TM3"/>
            <w:tabs>
              <w:tab w:val="right" w:leader="dot" w:pos="9062"/>
            </w:tabs>
            <w:rPr>
              <w:noProof/>
            </w:rPr>
          </w:pPr>
          <w:hyperlink w:anchor="_Toc60781017" w:history="1">
            <w:r w:rsidR="00420382" w:rsidRPr="00AE5D3E">
              <w:rPr>
                <w:rStyle w:val="Lienhypertexte"/>
                <w:noProof/>
              </w:rPr>
              <w:t>Slide 61 : Mesures diverses</w:t>
            </w:r>
            <w:r w:rsidR="00420382">
              <w:rPr>
                <w:noProof/>
                <w:webHidden/>
              </w:rPr>
              <w:tab/>
            </w:r>
            <w:r w:rsidR="00420382">
              <w:rPr>
                <w:noProof/>
                <w:webHidden/>
              </w:rPr>
              <w:fldChar w:fldCharType="begin"/>
            </w:r>
            <w:r w:rsidR="00420382">
              <w:rPr>
                <w:noProof/>
                <w:webHidden/>
              </w:rPr>
              <w:instrText xml:space="preserve"> PAGEREF _Toc60781017 \h </w:instrText>
            </w:r>
            <w:r w:rsidR="00420382">
              <w:rPr>
                <w:noProof/>
                <w:webHidden/>
              </w:rPr>
            </w:r>
            <w:r w:rsidR="00420382">
              <w:rPr>
                <w:noProof/>
                <w:webHidden/>
              </w:rPr>
              <w:fldChar w:fldCharType="separate"/>
            </w:r>
            <w:r w:rsidR="00420382">
              <w:rPr>
                <w:noProof/>
                <w:webHidden/>
              </w:rPr>
              <w:t>80</w:t>
            </w:r>
            <w:r w:rsidR="00420382">
              <w:rPr>
                <w:noProof/>
                <w:webHidden/>
              </w:rPr>
              <w:fldChar w:fldCharType="end"/>
            </w:r>
          </w:hyperlink>
        </w:p>
        <w:p w14:paraId="171BF7BA" w14:textId="2915D29E" w:rsidR="00420382" w:rsidRDefault="000B31AD">
          <w:pPr>
            <w:pStyle w:val="TM2"/>
            <w:tabs>
              <w:tab w:val="right" w:leader="dot" w:pos="9062"/>
            </w:tabs>
            <w:rPr>
              <w:noProof/>
              <w:sz w:val="22"/>
              <w:szCs w:val="22"/>
              <w:lang w:eastAsia="fr-FR"/>
            </w:rPr>
          </w:pPr>
          <w:hyperlink w:anchor="_Toc60781018" w:history="1">
            <w:r w:rsidR="00420382" w:rsidRPr="00AE5D3E">
              <w:rPr>
                <w:rStyle w:val="Lienhypertexte"/>
                <w:noProof/>
              </w:rPr>
              <w:t>Taxes diverses</w:t>
            </w:r>
            <w:r w:rsidR="00420382">
              <w:rPr>
                <w:noProof/>
                <w:webHidden/>
              </w:rPr>
              <w:tab/>
            </w:r>
            <w:r w:rsidR="00420382">
              <w:rPr>
                <w:noProof/>
                <w:webHidden/>
              </w:rPr>
              <w:fldChar w:fldCharType="begin"/>
            </w:r>
            <w:r w:rsidR="00420382">
              <w:rPr>
                <w:noProof/>
                <w:webHidden/>
              </w:rPr>
              <w:instrText xml:space="preserve"> PAGEREF _Toc60781018 \h </w:instrText>
            </w:r>
            <w:r w:rsidR="00420382">
              <w:rPr>
                <w:noProof/>
                <w:webHidden/>
              </w:rPr>
            </w:r>
            <w:r w:rsidR="00420382">
              <w:rPr>
                <w:noProof/>
                <w:webHidden/>
              </w:rPr>
              <w:fldChar w:fldCharType="separate"/>
            </w:r>
            <w:r w:rsidR="00420382">
              <w:rPr>
                <w:noProof/>
                <w:webHidden/>
              </w:rPr>
              <w:t>82</w:t>
            </w:r>
            <w:r w:rsidR="00420382">
              <w:rPr>
                <w:noProof/>
                <w:webHidden/>
              </w:rPr>
              <w:fldChar w:fldCharType="end"/>
            </w:r>
          </w:hyperlink>
        </w:p>
        <w:p w14:paraId="26FB491A" w14:textId="53A0391A" w:rsidR="00420382" w:rsidRDefault="000B31AD">
          <w:pPr>
            <w:pStyle w:val="TM3"/>
            <w:tabs>
              <w:tab w:val="right" w:leader="dot" w:pos="9062"/>
            </w:tabs>
            <w:rPr>
              <w:noProof/>
            </w:rPr>
          </w:pPr>
          <w:hyperlink w:anchor="_Toc60781019" w:history="1">
            <w:r w:rsidR="00420382" w:rsidRPr="00AE5D3E">
              <w:rPr>
                <w:rStyle w:val="Lienhypertexte"/>
                <w:noProof/>
              </w:rPr>
              <w:t>Slide 62 : Formation professionnelle et alternance</w:t>
            </w:r>
            <w:r w:rsidR="00420382">
              <w:rPr>
                <w:noProof/>
                <w:webHidden/>
              </w:rPr>
              <w:tab/>
            </w:r>
            <w:r w:rsidR="00420382">
              <w:rPr>
                <w:noProof/>
                <w:webHidden/>
              </w:rPr>
              <w:fldChar w:fldCharType="begin"/>
            </w:r>
            <w:r w:rsidR="00420382">
              <w:rPr>
                <w:noProof/>
                <w:webHidden/>
              </w:rPr>
              <w:instrText xml:space="preserve"> PAGEREF _Toc60781019 \h </w:instrText>
            </w:r>
            <w:r w:rsidR="00420382">
              <w:rPr>
                <w:noProof/>
                <w:webHidden/>
              </w:rPr>
            </w:r>
            <w:r w:rsidR="00420382">
              <w:rPr>
                <w:noProof/>
                <w:webHidden/>
              </w:rPr>
              <w:fldChar w:fldCharType="separate"/>
            </w:r>
            <w:r w:rsidR="00420382">
              <w:rPr>
                <w:noProof/>
                <w:webHidden/>
              </w:rPr>
              <w:t>82</w:t>
            </w:r>
            <w:r w:rsidR="00420382">
              <w:rPr>
                <w:noProof/>
                <w:webHidden/>
              </w:rPr>
              <w:fldChar w:fldCharType="end"/>
            </w:r>
          </w:hyperlink>
        </w:p>
        <w:p w14:paraId="11303C92" w14:textId="659185DA" w:rsidR="00420382" w:rsidRDefault="000B31AD">
          <w:pPr>
            <w:pStyle w:val="TM2"/>
            <w:tabs>
              <w:tab w:val="right" w:leader="dot" w:pos="9062"/>
            </w:tabs>
            <w:rPr>
              <w:noProof/>
              <w:sz w:val="22"/>
              <w:szCs w:val="22"/>
              <w:lang w:eastAsia="fr-FR"/>
            </w:rPr>
          </w:pPr>
          <w:hyperlink w:anchor="_Toc60781020" w:history="1">
            <w:r w:rsidR="00420382" w:rsidRPr="00AE5D3E">
              <w:rPr>
                <w:rStyle w:val="Lienhypertexte"/>
                <w:rFonts w:cstheme="minorHAnsi"/>
                <w:noProof/>
              </w:rPr>
              <w:t>Impôts locaux</w:t>
            </w:r>
            <w:r w:rsidR="00420382">
              <w:rPr>
                <w:noProof/>
                <w:webHidden/>
              </w:rPr>
              <w:tab/>
            </w:r>
            <w:r w:rsidR="00420382">
              <w:rPr>
                <w:noProof/>
                <w:webHidden/>
              </w:rPr>
              <w:fldChar w:fldCharType="begin"/>
            </w:r>
            <w:r w:rsidR="00420382">
              <w:rPr>
                <w:noProof/>
                <w:webHidden/>
              </w:rPr>
              <w:instrText xml:space="preserve"> PAGEREF _Toc60781020 \h </w:instrText>
            </w:r>
            <w:r w:rsidR="00420382">
              <w:rPr>
                <w:noProof/>
                <w:webHidden/>
              </w:rPr>
            </w:r>
            <w:r w:rsidR="00420382">
              <w:rPr>
                <w:noProof/>
                <w:webHidden/>
              </w:rPr>
              <w:fldChar w:fldCharType="separate"/>
            </w:r>
            <w:r w:rsidR="00420382">
              <w:rPr>
                <w:noProof/>
                <w:webHidden/>
              </w:rPr>
              <w:t>84</w:t>
            </w:r>
            <w:r w:rsidR="00420382">
              <w:rPr>
                <w:noProof/>
                <w:webHidden/>
              </w:rPr>
              <w:fldChar w:fldCharType="end"/>
            </w:r>
          </w:hyperlink>
        </w:p>
        <w:p w14:paraId="02906384" w14:textId="2644FDCA" w:rsidR="00420382" w:rsidRDefault="000B31AD">
          <w:pPr>
            <w:pStyle w:val="TM3"/>
            <w:tabs>
              <w:tab w:val="right" w:leader="dot" w:pos="9062"/>
            </w:tabs>
            <w:rPr>
              <w:noProof/>
            </w:rPr>
          </w:pPr>
          <w:hyperlink w:anchor="_Toc60781021" w:history="1">
            <w:r w:rsidR="00420382" w:rsidRPr="00AE5D3E">
              <w:rPr>
                <w:rStyle w:val="Lienhypertexte"/>
                <w:noProof/>
              </w:rPr>
              <w:t>Slide 63 : Contribution à l’audiovisuel public</w:t>
            </w:r>
            <w:r w:rsidR="00420382">
              <w:rPr>
                <w:noProof/>
                <w:webHidden/>
              </w:rPr>
              <w:tab/>
            </w:r>
            <w:r w:rsidR="00420382">
              <w:rPr>
                <w:noProof/>
                <w:webHidden/>
              </w:rPr>
              <w:fldChar w:fldCharType="begin"/>
            </w:r>
            <w:r w:rsidR="00420382">
              <w:rPr>
                <w:noProof/>
                <w:webHidden/>
              </w:rPr>
              <w:instrText xml:space="preserve"> PAGEREF _Toc60781021 \h </w:instrText>
            </w:r>
            <w:r w:rsidR="00420382">
              <w:rPr>
                <w:noProof/>
                <w:webHidden/>
              </w:rPr>
            </w:r>
            <w:r w:rsidR="00420382">
              <w:rPr>
                <w:noProof/>
                <w:webHidden/>
              </w:rPr>
              <w:fldChar w:fldCharType="separate"/>
            </w:r>
            <w:r w:rsidR="00420382">
              <w:rPr>
                <w:noProof/>
                <w:webHidden/>
              </w:rPr>
              <w:t>84</w:t>
            </w:r>
            <w:r w:rsidR="00420382">
              <w:rPr>
                <w:noProof/>
                <w:webHidden/>
              </w:rPr>
              <w:fldChar w:fldCharType="end"/>
            </w:r>
          </w:hyperlink>
        </w:p>
        <w:p w14:paraId="78467473" w14:textId="6CDC5931" w:rsidR="00420382" w:rsidRDefault="000B31AD">
          <w:pPr>
            <w:pStyle w:val="TM3"/>
            <w:tabs>
              <w:tab w:val="right" w:leader="dot" w:pos="9062"/>
            </w:tabs>
            <w:rPr>
              <w:noProof/>
            </w:rPr>
          </w:pPr>
          <w:hyperlink w:anchor="_Toc60781022" w:history="1">
            <w:r w:rsidR="00420382" w:rsidRPr="00AE5D3E">
              <w:rPr>
                <w:rStyle w:val="Lienhypertexte"/>
                <w:noProof/>
              </w:rPr>
              <w:t>Slide 64 : Contribution économique territoriale : cotisation sur la valeur ajoutée des entreprises (CVAE)</w:t>
            </w:r>
            <w:r w:rsidR="00420382">
              <w:rPr>
                <w:noProof/>
                <w:webHidden/>
              </w:rPr>
              <w:tab/>
            </w:r>
            <w:r w:rsidR="00420382">
              <w:rPr>
                <w:noProof/>
                <w:webHidden/>
              </w:rPr>
              <w:fldChar w:fldCharType="begin"/>
            </w:r>
            <w:r w:rsidR="00420382">
              <w:rPr>
                <w:noProof/>
                <w:webHidden/>
              </w:rPr>
              <w:instrText xml:space="preserve"> PAGEREF _Toc60781022 \h </w:instrText>
            </w:r>
            <w:r w:rsidR="00420382">
              <w:rPr>
                <w:noProof/>
                <w:webHidden/>
              </w:rPr>
            </w:r>
            <w:r w:rsidR="00420382">
              <w:rPr>
                <w:noProof/>
                <w:webHidden/>
              </w:rPr>
              <w:fldChar w:fldCharType="separate"/>
            </w:r>
            <w:r w:rsidR="00420382">
              <w:rPr>
                <w:noProof/>
                <w:webHidden/>
              </w:rPr>
              <w:t>84</w:t>
            </w:r>
            <w:r w:rsidR="00420382">
              <w:rPr>
                <w:noProof/>
                <w:webHidden/>
              </w:rPr>
              <w:fldChar w:fldCharType="end"/>
            </w:r>
          </w:hyperlink>
        </w:p>
        <w:p w14:paraId="41EE5425" w14:textId="03951BDB" w:rsidR="00420382" w:rsidRDefault="000B31AD">
          <w:pPr>
            <w:pStyle w:val="TM3"/>
            <w:tabs>
              <w:tab w:val="right" w:leader="dot" w:pos="9062"/>
            </w:tabs>
            <w:rPr>
              <w:noProof/>
            </w:rPr>
          </w:pPr>
          <w:hyperlink w:anchor="_Toc60781023" w:history="1">
            <w:r w:rsidR="00420382" w:rsidRPr="00AE5D3E">
              <w:rPr>
                <w:rStyle w:val="Lienhypertexte"/>
                <w:noProof/>
              </w:rPr>
              <w:t>Slide 65 : Contribution économique territoriale : cotisation foncière des entreprises (CFE)</w:t>
            </w:r>
            <w:r w:rsidR="00420382">
              <w:rPr>
                <w:noProof/>
                <w:webHidden/>
              </w:rPr>
              <w:tab/>
            </w:r>
            <w:r w:rsidR="00420382">
              <w:rPr>
                <w:noProof/>
                <w:webHidden/>
              </w:rPr>
              <w:fldChar w:fldCharType="begin"/>
            </w:r>
            <w:r w:rsidR="00420382">
              <w:rPr>
                <w:noProof/>
                <w:webHidden/>
              </w:rPr>
              <w:instrText xml:space="preserve"> PAGEREF _Toc60781023 \h </w:instrText>
            </w:r>
            <w:r w:rsidR="00420382">
              <w:rPr>
                <w:noProof/>
                <w:webHidden/>
              </w:rPr>
            </w:r>
            <w:r w:rsidR="00420382">
              <w:rPr>
                <w:noProof/>
                <w:webHidden/>
              </w:rPr>
              <w:fldChar w:fldCharType="separate"/>
            </w:r>
            <w:r w:rsidR="00420382">
              <w:rPr>
                <w:noProof/>
                <w:webHidden/>
              </w:rPr>
              <w:t>85</w:t>
            </w:r>
            <w:r w:rsidR="00420382">
              <w:rPr>
                <w:noProof/>
                <w:webHidden/>
              </w:rPr>
              <w:fldChar w:fldCharType="end"/>
            </w:r>
          </w:hyperlink>
        </w:p>
        <w:p w14:paraId="6F1EDD4A" w14:textId="42001AE0" w:rsidR="00420382" w:rsidRDefault="000B31AD">
          <w:pPr>
            <w:pStyle w:val="TM3"/>
            <w:tabs>
              <w:tab w:val="right" w:leader="dot" w:pos="9062"/>
            </w:tabs>
            <w:rPr>
              <w:noProof/>
            </w:rPr>
          </w:pPr>
          <w:hyperlink w:anchor="_Toc60781024" w:history="1">
            <w:r w:rsidR="00420382" w:rsidRPr="00AE5D3E">
              <w:rPr>
                <w:rStyle w:val="Lienhypertexte"/>
                <w:noProof/>
              </w:rPr>
              <w:t>Slide 66 : Valeur locative</w:t>
            </w:r>
            <w:r w:rsidR="00420382">
              <w:rPr>
                <w:noProof/>
                <w:webHidden/>
              </w:rPr>
              <w:tab/>
            </w:r>
            <w:r w:rsidR="00420382">
              <w:rPr>
                <w:noProof/>
                <w:webHidden/>
              </w:rPr>
              <w:fldChar w:fldCharType="begin"/>
            </w:r>
            <w:r w:rsidR="00420382">
              <w:rPr>
                <w:noProof/>
                <w:webHidden/>
              </w:rPr>
              <w:instrText xml:space="preserve"> PAGEREF _Toc60781024 \h </w:instrText>
            </w:r>
            <w:r w:rsidR="00420382">
              <w:rPr>
                <w:noProof/>
                <w:webHidden/>
              </w:rPr>
            </w:r>
            <w:r w:rsidR="00420382">
              <w:rPr>
                <w:noProof/>
                <w:webHidden/>
              </w:rPr>
              <w:fldChar w:fldCharType="separate"/>
            </w:r>
            <w:r w:rsidR="00420382">
              <w:rPr>
                <w:noProof/>
                <w:webHidden/>
              </w:rPr>
              <w:t>86</w:t>
            </w:r>
            <w:r w:rsidR="00420382">
              <w:rPr>
                <w:noProof/>
                <w:webHidden/>
              </w:rPr>
              <w:fldChar w:fldCharType="end"/>
            </w:r>
          </w:hyperlink>
        </w:p>
        <w:p w14:paraId="0E1C5586" w14:textId="1ECD4173" w:rsidR="00420382" w:rsidRDefault="000B31AD">
          <w:pPr>
            <w:pStyle w:val="TM3"/>
            <w:tabs>
              <w:tab w:val="right" w:leader="dot" w:pos="9062"/>
            </w:tabs>
            <w:rPr>
              <w:noProof/>
            </w:rPr>
          </w:pPr>
          <w:hyperlink w:anchor="_Toc60781025" w:history="1">
            <w:r w:rsidR="00420382" w:rsidRPr="00AE5D3E">
              <w:rPr>
                <w:rStyle w:val="Lienhypertexte"/>
                <w:noProof/>
              </w:rPr>
              <w:t>Slide 67 : Taxe d’enlèvement des ordures ménagères</w:t>
            </w:r>
            <w:r w:rsidR="00420382">
              <w:rPr>
                <w:noProof/>
                <w:webHidden/>
              </w:rPr>
              <w:tab/>
            </w:r>
            <w:r w:rsidR="00420382">
              <w:rPr>
                <w:noProof/>
                <w:webHidden/>
              </w:rPr>
              <w:fldChar w:fldCharType="begin"/>
            </w:r>
            <w:r w:rsidR="00420382">
              <w:rPr>
                <w:noProof/>
                <w:webHidden/>
              </w:rPr>
              <w:instrText xml:space="preserve"> PAGEREF _Toc60781025 \h </w:instrText>
            </w:r>
            <w:r w:rsidR="00420382">
              <w:rPr>
                <w:noProof/>
                <w:webHidden/>
              </w:rPr>
            </w:r>
            <w:r w:rsidR="00420382">
              <w:rPr>
                <w:noProof/>
                <w:webHidden/>
              </w:rPr>
              <w:fldChar w:fldCharType="separate"/>
            </w:r>
            <w:r w:rsidR="00420382">
              <w:rPr>
                <w:noProof/>
                <w:webHidden/>
              </w:rPr>
              <w:t>87</w:t>
            </w:r>
            <w:r w:rsidR="00420382">
              <w:rPr>
                <w:noProof/>
                <w:webHidden/>
              </w:rPr>
              <w:fldChar w:fldCharType="end"/>
            </w:r>
          </w:hyperlink>
        </w:p>
        <w:p w14:paraId="7009B00C" w14:textId="1F648A26" w:rsidR="00420382" w:rsidRDefault="000B31AD">
          <w:pPr>
            <w:pStyle w:val="TM3"/>
            <w:tabs>
              <w:tab w:val="right" w:leader="dot" w:pos="9062"/>
            </w:tabs>
            <w:rPr>
              <w:noProof/>
            </w:rPr>
          </w:pPr>
          <w:hyperlink w:anchor="_Toc60781026" w:history="1">
            <w:r w:rsidR="00420382" w:rsidRPr="00AE5D3E">
              <w:rPr>
                <w:rStyle w:val="Lienhypertexte"/>
                <w:noProof/>
              </w:rPr>
              <w:t>Slide 68 : Taxe foncière</w:t>
            </w:r>
            <w:r w:rsidR="00420382">
              <w:rPr>
                <w:noProof/>
                <w:webHidden/>
              </w:rPr>
              <w:tab/>
            </w:r>
            <w:r w:rsidR="00420382">
              <w:rPr>
                <w:noProof/>
                <w:webHidden/>
              </w:rPr>
              <w:fldChar w:fldCharType="begin"/>
            </w:r>
            <w:r w:rsidR="00420382">
              <w:rPr>
                <w:noProof/>
                <w:webHidden/>
              </w:rPr>
              <w:instrText xml:space="preserve"> PAGEREF _Toc60781026 \h </w:instrText>
            </w:r>
            <w:r w:rsidR="00420382">
              <w:rPr>
                <w:noProof/>
                <w:webHidden/>
              </w:rPr>
            </w:r>
            <w:r w:rsidR="00420382">
              <w:rPr>
                <w:noProof/>
                <w:webHidden/>
              </w:rPr>
              <w:fldChar w:fldCharType="separate"/>
            </w:r>
            <w:r w:rsidR="00420382">
              <w:rPr>
                <w:noProof/>
                <w:webHidden/>
              </w:rPr>
              <w:t>88</w:t>
            </w:r>
            <w:r w:rsidR="00420382">
              <w:rPr>
                <w:noProof/>
                <w:webHidden/>
              </w:rPr>
              <w:fldChar w:fldCharType="end"/>
            </w:r>
          </w:hyperlink>
        </w:p>
        <w:p w14:paraId="3EB3A94E" w14:textId="37FC8D4B" w:rsidR="00420382" w:rsidRDefault="000B31AD">
          <w:pPr>
            <w:pStyle w:val="TM2"/>
            <w:tabs>
              <w:tab w:val="right" w:leader="dot" w:pos="9062"/>
            </w:tabs>
            <w:rPr>
              <w:noProof/>
              <w:sz w:val="22"/>
              <w:szCs w:val="22"/>
              <w:lang w:eastAsia="fr-FR"/>
            </w:rPr>
          </w:pPr>
          <w:hyperlink w:anchor="_Toc60781027" w:history="1">
            <w:r w:rsidR="00420382" w:rsidRPr="00AE5D3E">
              <w:rPr>
                <w:rStyle w:val="Lienhypertexte"/>
                <w:noProof/>
              </w:rPr>
              <w:t>Mesures fiscales diverses</w:t>
            </w:r>
            <w:r w:rsidR="00420382">
              <w:rPr>
                <w:noProof/>
                <w:webHidden/>
              </w:rPr>
              <w:tab/>
            </w:r>
            <w:r w:rsidR="00420382">
              <w:rPr>
                <w:noProof/>
                <w:webHidden/>
              </w:rPr>
              <w:fldChar w:fldCharType="begin"/>
            </w:r>
            <w:r w:rsidR="00420382">
              <w:rPr>
                <w:noProof/>
                <w:webHidden/>
              </w:rPr>
              <w:instrText xml:space="preserve"> PAGEREF _Toc60781027 \h </w:instrText>
            </w:r>
            <w:r w:rsidR="00420382">
              <w:rPr>
                <w:noProof/>
                <w:webHidden/>
              </w:rPr>
            </w:r>
            <w:r w:rsidR="00420382">
              <w:rPr>
                <w:noProof/>
                <w:webHidden/>
              </w:rPr>
              <w:fldChar w:fldCharType="separate"/>
            </w:r>
            <w:r w:rsidR="00420382">
              <w:rPr>
                <w:noProof/>
                <w:webHidden/>
              </w:rPr>
              <w:t>89</w:t>
            </w:r>
            <w:r w:rsidR="00420382">
              <w:rPr>
                <w:noProof/>
                <w:webHidden/>
              </w:rPr>
              <w:fldChar w:fldCharType="end"/>
            </w:r>
          </w:hyperlink>
        </w:p>
        <w:p w14:paraId="0D72F360" w14:textId="28EFD028" w:rsidR="00420382" w:rsidRDefault="000B31AD">
          <w:pPr>
            <w:pStyle w:val="TM3"/>
            <w:tabs>
              <w:tab w:val="right" w:leader="dot" w:pos="9062"/>
            </w:tabs>
            <w:rPr>
              <w:noProof/>
            </w:rPr>
          </w:pPr>
          <w:hyperlink w:anchor="_Toc60781028" w:history="1">
            <w:r w:rsidR="00420382" w:rsidRPr="00AE5D3E">
              <w:rPr>
                <w:rStyle w:val="Lienhypertexte"/>
                <w:noProof/>
              </w:rPr>
              <w:t>Slide 69 : Droits d’enregistrement</w:t>
            </w:r>
            <w:r w:rsidR="00420382">
              <w:rPr>
                <w:noProof/>
                <w:webHidden/>
              </w:rPr>
              <w:tab/>
            </w:r>
            <w:r w:rsidR="00420382">
              <w:rPr>
                <w:noProof/>
                <w:webHidden/>
              </w:rPr>
              <w:fldChar w:fldCharType="begin"/>
            </w:r>
            <w:r w:rsidR="00420382">
              <w:rPr>
                <w:noProof/>
                <w:webHidden/>
              </w:rPr>
              <w:instrText xml:space="preserve"> PAGEREF _Toc60781028 \h </w:instrText>
            </w:r>
            <w:r w:rsidR="00420382">
              <w:rPr>
                <w:noProof/>
                <w:webHidden/>
              </w:rPr>
            </w:r>
            <w:r w:rsidR="00420382">
              <w:rPr>
                <w:noProof/>
                <w:webHidden/>
              </w:rPr>
              <w:fldChar w:fldCharType="separate"/>
            </w:r>
            <w:r w:rsidR="00420382">
              <w:rPr>
                <w:noProof/>
                <w:webHidden/>
              </w:rPr>
              <w:t>89</w:t>
            </w:r>
            <w:r w:rsidR="00420382">
              <w:rPr>
                <w:noProof/>
                <w:webHidden/>
              </w:rPr>
              <w:fldChar w:fldCharType="end"/>
            </w:r>
          </w:hyperlink>
        </w:p>
        <w:p w14:paraId="0DEF5BC8" w14:textId="6C281DBB" w:rsidR="00420382" w:rsidRDefault="000B31AD">
          <w:pPr>
            <w:pStyle w:val="TM3"/>
            <w:tabs>
              <w:tab w:val="right" w:leader="dot" w:pos="9062"/>
            </w:tabs>
            <w:rPr>
              <w:noProof/>
            </w:rPr>
          </w:pPr>
          <w:hyperlink w:anchor="_Toc60781029" w:history="1">
            <w:r w:rsidR="00420382" w:rsidRPr="00AE5D3E">
              <w:rPr>
                <w:rStyle w:val="Lienhypertexte"/>
                <w:noProof/>
              </w:rPr>
              <w:t>Slide 70 : Apport en société et rachat de créances</w:t>
            </w:r>
            <w:r w:rsidR="00420382">
              <w:rPr>
                <w:noProof/>
                <w:webHidden/>
              </w:rPr>
              <w:tab/>
            </w:r>
            <w:r w:rsidR="00420382">
              <w:rPr>
                <w:noProof/>
                <w:webHidden/>
              </w:rPr>
              <w:fldChar w:fldCharType="begin"/>
            </w:r>
            <w:r w:rsidR="00420382">
              <w:rPr>
                <w:noProof/>
                <w:webHidden/>
              </w:rPr>
              <w:instrText xml:space="preserve"> PAGEREF _Toc60781029 \h </w:instrText>
            </w:r>
            <w:r w:rsidR="00420382">
              <w:rPr>
                <w:noProof/>
                <w:webHidden/>
              </w:rPr>
            </w:r>
            <w:r w:rsidR="00420382">
              <w:rPr>
                <w:noProof/>
                <w:webHidden/>
              </w:rPr>
              <w:fldChar w:fldCharType="separate"/>
            </w:r>
            <w:r w:rsidR="00420382">
              <w:rPr>
                <w:noProof/>
                <w:webHidden/>
              </w:rPr>
              <w:t>89</w:t>
            </w:r>
            <w:r w:rsidR="00420382">
              <w:rPr>
                <w:noProof/>
                <w:webHidden/>
              </w:rPr>
              <w:fldChar w:fldCharType="end"/>
            </w:r>
          </w:hyperlink>
        </w:p>
        <w:p w14:paraId="32A0BA16" w14:textId="5AF9C054" w:rsidR="00420382" w:rsidRDefault="000B31AD">
          <w:pPr>
            <w:pStyle w:val="TM3"/>
            <w:tabs>
              <w:tab w:val="right" w:leader="dot" w:pos="9062"/>
            </w:tabs>
            <w:rPr>
              <w:noProof/>
            </w:rPr>
          </w:pPr>
          <w:hyperlink w:anchor="_Toc60781030" w:history="1">
            <w:r w:rsidR="00420382" w:rsidRPr="00AE5D3E">
              <w:rPr>
                <w:rStyle w:val="Lienhypertexte"/>
                <w:noProof/>
              </w:rPr>
              <w:t>Slide 71 : Fusion entre sociétés relevant du régime des SIIC</w:t>
            </w:r>
            <w:r w:rsidR="00420382">
              <w:rPr>
                <w:noProof/>
                <w:webHidden/>
              </w:rPr>
              <w:tab/>
            </w:r>
            <w:r w:rsidR="00420382">
              <w:rPr>
                <w:noProof/>
                <w:webHidden/>
              </w:rPr>
              <w:fldChar w:fldCharType="begin"/>
            </w:r>
            <w:r w:rsidR="00420382">
              <w:rPr>
                <w:noProof/>
                <w:webHidden/>
              </w:rPr>
              <w:instrText xml:space="preserve"> PAGEREF _Toc60781030 \h </w:instrText>
            </w:r>
            <w:r w:rsidR="00420382">
              <w:rPr>
                <w:noProof/>
                <w:webHidden/>
              </w:rPr>
            </w:r>
            <w:r w:rsidR="00420382">
              <w:rPr>
                <w:noProof/>
                <w:webHidden/>
              </w:rPr>
              <w:fldChar w:fldCharType="separate"/>
            </w:r>
            <w:r w:rsidR="00420382">
              <w:rPr>
                <w:noProof/>
                <w:webHidden/>
              </w:rPr>
              <w:t>90</w:t>
            </w:r>
            <w:r w:rsidR="00420382">
              <w:rPr>
                <w:noProof/>
                <w:webHidden/>
              </w:rPr>
              <w:fldChar w:fldCharType="end"/>
            </w:r>
          </w:hyperlink>
        </w:p>
        <w:p w14:paraId="5B0F9AD5" w14:textId="127F11FA" w:rsidR="00420382" w:rsidRDefault="000B31AD">
          <w:pPr>
            <w:pStyle w:val="TM3"/>
            <w:tabs>
              <w:tab w:val="right" w:leader="dot" w:pos="9062"/>
            </w:tabs>
            <w:rPr>
              <w:noProof/>
            </w:rPr>
          </w:pPr>
          <w:hyperlink w:anchor="_Toc60781031" w:history="1">
            <w:r w:rsidR="00420382" w:rsidRPr="00AE5D3E">
              <w:rPr>
                <w:rStyle w:val="Lienhypertexte"/>
                <w:noProof/>
              </w:rPr>
              <w:t>Slide 72 : Mesures diverses</w:t>
            </w:r>
            <w:r w:rsidR="00420382">
              <w:rPr>
                <w:noProof/>
                <w:webHidden/>
              </w:rPr>
              <w:tab/>
            </w:r>
            <w:r w:rsidR="00420382">
              <w:rPr>
                <w:noProof/>
                <w:webHidden/>
              </w:rPr>
              <w:fldChar w:fldCharType="begin"/>
            </w:r>
            <w:r w:rsidR="00420382">
              <w:rPr>
                <w:noProof/>
                <w:webHidden/>
              </w:rPr>
              <w:instrText xml:space="preserve"> PAGEREF _Toc60781031 \h </w:instrText>
            </w:r>
            <w:r w:rsidR="00420382">
              <w:rPr>
                <w:noProof/>
                <w:webHidden/>
              </w:rPr>
            </w:r>
            <w:r w:rsidR="00420382">
              <w:rPr>
                <w:noProof/>
                <w:webHidden/>
              </w:rPr>
              <w:fldChar w:fldCharType="separate"/>
            </w:r>
            <w:r w:rsidR="00420382">
              <w:rPr>
                <w:noProof/>
                <w:webHidden/>
              </w:rPr>
              <w:t>90</w:t>
            </w:r>
            <w:r w:rsidR="00420382">
              <w:rPr>
                <w:noProof/>
                <w:webHidden/>
              </w:rPr>
              <w:fldChar w:fldCharType="end"/>
            </w:r>
          </w:hyperlink>
        </w:p>
        <w:p w14:paraId="00B3CA1B" w14:textId="519558D9" w:rsidR="00420382" w:rsidRDefault="000B31AD">
          <w:pPr>
            <w:pStyle w:val="TM2"/>
            <w:tabs>
              <w:tab w:val="right" w:leader="dot" w:pos="9062"/>
            </w:tabs>
            <w:rPr>
              <w:noProof/>
              <w:sz w:val="22"/>
              <w:szCs w:val="22"/>
              <w:lang w:eastAsia="fr-FR"/>
            </w:rPr>
          </w:pPr>
          <w:hyperlink w:anchor="_Toc60781032" w:history="1">
            <w:r w:rsidR="00420382" w:rsidRPr="00AE5D3E">
              <w:rPr>
                <w:rStyle w:val="Lienhypertexte"/>
                <w:noProof/>
              </w:rPr>
              <w:t>Mesures sociales</w:t>
            </w:r>
            <w:r w:rsidR="00420382">
              <w:rPr>
                <w:noProof/>
                <w:webHidden/>
              </w:rPr>
              <w:tab/>
            </w:r>
            <w:r w:rsidR="00420382">
              <w:rPr>
                <w:noProof/>
                <w:webHidden/>
              </w:rPr>
              <w:fldChar w:fldCharType="begin"/>
            </w:r>
            <w:r w:rsidR="00420382">
              <w:rPr>
                <w:noProof/>
                <w:webHidden/>
              </w:rPr>
              <w:instrText xml:space="preserve"> PAGEREF _Toc60781032 \h </w:instrText>
            </w:r>
            <w:r w:rsidR="00420382">
              <w:rPr>
                <w:noProof/>
                <w:webHidden/>
              </w:rPr>
            </w:r>
            <w:r w:rsidR="00420382">
              <w:rPr>
                <w:noProof/>
                <w:webHidden/>
              </w:rPr>
              <w:fldChar w:fldCharType="separate"/>
            </w:r>
            <w:r w:rsidR="00420382">
              <w:rPr>
                <w:noProof/>
                <w:webHidden/>
              </w:rPr>
              <w:t>92</w:t>
            </w:r>
            <w:r w:rsidR="00420382">
              <w:rPr>
                <w:noProof/>
                <w:webHidden/>
              </w:rPr>
              <w:fldChar w:fldCharType="end"/>
            </w:r>
          </w:hyperlink>
        </w:p>
        <w:p w14:paraId="0C5D106E" w14:textId="3D3340E3" w:rsidR="00420382" w:rsidRDefault="000B31AD">
          <w:pPr>
            <w:pStyle w:val="TM3"/>
            <w:tabs>
              <w:tab w:val="right" w:leader="dot" w:pos="9062"/>
            </w:tabs>
            <w:rPr>
              <w:noProof/>
            </w:rPr>
          </w:pPr>
          <w:hyperlink w:anchor="_Toc60781033" w:history="1">
            <w:r w:rsidR="00420382" w:rsidRPr="00AE5D3E">
              <w:rPr>
                <w:rStyle w:val="Lienhypertexte"/>
                <w:noProof/>
              </w:rPr>
              <w:t>Slide 73 : Congé de paternité et d’accueil de l’enfant et congé d’adoption</w:t>
            </w:r>
            <w:r w:rsidR="00420382">
              <w:rPr>
                <w:noProof/>
                <w:webHidden/>
              </w:rPr>
              <w:tab/>
            </w:r>
            <w:r w:rsidR="00420382">
              <w:rPr>
                <w:noProof/>
                <w:webHidden/>
              </w:rPr>
              <w:fldChar w:fldCharType="begin"/>
            </w:r>
            <w:r w:rsidR="00420382">
              <w:rPr>
                <w:noProof/>
                <w:webHidden/>
              </w:rPr>
              <w:instrText xml:space="preserve"> PAGEREF _Toc60781033 \h </w:instrText>
            </w:r>
            <w:r w:rsidR="00420382">
              <w:rPr>
                <w:noProof/>
                <w:webHidden/>
              </w:rPr>
            </w:r>
            <w:r w:rsidR="00420382">
              <w:rPr>
                <w:noProof/>
                <w:webHidden/>
              </w:rPr>
              <w:fldChar w:fldCharType="separate"/>
            </w:r>
            <w:r w:rsidR="00420382">
              <w:rPr>
                <w:noProof/>
                <w:webHidden/>
              </w:rPr>
              <w:t>92</w:t>
            </w:r>
            <w:r w:rsidR="00420382">
              <w:rPr>
                <w:noProof/>
                <w:webHidden/>
              </w:rPr>
              <w:fldChar w:fldCharType="end"/>
            </w:r>
          </w:hyperlink>
        </w:p>
        <w:p w14:paraId="694BFC4A" w14:textId="31B32F07" w:rsidR="00420382" w:rsidRDefault="000B31AD">
          <w:pPr>
            <w:pStyle w:val="TM3"/>
            <w:tabs>
              <w:tab w:val="right" w:leader="dot" w:pos="9062"/>
            </w:tabs>
            <w:rPr>
              <w:noProof/>
            </w:rPr>
          </w:pPr>
          <w:hyperlink w:anchor="_Toc60781034" w:history="1">
            <w:r w:rsidR="00420382" w:rsidRPr="00AE5D3E">
              <w:rPr>
                <w:rStyle w:val="Lienhypertexte"/>
                <w:noProof/>
              </w:rPr>
              <w:t>Slide 74 : Forfait « mobilités durables »</w:t>
            </w:r>
            <w:r w:rsidR="00420382">
              <w:rPr>
                <w:noProof/>
                <w:webHidden/>
              </w:rPr>
              <w:tab/>
            </w:r>
            <w:r w:rsidR="00420382">
              <w:rPr>
                <w:noProof/>
                <w:webHidden/>
              </w:rPr>
              <w:fldChar w:fldCharType="begin"/>
            </w:r>
            <w:r w:rsidR="00420382">
              <w:rPr>
                <w:noProof/>
                <w:webHidden/>
              </w:rPr>
              <w:instrText xml:space="preserve"> PAGEREF _Toc60781034 \h </w:instrText>
            </w:r>
            <w:r w:rsidR="00420382">
              <w:rPr>
                <w:noProof/>
                <w:webHidden/>
              </w:rPr>
            </w:r>
            <w:r w:rsidR="00420382">
              <w:rPr>
                <w:noProof/>
                <w:webHidden/>
              </w:rPr>
              <w:fldChar w:fldCharType="separate"/>
            </w:r>
            <w:r w:rsidR="00420382">
              <w:rPr>
                <w:noProof/>
                <w:webHidden/>
              </w:rPr>
              <w:t>93</w:t>
            </w:r>
            <w:r w:rsidR="00420382">
              <w:rPr>
                <w:noProof/>
                <w:webHidden/>
              </w:rPr>
              <w:fldChar w:fldCharType="end"/>
            </w:r>
          </w:hyperlink>
        </w:p>
        <w:p w14:paraId="231A8E4B" w14:textId="115569A7" w:rsidR="00420382" w:rsidRDefault="000B31AD">
          <w:pPr>
            <w:pStyle w:val="TM3"/>
            <w:tabs>
              <w:tab w:val="right" w:leader="dot" w:pos="9062"/>
            </w:tabs>
            <w:rPr>
              <w:noProof/>
            </w:rPr>
          </w:pPr>
          <w:hyperlink w:anchor="_Toc60781035" w:history="1">
            <w:r w:rsidR="00420382" w:rsidRPr="00AE5D3E">
              <w:rPr>
                <w:rStyle w:val="Lienhypertexte"/>
                <w:noProof/>
              </w:rPr>
              <w:t>Slide 75 : Activité partielle</w:t>
            </w:r>
            <w:r w:rsidR="00420382">
              <w:rPr>
                <w:noProof/>
                <w:webHidden/>
              </w:rPr>
              <w:tab/>
            </w:r>
            <w:r w:rsidR="00420382">
              <w:rPr>
                <w:noProof/>
                <w:webHidden/>
              </w:rPr>
              <w:fldChar w:fldCharType="begin"/>
            </w:r>
            <w:r w:rsidR="00420382">
              <w:rPr>
                <w:noProof/>
                <w:webHidden/>
              </w:rPr>
              <w:instrText xml:space="preserve"> PAGEREF _Toc60781035 \h </w:instrText>
            </w:r>
            <w:r w:rsidR="00420382">
              <w:rPr>
                <w:noProof/>
                <w:webHidden/>
              </w:rPr>
            </w:r>
            <w:r w:rsidR="00420382">
              <w:rPr>
                <w:noProof/>
                <w:webHidden/>
              </w:rPr>
              <w:fldChar w:fldCharType="separate"/>
            </w:r>
            <w:r w:rsidR="00420382">
              <w:rPr>
                <w:noProof/>
                <w:webHidden/>
              </w:rPr>
              <w:t>94</w:t>
            </w:r>
            <w:r w:rsidR="00420382">
              <w:rPr>
                <w:noProof/>
                <w:webHidden/>
              </w:rPr>
              <w:fldChar w:fldCharType="end"/>
            </w:r>
          </w:hyperlink>
        </w:p>
        <w:p w14:paraId="4CD1A884" w14:textId="37F2685D" w:rsidR="00420382" w:rsidRDefault="000B31AD">
          <w:pPr>
            <w:pStyle w:val="TM3"/>
            <w:tabs>
              <w:tab w:val="right" w:leader="dot" w:pos="9062"/>
            </w:tabs>
            <w:rPr>
              <w:noProof/>
            </w:rPr>
          </w:pPr>
          <w:hyperlink w:anchor="_Toc60781036" w:history="1">
            <w:r w:rsidR="00420382" w:rsidRPr="00AE5D3E">
              <w:rPr>
                <w:rStyle w:val="Lienhypertexte"/>
                <w:noProof/>
              </w:rPr>
              <w:t>Slide 76 : Congés de mobilite et congé de reclassement</w:t>
            </w:r>
            <w:r w:rsidR="00420382">
              <w:rPr>
                <w:noProof/>
                <w:webHidden/>
              </w:rPr>
              <w:tab/>
            </w:r>
            <w:r w:rsidR="00420382">
              <w:rPr>
                <w:noProof/>
                <w:webHidden/>
              </w:rPr>
              <w:fldChar w:fldCharType="begin"/>
            </w:r>
            <w:r w:rsidR="00420382">
              <w:rPr>
                <w:noProof/>
                <w:webHidden/>
              </w:rPr>
              <w:instrText xml:space="preserve"> PAGEREF _Toc60781036 \h </w:instrText>
            </w:r>
            <w:r w:rsidR="00420382">
              <w:rPr>
                <w:noProof/>
                <w:webHidden/>
              </w:rPr>
            </w:r>
            <w:r w:rsidR="00420382">
              <w:rPr>
                <w:noProof/>
                <w:webHidden/>
              </w:rPr>
              <w:fldChar w:fldCharType="separate"/>
            </w:r>
            <w:r w:rsidR="00420382">
              <w:rPr>
                <w:noProof/>
                <w:webHidden/>
              </w:rPr>
              <w:t>95</w:t>
            </w:r>
            <w:r w:rsidR="00420382">
              <w:rPr>
                <w:noProof/>
                <w:webHidden/>
              </w:rPr>
              <w:fldChar w:fldCharType="end"/>
            </w:r>
          </w:hyperlink>
        </w:p>
        <w:p w14:paraId="223A9E8E" w14:textId="5505D361" w:rsidR="00420382" w:rsidRDefault="000B31AD">
          <w:pPr>
            <w:pStyle w:val="TM3"/>
            <w:tabs>
              <w:tab w:val="right" w:leader="dot" w:pos="9062"/>
            </w:tabs>
            <w:rPr>
              <w:noProof/>
            </w:rPr>
          </w:pPr>
          <w:hyperlink w:anchor="_Toc60781037" w:history="1">
            <w:r w:rsidR="00420382" w:rsidRPr="00AE5D3E">
              <w:rPr>
                <w:rStyle w:val="Lienhypertexte"/>
                <w:noProof/>
              </w:rPr>
              <w:t>Slide 77 : Contribution patronale pour les attributions gratuites d’action</w:t>
            </w:r>
            <w:r w:rsidR="00420382">
              <w:rPr>
                <w:noProof/>
                <w:webHidden/>
              </w:rPr>
              <w:tab/>
            </w:r>
            <w:r w:rsidR="00420382">
              <w:rPr>
                <w:noProof/>
                <w:webHidden/>
              </w:rPr>
              <w:fldChar w:fldCharType="begin"/>
            </w:r>
            <w:r w:rsidR="00420382">
              <w:rPr>
                <w:noProof/>
                <w:webHidden/>
              </w:rPr>
              <w:instrText xml:space="preserve"> PAGEREF _Toc60781037 \h </w:instrText>
            </w:r>
            <w:r w:rsidR="00420382">
              <w:rPr>
                <w:noProof/>
                <w:webHidden/>
              </w:rPr>
            </w:r>
            <w:r w:rsidR="00420382">
              <w:rPr>
                <w:noProof/>
                <w:webHidden/>
              </w:rPr>
              <w:fldChar w:fldCharType="separate"/>
            </w:r>
            <w:r w:rsidR="00420382">
              <w:rPr>
                <w:noProof/>
                <w:webHidden/>
              </w:rPr>
              <w:t>95</w:t>
            </w:r>
            <w:r w:rsidR="00420382">
              <w:rPr>
                <w:noProof/>
                <w:webHidden/>
              </w:rPr>
              <w:fldChar w:fldCharType="end"/>
            </w:r>
          </w:hyperlink>
        </w:p>
        <w:p w14:paraId="3DE175D1" w14:textId="29603908" w:rsidR="00420382" w:rsidRDefault="000B31AD">
          <w:pPr>
            <w:pStyle w:val="TM3"/>
            <w:tabs>
              <w:tab w:val="right" w:leader="dot" w:pos="9062"/>
            </w:tabs>
            <w:rPr>
              <w:noProof/>
            </w:rPr>
          </w:pPr>
          <w:hyperlink w:anchor="_Toc60781038" w:history="1">
            <w:r w:rsidR="00420382" w:rsidRPr="00AE5D3E">
              <w:rPr>
                <w:rStyle w:val="Lienhypertexte"/>
                <w:noProof/>
              </w:rPr>
              <w:t>Slide 78 : Forfait social sur les abondements au plan d’épargne entreprise</w:t>
            </w:r>
            <w:r w:rsidR="00420382">
              <w:rPr>
                <w:noProof/>
                <w:webHidden/>
              </w:rPr>
              <w:tab/>
            </w:r>
            <w:r w:rsidR="00420382">
              <w:rPr>
                <w:noProof/>
                <w:webHidden/>
              </w:rPr>
              <w:fldChar w:fldCharType="begin"/>
            </w:r>
            <w:r w:rsidR="00420382">
              <w:rPr>
                <w:noProof/>
                <w:webHidden/>
              </w:rPr>
              <w:instrText xml:space="preserve"> PAGEREF _Toc60781038 \h </w:instrText>
            </w:r>
            <w:r w:rsidR="00420382">
              <w:rPr>
                <w:noProof/>
                <w:webHidden/>
              </w:rPr>
            </w:r>
            <w:r w:rsidR="00420382">
              <w:rPr>
                <w:noProof/>
                <w:webHidden/>
              </w:rPr>
              <w:fldChar w:fldCharType="separate"/>
            </w:r>
            <w:r w:rsidR="00420382">
              <w:rPr>
                <w:noProof/>
                <w:webHidden/>
              </w:rPr>
              <w:t>96</w:t>
            </w:r>
            <w:r w:rsidR="00420382">
              <w:rPr>
                <w:noProof/>
                <w:webHidden/>
              </w:rPr>
              <w:fldChar w:fldCharType="end"/>
            </w:r>
          </w:hyperlink>
        </w:p>
        <w:p w14:paraId="0D71B0AA" w14:textId="323D4423" w:rsidR="00420382" w:rsidRDefault="000B31AD">
          <w:pPr>
            <w:pStyle w:val="TM3"/>
            <w:tabs>
              <w:tab w:val="right" w:leader="dot" w:pos="9062"/>
            </w:tabs>
            <w:rPr>
              <w:noProof/>
            </w:rPr>
          </w:pPr>
          <w:hyperlink w:anchor="_Toc60781039" w:history="1">
            <w:r w:rsidR="00420382" w:rsidRPr="00AE5D3E">
              <w:rPr>
                <w:rStyle w:val="Lienhypertexte"/>
                <w:noProof/>
              </w:rPr>
              <w:t>Slide 79 : Maintien du mode de calcul avantageux de la CSG / CRDS en cas de transfert des plans d’epargne retraite</w:t>
            </w:r>
            <w:r w:rsidR="00420382">
              <w:rPr>
                <w:noProof/>
                <w:webHidden/>
              </w:rPr>
              <w:tab/>
            </w:r>
            <w:r w:rsidR="00420382">
              <w:rPr>
                <w:noProof/>
                <w:webHidden/>
              </w:rPr>
              <w:fldChar w:fldCharType="begin"/>
            </w:r>
            <w:r w:rsidR="00420382">
              <w:rPr>
                <w:noProof/>
                <w:webHidden/>
              </w:rPr>
              <w:instrText xml:space="preserve"> PAGEREF _Toc60781039 \h </w:instrText>
            </w:r>
            <w:r w:rsidR="00420382">
              <w:rPr>
                <w:noProof/>
                <w:webHidden/>
              </w:rPr>
            </w:r>
            <w:r w:rsidR="00420382">
              <w:rPr>
                <w:noProof/>
                <w:webHidden/>
              </w:rPr>
              <w:fldChar w:fldCharType="separate"/>
            </w:r>
            <w:r w:rsidR="00420382">
              <w:rPr>
                <w:noProof/>
                <w:webHidden/>
              </w:rPr>
              <w:t>97</w:t>
            </w:r>
            <w:r w:rsidR="00420382">
              <w:rPr>
                <w:noProof/>
                <w:webHidden/>
              </w:rPr>
              <w:fldChar w:fldCharType="end"/>
            </w:r>
          </w:hyperlink>
        </w:p>
        <w:p w14:paraId="5D932626" w14:textId="034E2F48" w:rsidR="00420382" w:rsidRDefault="000B31AD">
          <w:pPr>
            <w:pStyle w:val="TM3"/>
            <w:tabs>
              <w:tab w:val="right" w:leader="dot" w:pos="9062"/>
            </w:tabs>
            <w:rPr>
              <w:noProof/>
            </w:rPr>
          </w:pPr>
          <w:hyperlink w:anchor="_Toc60781040" w:history="1">
            <w:r w:rsidR="00420382" w:rsidRPr="00AE5D3E">
              <w:rPr>
                <w:rStyle w:val="Lienhypertexte"/>
                <w:noProof/>
              </w:rPr>
              <w:t>Slide 80 : Accidents du travail</w:t>
            </w:r>
            <w:r w:rsidR="00420382">
              <w:rPr>
                <w:noProof/>
                <w:webHidden/>
              </w:rPr>
              <w:tab/>
            </w:r>
            <w:r w:rsidR="00420382">
              <w:rPr>
                <w:noProof/>
                <w:webHidden/>
              </w:rPr>
              <w:fldChar w:fldCharType="begin"/>
            </w:r>
            <w:r w:rsidR="00420382">
              <w:rPr>
                <w:noProof/>
                <w:webHidden/>
              </w:rPr>
              <w:instrText xml:space="preserve"> PAGEREF _Toc60781040 \h </w:instrText>
            </w:r>
            <w:r w:rsidR="00420382">
              <w:rPr>
                <w:noProof/>
                <w:webHidden/>
              </w:rPr>
            </w:r>
            <w:r w:rsidR="00420382">
              <w:rPr>
                <w:noProof/>
                <w:webHidden/>
              </w:rPr>
              <w:fldChar w:fldCharType="separate"/>
            </w:r>
            <w:r w:rsidR="00420382">
              <w:rPr>
                <w:noProof/>
                <w:webHidden/>
              </w:rPr>
              <w:t>98</w:t>
            </w:r>
            <w:r w:rsidR="00420382">
              <w:rPr>
                <w:noProof/>
                <w:webHidden/>
              </w:rPr>
              <w:fldChar w:fldCharType="end"/>
            </w:r>
          </w:hyperlink>
        </w:p>
        <w:p w14:paraId="712B6914" w14:textId="5019C57C" w:rsidR="00420382" w:rsidRDefault="000B31AD">
          <w:pPr>
            <w:pStyle w:val="TM3"/>
            <w:tabs>
              <w:tab w:val="right" w:leader="dot" w:pos="9062"/>
            </w:tabs>
            <w:rPr>
              <w:noProof/>
            </w:rPr>
          </w:pPr>
          <w:hyperlink w:anchor="_Toc60781041" w:history="1">
            <w:r w:rsidR="00420382" w:rsidRPr="00AE5D3E">
              <w:rPr>
                <w:rStyle w:val="Lienhypertexte"/>
                <w:noProof/>
              </w:rPr>
              <w:t>Slide 81 : Sécurisation du Plafond annuel de sécurité sociale</w:t>
            </w:r>
            <w:r w:rsidR="00420382">
              <w:rPr>
                <w:noProof/>
                <w:webHidden/>
              </w:rPr>
              <w:tab/>
            </w:r>
            <w:r w:rsidR="00420382">
              <w:rPr>
                <w:noProof/>
                <w:webHidden/>
              </w:rPr>
              <w:fldChar w:fldCharType="begin"/>
            </w:r>
            <w:r w:rsidR="00420382">
              <w:rPr>
                <w:noProof/>
                <w:webHidden/>
              </w:rPr>
              <w:instrText xml:space="preserve"> PAGEREF _Toc60781041 \h </w:instrText>
            </w:r>
            <w:r w:rsidR="00420382">
              <w:rPr>
                <w:noProof/>
                <w:webHidden/>
              </w:rPr>
            </w:r>
            <w:r w:rsidR="00420382">
              <w:rPr>
                <w:noProof/>
                <w:webHidden/>
              </w:rPr>
              <w:fldChar w:fldCharType="separate"/>
            </w:r>
            <w:r w:rsidR="00420382">
              <w:rPr>
                <w:noProof/>
                <w:webHidden/>
              </w:rPr>
              <w:t>99</w:t>
            </w:r>
            <w:r w:rsidR="00420382">
              <w:rPr>
                <w:noProof/>
                <w:webHidden/>
              </w:rPr>
              <w:fldChar w:fldCharType="end"/>
            </w:r>
          </w:hyperlink>
        </w:p>
        <w:p w14:paraId="296B05F9" w14:textId="1AD45EAA" w:rsidR="00420382" w:rsidRDefault="000B31AD">
          <w:pPr>
            <w:pStyle w:val="TM3"/>
            <w:tabs>
              <w:tab w:val="right" w:leader="dot" w:pos="9062"/>
            </w:tabs>
            <w:rPr>
              <w:noProof/>
            </w:rPr>
          </w:pPr>
          <w:hyperlink w:anchor="_Toc60781042" w:history="1">
            <w:r w:rsidR="00420382" w:rsidRPr="00AE5D3E">
              <w:rPr>
                <w:rStyle w:val="Lienhypertexte"/>
                <w:noProof/>
              </w:rPr>
              <w:t>Slide 82 : Mesures diverses</w:t>
            </w:r>
            <w:r w:rsidR="00420382">
              <w:rPr>
                <w:noProof/>
                <w:webHidden/>
              </w:rPr>
              <w:tab/>
            </w:r>
            <w:r w:rsidR="00420382">
              <w:rPr>
                <w:noProof/>
                <w:webHidden/>
              </w:rPr>
              <w:fldChar w:fldCharType="begin"/>
            </w:r>
            <w:r w:rsidR="00420382">
              <w:rPr>
                <w:noProof/>
                <w:webHidden/>
              </w:rPr>
              <w:instrText xml:space="preserve"> PAGEREF _Toc60781042 \h </w:instrText>
            </w:r>
            <w:r w:rsidR="00420382">
              <w:rPr>
                <w:noProof/>
                <w:webHidden/>
              </w:rPr>
            </w:r>
            <w:r w:rsidR="00420382">
              <w:rPr>
                <w:noProof/>
                <w:webHidden/>
              </w:rPr>
              <w:fldChar w:fldCharType="separate"/>
            </w:r>
            <w:r w:rsidR="00420382">
              <w:rPr>
                <w:noProof/>
                <w:webHidden/>
              </w:rPr>
              <w:t>99</w:t>
            </w:r>
            <w:r w:rsidR="00420382">
              <w:rPr>
                <w:noProof/>
                <w:webHidden/>
              </w:rPr>
              <w:fldChar w:fldCharType="end"/>
            </w:r>
          </w:hyperlink>
        </w:p>
        <w:p w14:paraId="09D0F5E8" w14:textId="2BC6122C" w:rsidR="00420382" w:rsidRDefault="000B31AD">
          <w:pPr>
            <w:pStyle w:val="TM1"/>
            <w:tabs>
              <w:tab w:val="right" w:leader="dot" w:pos="9062"/>
            </w:tabs>
            <w:rPr>
              <w:noProof/>
              <w:sz w:val="22"/>
              <w:szCs w:val="22"/>
              <w:lang w:eastAsia="fr-FR"/>
            </w:rPr>
          </w:pPr>
          <w:hyperlink w:anchor="_Toc60781043" w:history="1">
            <w:r w:rsidR="00420382" w:rsidRPr="00AE5D3E">
              <w:rPr>
                <w:rStyle w:val="Lienhypertexte"/>
                <w:caps/>
                <w:noProof/>
              </w:rPr>
              <w:t>Focus sur les mesures en lien avec le coronavirus</w:t>
            </w:r>
            <w:r w:rsidR="00420382">
              <w:rPr>
                <w:noProof/>
                <w:webHidden/>
              </w:rPr>
              <w:tab/>
            </w:r>
            <w:r w:rsidR="00420382">
              <w:rPr>
                <w:noProof/>
                <w:webHidden/>
              </w:rPr>
              <w:fldChar w:fldCharType="begin"/>
            </w:r>
            <w:r w:rsidR="00420382">
              <w:rPr>
                <w:noProof/>
                <w:webHidden/>
              </w:rPr>
              <w:instrText xml:space="preserve"> PAGEREF _Toc60781043 \h </w:instrText>
            </w:r>
            <w:r w:rsidR="00420382">
              <w:rPr>
                <w:noProof/>
                <w:webHidden/>
              </w:rPr>
            </w:r>
            <w:r w:rsidR="00420382">
              <w:rPr>
                <w:noProof/>
                <w:webHidden/>
              </w:rPr>
              <w:fldChar w:fldCharType="separate"/>
            </w:r>
            <w:r w:rsidR="00420382">
              <w:rPr>
                <w:noProof/>
                <w:webHidden/>
              </w:rPr>
              <w:t>102</w:t>
            </w:r>
            <w:r w:rsidR="00420382">
              <w:rPr>
                <w:noProof/>
                <w:webHidden/>
              </w:rPr>
              <w:fldChar w:fldCharType="end"/>
            </w:r>
          </w:hyperlink>
        </w:p>
        <w:p w14:paraId="30766D98" w14:textId="25D454D0" w:rsidR="00420382" w:rsidRDefault="000B31AD">
          <w:pPr>
            <w:pStyle w:val="TM2"/>
            <w:tabs>
              <w:tab w:val="right" w:leader="dot" w:pos="9062"/>
            </w:tabs>
            <w:rPr>
              <w:noProof/>
              <w:sz w:val="22"/>
              <w:szCs w:val="22"/>
              <w:lang w:eastAsia="fr-FR"/>
            </w:rPr>
          </w:pPr>
          <w:hyperlink w:anchor="_Toc60781044" w:history="1">
            <w:r w:rsidR="00420382" w:rsidRPr="00AE5D3E">
              <w:rPr>
                <w:rStyle w:val="Lienhypertexte"/>
                <w:noProof/>
              </w:rPr>
              <w:t>Mesures générales</w:t>
            </w:r>
            <w:r w:rsidR="00420382">
              <w:rPr>
                <w:noProof/>
                <w:webHidden/>
              </w:rPr>
              <w:tab/>
            </w:r>
            <w:r w:rsidR="00420382">
              <w:rPr>
                <w:noProof/>
                <w:webHidden/>
              </w:rPr>
              <w:fldChar w:fldCharType="begin"/>
            </w:r>
            <w:r w:rsidR="00420382">
              <w:rPr>
                <w:noProof/>
                <w:webHidden/>
              </w:rPr>
              <w:instrText xml:space="preserve"> PAGEREF _Toc60781044 \h </w:instrText>
            </w:r>
            <w:r w:rsidR="00420382">
              <w:rPr>
                <w:noProof/>
                <w:webHidden/>
              </w:rPr>
            </w:r>
            <w:r w:rsidR="00420382">
              <w:rPr>
                <w:noProof/>
                <w:webHidden/>
              </w:rPr>
              <w:fldChar w:fldCharType="separate"/>
            </w:r>
            <w:r w:rsidR="00420382">
              <w:rPr>
                <w:noProof/>
                <w:webHidden/>
              </w:rPr>
              <w:t>103</w:t>
            </w:r>
            <w:r w:rsidR="00420382">
              <w:rPr>
                <w:noProof/>
                <w:webHidden/>
              </w:rPr>
              <w:fldChar w:fldCharType="end"/>
            </w:r>
          </w:hyperlink>
        </w:p>
        <w:p w14:paraId="4A572F6B" w14:textId="46027925" w:rsidR="00420382" w:rsidRDefault="000B31AD">
          <w:pPr>
            <w:pStyle w:val="TM3"/>
            <w:tabs>
              <w:tab w:val="right" w:leader="dot" w:pos="9062"/>
            </w:tabs>
            <w:rPr>
              <w:noProof/>
            </w:rPr>
          </w:pPr>
          <w:hyperlink w:anchor="_Toc60781045" w:history="1">
            <w:r w:rsidR="00420382" w:rsidRPr="00AE5D3E">
              <w:rPr>
                <w:rStyle w:val="Lienhypertexte"/>
                <w:noProof/>
              </w:rPr>
              <w:t>Slide 84 : Abandons de loyers dans le cadre de la crise sanitaire</w:t>
            </w:r>
            <w:r w:rsidR="00420382">
              <w:rPr>
                <w:noProof/>
                <w:webHidden/>
              </w:rPr>
              <w:tab/>
            </w:r>
            <w:r w:rsidR="00420382">
              <w:rPr>
                <w:noProof/>
                <w:webHidden/>
              </w:rPr>
              <w:fldChar w:fldCharType="begin"/>
            </w:r>
            <w:r w:rsidR="00420382">
              <w:rPr>
                <w:noProof/>
                <w:webHidden/>
              </w:rPr>
              <w:instrText xml:space="preserve"> PAGEREF _Toc60781045 \h </w:instrText>
            </w:r>
            <w:r w:rsidR="00420382">
              <w:rPr>
                <w:noProof/>
                <w:webHidden/>
              </w:rPr>
            </w:r>
            <w:r w:rsidR="00420382">
              <w:rPr>
                <w:noProof/>
                <w:webHidden/>
              </w:rPr>
              <w:fldChar w:fldCharType="separate"/>
            </w:r>
            <w:r w:rsidR="00420382">
              <w:rPr>
                <w:noProof/>
                <w:webHidden/>
              </w:rPr>
              <w:t>103</w:t>
            </w:r>
            <w:r w:rsidR="00420382">
              <w:rPr>
                <w:noProof/>
                <w:webHidden/>
              </w:rPr>
              <w:fldChar w:fldCharType="end"/>
            </w:r>
          </w:hyperlink>
        </w:p>
        <w:p w14:paraId="0DC2F57D" w14:textId="10A161C0" w:rsidR="00420382" w:rsidRDefault="000B31AD">
          <w:pPr>
            <w:pStyle w:val="TM3"/>
            <w:tabs>
              <w:tab w:val="right" w:leader="dot" w:pos="9062"/>
            </w:tabs>
            <w:rPr>
              <w:noProof/>
            </w:rPr>
          </w:pPr>
          <w:hyperlink w:anchor="_Toc60781046" w:history="1">
            <w:r w:rsidR="00420382" w:rsidRPr="00AE5D3E">
              <w:rPr>
                <w:rStyle w:val="Lienhypertexte"/>
                <w:noProof/>
              </w:rPr>
              <w:t>Slide 85 : Aides versées par les régimes de retraite complémentaire</w:t>
            </w:r>
            <w:r w:rsidR="00420382">
              <w:rPr>
                <w:noProof/>
                <w:webHidden/>
              </w:rPr>
              <w:tab/>
            </w:r>
            <w:r w:rsidR="00420382">
              <w:rPr>
                <w:noProof/>
                <w:webHidden/>
              </w:rPr>
              <w:fldChar w:fldCharType="begin"/>
            </w:r>
            <w:r w:rsidR="00420382">
              <w:rPr>
                <w:noProof/>
                <w:webHidden/>
              </w:rPr>
              <w:instrText xml:space="preserve"> PAGEREF _Toc60781046 \h </w:instrText>
            </w:r>
            <w:r w:rsidR="00420382">
              <w:rPr>
                <w:noProof/>
                <w:webHidden/>
              </w:rPr>
            </w:r>
            <w:r w:rsidR="00420382">
              <w:rPr>
                <w:noProof/>
                <w:webHidden/>
              </w:rPr>
              <w:fldChar w:fldCharType="separate"/>
            </w:r>
            <w:r w:rsidR="00420382">
              <w:rPr>
                <w:noProof/>
                <w:webHidden/>
              </w:rPr>
              <w:t>105</w:t>
            </w:r>
            <w:r w:rsidR="00420382">
              <w:rPr>
                <w:noProof/>
                <w:webHidden/>
              </w:rPr>
              <w:fldChar w:fldCharType="end"/>
            </w:r>
          </w:hyperlink>
        </w:p>
        <w:p w14:paraId="0B50792E" w14:textId="10AE3A6E" w:rsidR="00420382" w:rsidRDefault="000B31AD">
          <w:pPr>
            <w:pStyle w:val="TM3"/>
            <w:tabs>
              <w:tab w:val="right" w:leader="dot" w:pos="9062"/>
            </w:tabs>
            <w:rPr>
              <w:noProof/>
            </w:rPr>
          </w:pPr>
          <w:hyperlink w:anchor="_Toc60781047" w:history="1">
            <w:r w:rsidR="00420382" w:rsidRPr="00AE5D3E">
              <w:rPr>
                <w:rStyle w:val="Lienhypertexte"/>
                <w:noProof/>
              </w:rPr>
              <w:t>Slide 86 : Fonds de solidarité</w:t>
            </w:r>
            <w:r w:rsidR="00420382">
              <w:rPr>
                <w:noProof/>
                <w:webHidden/>
              </w:rPr>
              <w:tab/>
            </w:r>
            <w:r w:rsidR="00420382">
              <w:rPr>
                <w:noProof/>
                <w:webHidden/>
              </w:rPr>
              <w:fldChar w:fldCharType="begin"/>
            </w:r>
            <w:r w:rsidR="00420382">
              <w:rPr>
                <w:noProof/>
                <w:webHidden/>
              </w:rPr>
              <w:instrText xml:space="preserve"> PAGEREF _Toc60781047 \h </w:instrText>
            </w:r>
            <w:r w:rsidR="00420382">
              <w:rPr>
                <w:noProof/>
                <w:webHidden/>
              </w:rPr>
            </w:r>
            <w:r w:rsidR="00420382">
              <w:rPr>
                <w:noProof/>
                <w:webHidden/>
              </w:rPr>
              <w:fldChar w:fldCharType="separate"/>
            </w:r>
            <w:r w:rsidR="00420382">
              <w:rPr>
                <w:noProof/>
                <w:webHidden/>
              </w:rPr>
              <w:t>106</w:t>
            </w:r>
            <w:r w:rsidR="00420382">
              <w:rPr>
                <w:noProof/>
                <w:webHidden/>
              </w:rPr>
              <w:fldChar w:fldCharType="end"/>
            </w:r>
          </w:hyperlink>
        </w:p>
        <w:p w14:paraId="2945991A" w14:textId="78742D7D" w:rsidR="00420382" w:rsidRDefault="000B31AD">
          <w:pPr>
            <w:pStyle w:val="TM3"/>
            <w:tabs>
              <w:tab w:val="right" w:leader="dot" w:pos="9062"/>
            </w:tabs>
            <w:rPr>
              <w:noProof/>
            </w:rPr>
          </w:pPr>
          <w:hyperlink w:anchor="_Toc60781048" w:history="1">
            <w:r w:rsidR="00420382" w:rsidRPr="00AE5D3E">
              <w:rPr>
                <w:rStyle w:val="Lienhypertexte"/>
                <w:noProof/>
              </w:rPr>
              <w:t>Slide 87 : Prêt garanti par l’Etat (PGE)</w:t>
            </w:r>
            <w:r w:rsidR="00420382">
              <w:rPr>
                <w:noProof/>
                <w:webHidden/>
              </w:rPr>
              <w:tab/>
            </w:r>
            <w:r w:rsidR="00420382">
              <w:rPr>
                <w:noProof/>
                <w:webHidden/>
              </w:rPr>
              <w:fldChar w:fldCharType="begin"/>
            </w:r>
            <w:r w:rsidR="00420382">
              <w:rPr>
                <w:noProof/>
                <w:webHidden/>
              </w:rPr>
              <w:instrText xml:space="preserve"> PAGEREF _Toc60781048 \h </w:instrText>
            </w:r>
            <w:r w:rsidR="00420382">
              <w:rPr>
                <w:noProof/>
                <w:webHidden/>
              </w:rPr>
            </w:r>
            <w:r w:rsidR="00420382">
              <w:rPr>
                <w:noProof/>
                <w:webHidden/>
              </w:rPr>
              <w:fldChar w:fldCharType="separate"/>
            </w:r>
            <w:r w:rsidR="00420382">
              <w:rPr>
                <w:noProof/>
                <w:webHidden/>
              </w:rPr>
              <w:t>106</w:t>
            </w:r>
            <w:r w:rsidR="00420382">
              <w:rPr>
                <w:noProof/>
                <w:webHidden/>
              </w:rPr>
              <w:fldChar w:fldCharType="end"/>
            </w:r>
          </w:hyperlink>
        </w:p>
        <w:p w14:paraId="6E0F478B" w14:textId="6CA6E960" w:rsidR="00420382" w:rsidRDefault="000B31AD">
          <w:pPr>
            <w:pStyle w:val="TM3"/>
            <w:tabs>
              <w:tab w:val="right" w:leader="dot" w:pos="9062"/>
            </w:tabs>
            <w:rPr>
              <w:noProof/>
            </w:rPr>
          </w:pPr>
          <w:hyperlink w:anchor="_Toc60781049" w:history="1">
            <w:r w:rsidR="00420382" w:rsidRPr="00AE5D3E">
              <w:rPr>
                <w:rStyle w:val="Lienhypertexte"/>
                <w:noProof/>
              </w:rPr>
              <w:t>Slide 88 : Obligation déclarative des micros-entrepreneurs</w:t>
            </w:r>
            <w:r w:rsidR="00420382">
              <w:rPr>
                <w:noProof/>
                <w:webHidden/>
              </w:rPr>
              <w:tab/>
            </w:r>
            <w:r w:rsidR="00420382">
              <w:rPr>
                <w:noProof/>
                <w:webHidden/>
              </w:rPr>
              <w:fldChar w:fldCharType="begin"/>
            </w:r>
            <w:r w:rsidR="00420382">
              <w:rPr>
                <w:noProof/>
                <w:webHidden/>
              </w:rPr>
              <w:instrText xml:space="preserve"> PAGEREF _Toc60781049 \h </w:instrText>
            </w:r>
            <w:r w:rsidR="00420382">
              <w:rPr>
                <w:noProof/>
                <w:webHidden/>
              </w:rPr>
            </w:r>
            <w:r w:rsidR="00420382">
              <w:rPr>
                <w:noProof/>
                <w:webHidden/>
              </w:rPr>
              <w:fldChar w:fldCharType="separate"/>
            </w:r>
            <w:r w:rsidR="00420382">
              <w:rPr>
                <w:noProof/>
                <w:webHidden/>
              </w:rPr>
              <w:t>107</w:t>
            </w:r>
            <w:r w:rsidR="00420382">
              <w:rPr>
                <w:noProof/>
                <w:webHidden/>
              </w:rPr>
              <w:fldChar w:fldCharType="end"/>
            </w:r>
          </w:hyperlink>
        </w:p>
        <w:p w14:paraId="5B389C2D" w14:textId="3AF19111" w:rsidR="00420382" w:rsidRDefault="000B31AD">
          <w:pPr>
            <w:pStyle w:val="TM3"/>
            <w:tabs>
              <w:tab w:val="right" w:leader="dot" w:pos="9062"/>
            </w:tabs>
            <w:rPr>
              <w:noProof/>
            </w:rPr>
          </w:pPr>
          <w:hyperlink w:anchor="_Toc60781050" w:history="1">
            <w:r w:rsidR="00420382" w:rsidRPr="00AE5D3E">
              <w:rPr>
                <w:rStyle w:val="Lienhypertexte"/>
                <w:noProof/>
              </w:rPr>
              <w:t>Slide 89 : TVA sur les tests de dépistage et les vaccins</w:t>
            </w:r>
            <w:r w:rsidR="00420382">
              <w:rPr>
                <w:noProof/>
                <w:webHidden/>
              </w:rPr>
              <w:tab/>
            </w:r>
            <w:r w:rsidR="00420382">
              <w:rPr>
                <w:noProof/>
                <w:webHidden/>
              </w:rPr>
              <w:fldChar w:fldCharType="begin"/>
            </w:r>
            <w:r w:rsidR="00420382">
              <w:rPr>
                <w:noProof/>
                <w:webHidden/>
              </w:rPr>
              <w:instrText xml:space="preserve"> PAGEREF _Toc60781050 \h </w:instrText>
            </w:r>
            <w:r w:rsidR="00420382">
              <w:rPr>
                <w:noProof/>
                <w:webHidden/>
              </w:rPr>
            </w:r>
            <w:r w:rsidR="00420382">
              <w:rPr>
                <w:noProof/>
                <w:webHidden/>
              </w:rPr>
              <w:fldChar w:fldCharType="separate"/>
            </w:r>
            <w:r w:rsidR="00420382">
              <w:rPr>
                <w:noProof/>
                <w:webHidden/>
              </w:rPr>
              <w:t>108</w:t>
            </w:r>
            <w:r w:rsidR="00420382">
              <w:rPr>
                <w:noProof/>
                <w:webHidden/>
              </w:rPr>
              <w:fldChar w:fldCharType="end"/>
            </w:r>
          </w:hyperlink>
        </w:p>
        <w:p w14:paraId="25CC4DC8" w14:textId="7D807DAB" w:rsidR="00420382" w:rsidRDefault="000B31AD">
          <w:pPr>
            <w:pStyle w:val="TM3"/>
            <w:tabs>
              <w:tab w:val="right" w:leader="dot" w:pos="9062"/>
            </w:tabs>
            <w:rPr>
              <w:noProof/>
            </w:rPr>
          </w:pPr>
          <w:hyperlink w:anchor="_Toc60781051" w:history="1">
            <w:r w:rsidR="00420382" w:rsidRPr="00AE5D3E">
              <w:rPr>
                <w:rStyle w:val="Lienhypertexte"/>
                <w:noProof/>
              </w:rPr>
              <w:t>Slide 90 : Crédit d’impôt pour dépenses de production de spectacles vivants</w:t>
            </w:r>
            <w:r w:rsidR="00420382">
              <w:rPr>
                <w:noProof/>
                <w:webHidden/>
              </w:rPr>
              <w:tab/>
            </w:r>
            <w:r w:rsidR="00420382">
              <w:rPr>
                <w:noProof/>
                <w:webHidden/>
              </w:rPr>
              <w:fldChar w:fldCharType="begin"/>
            </w:r>
            <w:r w:rsidR="00420382">
              <w:rPr>
                <w:noProof/>
                <w:webHidden/>
              </w:rPr>
              <w:instrText xml:space="preserve"> PAGEREF _Toc60781051 \h </w:instrText>
            </w:r>
            <w:r w:rsidR="00420382">
              <w:rPr>
                <w:noProof/>
                <w:webHidden/>
              </w:rPr>
            </w:r>
            <w:r w:rsidR="00420382">
              <w:rPr>
                <w:noProof/>
                <w:webHidden/>
              </w:rPr>
              <w:fldChar w:fldCharType="separate"/>
            </w:r>
            <w:r w:rsidR="00420382">
              <w:rPr>
                <w:noProof/>
                <w:webHidden/>
              </w:rPr>
              <w:t>108</w:t>
            </w:r>
            <w:r w:rsidR="00420382">
              <w:rPr>
                <w:noProof/>
                <w:webHidden/>
              </w:rPr>
              <w:fldChar w:fldCharType="end"/>
            </w:r>
          </w:hyperlink>
        </w:p>
        <w:p w14:paraId="29D0A68F" w14:textId="68070CDD" w:rsidR="00420382" w:rsidRDefault="000B31AD">
          <w:pPr>
            <w:pStyle w:val="TM3"/>
            <w:tabs>
              <w:tab w:val="right" w:leader="dot" w:pos="9062"/>
            </w:tabs>
            <w:rPr>
              <w:noProof/>
            </w:rPr>
          </w:pPr>
          <w:hyperlink w:anchor="_Toc60781052" w:history="1">
            <w:r w:rsidR="00420382" w:rsidRPr="00AE5D3E">
              <w:rPr>
                <w:rStyle w:val="Lienhypertexte"/>
                <w:noProof/>
              </w:rPr>
              <w:t>Slide 91 : Taxe sur le prix des entrées en salles de spectacles cinématographiques</w:t>
            </w:r>
            <w:r w:rsidR="00420382">
              <w:rPr>
                <w:noProof/>
                <w:webHidden/>
              </w:rPr>
              <w:tab/>
            </w:r>
            <w:r w:rsidR="00420382">
              <w:rPr>
                <w:noProof/>
                <w:webHidden/>
              </w:rPr>
              <w:fldChar w:fldCharType="begin"/>
            </w:r>
            <w:r w:rsidR="00420382">
              <w:rPr>
                <w:noProof/>
                <w:webHidden/>
              </w:rPr>
              <w:instrText xml:space="preserve"> PAGEREF _Toc60781052 \h </w:instrText>
            </w:r>
            <w:r w:rsidR="00420382">
              <w:rPr>
                <w:noProof/>
                <w:webHidden/>
              </w:rPr>
            </w:r>
            <w:r w:rsidR="00420382">
              <w:rPr>
                <w:noProof/>
                <w:webHidden/>
              </w:rPr>
              <w:fldChar w:fldCharType="separate"/>
            </w:r>
            <w:r w:rsidR="00420382">
              <w:rPr>
                <w:noProof/>
                <w:webHidden/>
              </w:rPr>
              <w:t>109</w:t>
            </w:r>
            <w:r w:rsidR="00420382">
              <w:rPr>
                <w:noProof/>
                <w:webHidden/>
              </w:rPr>
              <w:fldChar w:fldCharType="end"/>
            </w:r>
          </w:hyperlink>
        </w:p>
        <w:p w14:paraId="44927891" w14:textId="4D56FF81" w:rsidR="00420382" w:rsidRDefault="000B31AD">
          <w:pPr>
            <w:pStyle w:val="TM3"/>
            <w:tabs>
              <w:tab w:val="right" w:leader="dot" w:pos="9062"/>
            </w:tabs>
            <w:rPr>
              <w:noProof/>
            </w:rPr>
          </w:pPr>
          <w:hyperlink w:anchor="_Toc60781053" w:history="1">
            <w:r w:rsidR="00420382" w:rsidRPr="00AE5D3E">
              <w:rPr>
                <w:rStyle w:val="Lienhypertexte"/>
                <w:noProof/>
              </w:rPr>
              <w:t>Slide 92 : Opération de réassurance avec la garantie de l’Etat</w:t>
            </w:r>
            <w:r w:rsidR="00420382">
              <w:rPr>
                <w:noProof/>
                <w:webHidden/>
              </w:rPr>
              <w:tab/>
            </w:r>
            <w:r w:rsidR="00420382">
              <w:rPr>
                <w:noProof/>
                <w:webHidden/>
              </w:rPr>
              <w:fldChar w:fldCharType="begin"/>
            </w:r>
            <w:r w:rsidR="00420382">
              <w:rPr>
                <w:noProof/>
                <w:webHidden/>
              </w:rPr>
              <w:instrText xml:space="preserve"> PAGEREF _Toc60781053 \h </w:instrText>
            </w:r>
            <w:r w:rsidR="00420382">
              <w:rPr>
                <w:noProof/>
                <w:webHidden/>
              </w:rPr>
            </w:r>
            <w:r w:rsidR="00420382">
              <w:rPr>
                <w:noProof/>
                <w:webHidden/>
              </w:rPr>
              <w:fldChar w:fldCharType="separate"/>
            </w:r>
            <w:r w:rsidR="00420382">
              <w:rPr>
                <w:noProof/>
                <w:webHidden/>
              </w:rPr>
              <w:t>110</w:t>
            </w:r>
            <w:r w:rsidR="00420382">
              <w:rPr>
                <w:noProof/>
                <w:webHidden/>
              </w:rPr>
              <w:fldChar w:fldCharType="end"/>
            </w:r>
          </w:hyperlink>
        </w:p>
        <w:p w14:paraId="42282A7E" w14:textId="17DCA36B" w:rsidR="00420382" w:rsidRDefault="000B31AD">
          <w:pPr>
            <w:pStyle w:val="TM3"/>
            <w:tabs>
              <w:tab w:val="right" w:leader="dot" w:pos="9062"/>
            </w:tabs>
            <w:rPr>
              <w:noProof/>
            </w:rPr>
          </w:pPr>
          <w:hyperlink w:anchor="_Toc60781054" w:history="1">
            <w:r w:rsidR="00420382" w:rsidRPr="00AE5D3E">
              <w:rPr>
                <w:rStyle w:val="Lienhypertexte"/>
                <w:noProof/>
              </w:rPr>
              <w:t>Slide 93 : Obligations sociales dans le cadre de France relance</w:t>
            </w:r>
            <w:r w:rsidR="00420382">
              <w:rPr>
                <w:noProof/>
                <w:webHidden/>
              </w:rPr>
              <w:tab/>
            </w:r>
            <w:r w:rsidR="00420382">
              <w:rPr>
                <w:noProof/>
                <w:webHidden/>
              </w:rPr>
              <w:fldChar w:fldCharType="begin"/>
            </w:r>
            <w:r w:rsidR="00420382">
              <w:rPr>
                <w:noProof/>
                <w:webHidden/>
              </w:rPr>
              <w:instrText xml:space="preserve"> PAGEREF _Toc60781054 \h </w:instrText>
            </w:r>
            <w:r w:rsidR="00420382">
              <w:rPr>
                <w:noProof/>
                <w:webHidden/>
              </w:rPr>
            </w:r>
            <w:r w:rsidR="00420382">
              <w:rPr>
                <w:noProof/>
                <w:webHidden/>
              </w:rPr>
              <w:fldChar w:fldCharType="separate"/>
            </w:r>
            <w:r w:rsidR="00420382">
              <w:rPr>
                <w:noProof/>
                <w:webHidden/>
              </w:rPr>
              <w:t>110</w:t>
            </w:r>
            <w:r w:rsidR="00420382">
              <w:rPr>
                <w:noProof/>
                <w:webHidden/>
              </w:rPr>
              <w:fldChar w:fldCharType="end"/>
            </w:r>
          </w:hyperlink>
        </w:p>
        <w:p w14:paraId="19F2F91F" w14:textId="1204E64D" w:rsidR="00420382" w:rsidRDefault="000B31AD">
          <w:pPr>
            <w:pStyle w:val="TM3"/>
            <w:tabs>
              <w:tab w:val="right" w:leader="dot" w:pos="9062"/>
            </w:tabs>
            <w:rPr>
              <w:noProof/>
            </w:rPr>
          </w:pPr>
          <w:hyperlink w:anchor="_Toc60781055" w:history="1">
            <w:r w:rsidR="00420382" w:rsidRPr="00AE5D3E">
              <w:rPr>
                <w:rStyle w:val="Lienhypertexte"/>
                <w:noProof/>
              </w:rPr>
              <w:t>Slide 94 : Exonération de cotisations sociales pour les entreprises affectées par la seconde vague de l’épidémie de covid-19</w:t>
            </w:r>
            <w:r w:rsidR="00420382">
              <w:rPr>
                <w:noProof/>
                <w:webHidden/>
              </w:rPr>
              <w:tab/>
            </w:r>
            <w:r w:rsidR="00420382">
              <w:rPr>
                <w:noProof/>
                <w:webHidden/>
              </w:rPr>
              <w:fldChar w:fldCharType="begin"/>
            </w:r>
            <w:r w:rsidR="00420382">
              <w:rPr>
                <w:noProof/>
                <w:webHidden/>
              </w:rPr>
              <w:instrText xml:space="preserve"> PAGEREF _Toc60781055 \h </w:instrText>
            </w:r>
            <w:r w:rsidR="00420382">
              <w:rPr>
                <w:noProof/>
                <w:webHidden/>
              </w:rPr>
            </w:r>
            <w:r w:rsidR="00420382">
              <w:rPr>
                <w:noProof/>
                <w:webHidden/>
              </w:rPr>
              <w:fldChar w:fldCharType="separate"/>
            </w:r>
            <w:r w:rsidR="00420382">
              <w:rPr>
                <w:noProof/>
                <w:webHidden/>
              </w:rPr>
              <w:t>111</w:t>
            </w:r>
            <w:r w:rsidR="00420382">
              <w:rPr>
                <w:noProof/>
                <w:webHidden/>
              </w:rPr>
              <w:fldChar w:fldCharType="end"/>
            </w:r>
          </w:hyperlink>
        </w:p>
        <w:p w14:paraId="194BC978" w14:textId="559F956B" w:rsidR="00420382" w:rsidRDefault="000B31AD">
          <w:pPr>
            <w:pStyle w:val="TM3"/>
            <w:tabs>
              <w:tab w:val="right" w:leader="dot" w:pos="9062"/>
            </w:tabs>
            <w:rPr>
              <w:noProof/>
            </w:rPr>
          </w:pPr>
          <w:hyperlink w:anchor="_Toc60781056" w:history="1">
            <w:r w:rsidR="00420382" w:rsidRPr="00AE5D3E">
              <w:rPr>
                <w:rStyle w:val="Lienhypertexte"/>
                <w:noProof/>
              </w:rPr>
              <w:t>Slide 95 : Aide au paiement des cotisations pour les entreprises affectées par la seconde vague de l’épidémie</w:t>
            </w:r>
            <w:r w:rsidR="00420382">
              <w:rPr>
                <w:noProof/>
                <w:webHidden/>
              </w:rPr>
              <w:tab/>
            </w:r>
            <w:r w:rsidR="00420382">
              <w:rPr>
                <w:noProof/>
                <w:webHidden/>
              </w:rPr>
              <w:fldChar w:fldCharType="begin"/>
            </w:r>
            <w:r w:rsidR="00420382">
              <w:rPr>
                <w:noProof/>
                <w:webHidden/>
              </w:rPr>
              <w:instrText xml:space="preserve"> PAGEREF _Toc60781056 \h </w:instrText>
            </w:r>
            <w:r w:rsidR="00420382">
              <w:rPr>
                <w:noProof/>
                <w:webHidden/>
              </w:rPr>
            </w:r>
            <w:r w:rsidR="00420382">
              <w:rPr>
                <w:noProof/>
                <w:webHidden/>
              </w:rPr>
              <w:fldChar w:fldCharType="separate"/>
            </w:r>
            <w:r w:rsidR="00420382">
              <w:rPr>
                <w:noProof/>
                <w:webHidden/>
              </w:rPr>
              <w:t>113</w:t>
            </w:r>
            <w:r w:rsidR="00420382">
              <w:rPr>
                <w:noProof/>
                <w:webHidden/>
              </w:rPr>
              <w:fldChar w:fldCharType="end"/>
            </w:r>
          </w:hyperlink>
        </w:p>
        <w:p w14:paraId="0B7CC4B5" w14:textId="31CA8198" w:rsidR="00420382" w:rsidRDefault="000B31AD">
          <w:pPr>
            <w:pStyle w:val="TM3"/>
            <w:tabs>
              <w:tab w:val="right" w:leader="dot" w:pos="9062"/>
            </w:tabs>
            <w:rPr>
              <w:noProof/>
            </w:rPr>
          </w:pPr>
          <w:hyperlink w:anchor="_Toc60781057" w:history="1">
            <w:r w:rsidR="00420382" w:rsidRPr="00AE5D3E">
              <w:rPr>
                <w:rStyle w:val="Lienhypertexte"/>
                <w:noProof/>
              </w:rPr>
              <w:t>Slide 96 : Réduction des cotisations à destination des travailleurs indépendants les plus impactés par la deuxieme vague</w:t>
            </w:r>
            <w:r w:rsidR="00420382">
              <w:rPr>
                <w:noProof/>
                <w:webHidden/>
              </w:rPr>
              <w:tab/>
            </w:r>
            <w:r w:rsidR="00420382">
              <w:rPr>
                <w:noProof/>
                <w:webHidden/>
              </w:rPr>
              <w:fldChar w:fldCharType="begin"/>
            </w:r>
            <w:r w:rsidR="00420382">
              <w:rPr>
                <w:noProof/>
                <w:webHidden/>
              </w:rPr>
              <w:instrText xml:space="preserve"> PAGEREF _Toc60781057 \h </w:instrText>
            </w:r>
            <w:r w:rsidR="00420382">
              <w:rPr>
                <w:noProof/>
                <w:webHidden/>
              </w:rPr>
            </w:r>
            <w:r w:rsidR="00420382">
              <w:rPr>
                <w:noProof/>
                <w:webHidden/>
              </w:rPr>
              <w:fldChar w:fldCharType="separate"/>
            </w:r>
            <w:r w:rsidR="00420382">
              <w:rPr>
                <w:noProof/>
                <w:webHidden/>
              </w:rPr>
              <w:t>113</w:t>
            </w:r>
            <w:r w:rsidR="00420382">
              <w:rPr>
                <w:noProof/>
                <w:webHidden/>
              </w:rPr>
              <w:fldChar w:fldCharType="end"/>
            </w:r>
          </w:hyperlink>
        </w:p>
        <w:p w14:paraId="4C930B80" w14:textId="44ABDB02" w:rsidR="00420382" w:rsidRDefault="000B31AD">
          <w:pPr>
            <w:pStyle w:val="TM3"/>
            <w:tabs>
              <w:tab w:val="right" w:leader="dot" w:pos="9062"/>
            </w:tabs>
            <w:rPr>
              <w:noProof/>
            </w:rPr>
          </w:pPr>
          <w:hyperlink w:anchor="_Toc60781058" w:history="1">
            <w:r w:rsidR="00420382" w:rsidRPr="00AE5D3E">
              <w:rPr>
                <w:rStyle w:val="Lienhypertexte"/>
                <w:noProof/>
              </w:rPr>
              <w:t>Slide 97 : Aide à destination des micro-entrepreneurs</w:t>
            </w:r>
            <w:r w:rsidR="00420382">
              <w:rPr>
                <w:noProof/>
                <w:webHidden/>
              </w:rPr>
              <w:tab/>
            </w:r>
            <w:r w:rsidR="00420382">
              <w:rPr>
                <w:noProof/>
                <w:webHidden/>
              </w:rPr>
              <w:fldChar w:fldCharType="begin"/>
            </w:r>
            <w:r w:rsidR="00420382">
              <w:rPr>
                <w:noProof/>
                <w:webHidden/>
              </w:rPr>
              <w:instrText xml:space="preserve"> PAGEREF _Toc60781058 \h </w:instrText>
            </w:r>
            <w:r w:rsidR="00420382">
              <w:rPr>
                <w:noProof/>
                <w:webHidden/>
              </w:rPr>
            </w:r>
            <w:r w:rsidR="00420382">
              <w:rPr>
                <w:noProof/>
                <w:webHidden/>
              </w:rPr>
              <w:fldChar w:fldCharType="separate"/>
            </w:r>
            <w:r w:rsidR="00420382">
              <w:rPr>
                <w:noProof/>
                <w:webHidden/>
              </w:rPr>
              <w:t>115</w:t>
            </w:r>
            <w:r w:rsidR="00420382">
              <w:rPr>
                <w:noProof/>
                <w:webHidden/>
              </w:rPr>
              <w:fldChar w:fldCharType="end"/>
            </w:r>
          </w:hyperlink>
        </w:p>
        <w:p w14:paraId="402D0CBC" w14:textId="37D1DDD4" w:rsidR="00420382" w:rsidRDefault="000B31AD">
          <w:pPr>
            <w:pStyle w:val="TM3"/>
            <w:tabs>
              <w:tab w:val="right" w:leader="dot" w:pos="9062"/>
            </w:tabs>
            <w:rPr>
              <w:noProof/>
            </w:rPr>
          </w:pPr>
          <w:hyperlink w:anchor="_Toc60781059" w:history="1">
            <w:r w:rsidR="00420382" w:rsidRPr="00AE5D3E">
              <w:rPr>
                <w:rStyle w:val="Lienhypertexte"/>
                <w:noProof/>
              </w:rPr>
              <w:t>Slide 98 : Réduction des cotisations sociales à destination des artistes-auteurs</w:t>
            </w:r>
            <w:r w:rsidR="00420382">
              <w:rPr>
                <w:noProof/>
                <w:webHidden/>
              </w:rPr>
              <w:tab/>
            </w:r>
            <w:r w:rsidR="00420382">
              <w:rPr>
                <w:noProof/>
                <w:webHidden/>
              </w:rPr>
              <w:fldChar w:fldCharType="begin"/>
            </w:r>
            <w:r w:rsidR="00420382">
              <w:rPr>
                <w:noProof/>
                <w:webHidden/>
              </w:rPr>
              <w:instrText xml:space="preserve"> PAGEREF _Toc60781059 \h </w:instrText>
            </w:r>
            <w:r w:rsidR="00420382">
              <w:rPr>
                <w:noProof/>
                <w:webHidden/>
              </w:rPr>
            </w:r>
            <w:r w:rsidR="00420382">
              <w:rPr>
                <w:noProof/>
                <w:webHidden/>
              </w:rPr>
              <w:fldChar w:fldCharType="separate"/>
            </w:r>
            <w:r w:rsidR="00420382">
              <w:rPr>
                <w:noProof/>
                <w:webHidden/>
              </w:rPr>
              <w:t>115</w:t>
            </w:r>
            <w:r w:rsidR="00420382">
              <w:rPr>
                <w:noProof/>
                <w:webHidden/>
              </w:rPr>
              <w:fldChar w:fldCharType="end"/>
            </w:r>
          </w:hyperlink>
        </w:p>
        <w:p w14:paraId="1B4E5CF8" w14:textId="0D000EBC" w:rsidR="00420382" w:rsidRDefault="000B31AD">
          <w:pPr>
            <w:pStyle w:val="TM3"/>
            <w:tabs>
              <w:tab w:val="right" w:leader="dot" w:pos="9062"/>
            </w:tabs>
            <w:rPr>
              <w:noProof/>
            </w:rPr>
          </w:pPr>
          <w:hyperlink w:anchor="_Toc60781060" w:history="1">
            <w:r w:rsidR="00420382" w:rsidRPr="00AE5D3E">
              <w:rPr>
                <w:rStyle w:val="Lienhypertexte"/>
                <w:noProof/>
              </w:rPr>
              <w:t>Slide 99 : Plan d’apurement des dettes pour les travailleurs indépendants et les employeurs</w:t>
            </w:r>
            <w:r w:rsidR="00420382">
              <w:rPr>
                <w:noProof/>
                <w:webHidden/>
              </w:rPr>
              <w:tab/>
            </w:r>
            <w:r w:rsidR="00420382">
              <w:rPr>
                <w:noProof/>
                <w:webHidden/>
              </w:rPr>
              <w:fldChar w:fldCharType="begin"/>
            </w:r>
            <w:r w:rsidR="00420382">
              <w:rPr>
                <w:noProof/>
                <w:webHidden/>
              </w:rPr>
              <w:instrText xml:space="preserve"> PAGEREF _Toc60781060 \h </w:instrText>
            </w:r>
            <w:r w:rsidR="00420382">
              <w:rPr>
                <w:noProof/>
                <w:webHidden/>
              </w:rPr>
            </w:r>
            <w:r w:rsidR="00420382">
              <w:rPr>
                <w:noProof/>
                <w:webHidden/>
              </w:rPr>
              <w:fldChar w:fldCharType="separate"/>
            </w:r>
            <w:r w:rsidR="00420382">
              <w:rPr>
                <w:noProof/>
                <w:webHidden/>
              </w:rPr>
              <w:t>116</w:t>
            </w:r>
            <w:r w:rsidR="00420382">
              <w:rPr>
                <w:noProof/>
                <w:webHidden/>
              </w:rPr>
              <w:fldChar w:fldCharType="end"/>
            </w:r>
          </w:hyperlink>
        </w:p>
        <w:p w14:paraId="28515350" w14:textId="63659F97" w:rsidR="00420382" w:rsidRDefault="000B31AD">
          <w:pPr>
            <w:pStyle w:val="TM1"/>
            <w:tabs>
              <w:tab w:val="right" w:leader="dot" w:pos="9062"/>
            </w:tabs>
            <w:rPr>
              <w:noProof/>
              <w:sz w:val="22"/>
              <w:szCs w:val="22"/>
              <w:lang w:eastAsia="fr-FR"/>
            </w:rPr>
          </w:pPr>
          <w:hyperlink w:anchor="_Toc60781061" w:history="1">
            <w:r w:rsidR="00420382" w:rsidRPr="00AE5D3E">
              <w:rPr>
                <w:rStyle w:val="Lienhypertexte"/>
                <w:caps/>
                <w:noProof/>
              </w:rPr>
              <w:t>Focus sur les véhicules</w:t>
            </w:r>
            <w:r w:rsidR="00420382">
              <w:rPr>
                <w:noProof/>
                <w:webHidden/>
              </w:rPr>
              <w:tab/>
            </w:r>
            <w:r w:rsidR="00420382">
              <w:rPr>
                <w:noProof/>
                <w:webHidden/>
              </w:rPr>
              <w:fldChar w:fldCharType="begin"/>
            </w:r>
            <w:r w:rsidR="00420382">
              <w:rPr>
                <w:noProof/>
                <w:webHidden/>
              </w:rPr>
              <w:instrText xml:space="preserve"> PAGEREF _Toc60781061 \h </w:instrText>
            </w:r>
            <w:r w:rsidR="00420382">
              <w:rPr>
                <w:noProof/>
                <w:webHidden/>
              </w:rPr>
            </w:r>
            <w:r w:rsidR="00420382">
              <w:rPr>
                <w:noProof/>
                <w:webHidden/>
              </w:rPr>
              <w:fldChar w:fldCharType="separate"/>
            </w:r>
            <w:r w:rsidR="00420382">
              <w:rPr>
                <w:noProof/>
                <w:webHidden/>
              </w:rPr>
              <w:t>117</w:t>
            </w:r>
            <w:r w:rsidR="00420382">
              <w:rPr>
                <w:noProof/>
                <w:webHidden/>
              </w:rPr>
              <w:fldChar w:fldCharType="end"/>
            </w:r>
          </w:hyperlink>
        </w:p>
        <w:p w14:paraId="52F5E6E6" w14:textId="435D182D" w:rsidR="00420382" w:rsidRDefault="000B31AD">
          <w:pPr>
            <w:pStyle w:val="TM2"/>
            <w:tabs>
              <w:tab w:val="right" w:leader="dot" w:pos="9062"/>
            </w:tabs>
            <w:rPr>
              <w:noProof/>
              <w:sz w:val="22"/>
              <w:szCs w:val="22"/>
              <w:lang w:eastAsia="fr-FR"/>
            </w:rPr>
          </w:pPr>
          <w:hyperlink w:anchor="_Toc60781062" w:history="1">
            <w:r w:rsidR="00420382" w:rsidRPr="00AE5D3E">
              <w:rPr>
                <w:rStyle w:val="Lienhypertexte"/>
                <w:noProof/>
              </w:rPr>
              <w:t>Gestion des véhicules</w:t>
            </w:r>
            <w:r w:rsidR="00420382">
              <w:rPr>
                <w:noProof/>
                <w:webHidden/>
              </w:rPr>
              <w:tab/>
            </w:r>
            <w:r w:rsidR="00420382">
              <w:rPr>
                <w:noProof/>
                <w:webHidden/>
              </w:rPr>
              <w:fldChar w:fldCharType="begin"/>
            </w:r>
            <w:r w:rsidR="00420382">
              <w:rPr>
                <w:noProof/>
                <w:webHidden/>
              </w:rPr>
              <w:instrText xml:space="preserve"> PAGEREF _Toc60781062 \h </w:instrText>
            </w:r>
            <w:r w:rsidR="00420382">
              <w:rPr>
                <w:noProof/>
                <w:webHidden/>
              </w:rPr>
            </w:r>
            <w:r w:rsidR="00420382">
              <w:rPr>
                <w:noProof/>
                <w:webHidden/>
              </w:rPr>
              <w:fldChar w:fldCharType="separate"/>
            </w:r>
            <w:r w:rsidR="00420382">
              <w:rPr>
                <w:noProof/>
                <w:webHidden/>
              </w:rPr>
              <w:t>118</w:t>
            </w:r>
            <w:r w:rsidR="00420382">
              <w:rPr>
                <w:noProof/>
                <w:webHidden/>
              </w:rPr>
              <w:fldChar w:fldCharType="end"/>
            </w:r>
          </w:hyperlink>
        </w:p>
        <w:p w14:paraId="3EA7E04B" w14:textId="78265FA9" w:rsidR="00420382" w:rsidRDefault="000B31AD">
          <w:pPr>
            <w:pStyle w:val="TM3"/>
            <w:tabs>
              <w:tab w:val="right" w:leader="dot" w:pos="9062"/>
            </w:tabs>
            <w:rPr>
              <w:noProof/>
            </w:rPr>
          </w:pPr>
          <w:hyperlink w:anchor="_Toc60781063" w:history="1">
            <w:r w:rsidR="00420382" w:rsidRPr="00AE5D3E">
              <w:rPr>
                <w:rStyle w:val="Lienhypertexte"/>
                <w:noProof/>
              </w:rPr>
              <w:t>Slide 101 : Terminologie commune aux taxes sur les véhicules</w:t>
            </w:r>
            <w:r w:rsidR="00420382">
              <w:rPr>
                <w:noProof/>
                <w:webHidden/>
              </w:rPr>
              <w:tab/>
            </w:r>
            <w:r w:rsidR="00420382">
              <w:rPr>
                <w:noProof/>
                <w:webHidden/>
              </w:rPr>
              <w:fldChar w:fldCharType="begin"/>
            </w:r>
            <w:r w:rsidR="00420382">
              <w:rPr>
                <w:noProof/>
                <w:webHidden/>
              </w:rPr>
              <w:instrText xml:space="preserve"> PAGEREF _Toc60781063 \h </w:instrText>
            </w:r>
            <w:r w:rsidR="00420382">
              <w:rPr>
                <w:noProof/>
                <w:webHidden/>
              </w:rPr>
            </w:r>
            <w:r w:rsidR="00420382">
              <w:rPr>
                <w:noProof/>
                <w:webHidden/>
              </w:rPr>
              <w:fldChar w:fldCharType="separate"/>
            </w:r>
            <w:r w:rsidR="00420382">
              <w:rPr>
                <w:noProof/>
                <w:webHidden/>
              </w:rPr>
              <w:t>118</w:t>
            </w:r>
            <w:r w:rsidR="00420382">
              <w:rPr>
                <w:noProof/>
                <w:webHidden/>
              </w:rPr>
              <w:fldChar w:fldCharType="end"/>
            </w:r>
          </w:hyperlink>
        </w:p>
        <w:p w14:paraId="495475D0" w14:textId="4570CB05" w:rsidR="00420382" w:rsidRDefault="000B31AD">
          <w:pPr>
            <w:pStyle w:val="TM3"/>
            <w:tabs>
              <w:tab w:val="right" w:leader="dot" w:pos="9062"/>
            </w:tabs>
            <w:rPr>
              <w:noProof/>
            </w:rPr>
          </w:pPr>
          <w:hyperlink w:anchor="_Toc60781064" w:history="1">
            <w:r w:rsidR="00420382" w:rsidRPr="00AE5D3E">
              <w:rPr>
                <w:rStyle w:val="Lienhypertexte"/>
                <w:noProof/>
              </w:rPr>
              <w:t>Slide 102 : Malus automobile pour 2021</w:t>
            </w:r>
            <w:r w:rsidR="00420382">
              <w:rPr>
                <w:noProof/>
                <w:webHidden/>
              </w:rPr>
              <w:tab/>
            </w:r>
            <w:r w:rsidR="00420382">
              <w:rPr>
                <w:noProof/>
                <w:webHidden/>
              </w:rPr>
              <w:fldChar w:fldCharType="begin"/>
            </w:r>
            <w:r w:rsidR="00420382">
              <w:rPr>
                <w:noProof/>
                <w:webHidden/>
              </w:rPr>
              <w:instrText xml:space="preserve"> PAGEREF _Toc60781064 \h </w:instrText>
            </w:r>
            <w:r w:rsidR="00420382">
              <w:rPr>
                <w:noProof/>
                <w:webHidden/>
              </w:rPr>
            </w:r>
            <w:r w:rsidR="00420382">
              <w:rPr>
                <w:noProof/>
                <w:webHidden/>
              </w:rPr>
              <w:fldChar w:fldCharType="separate"/>
            </w:r>
            <w:r w:rsidR="00420382">
              <w:rPr>
                <w:noProof/>
                <w:webHidden/>
              </w:rPr>
              <w:t>119</w:t>
            </w:r>
            <w:r w:rsidR="00420382">
              <w:rPr>
                <w:noProof/>
                <w:webHidden/>
              </w:rPr>
              <w:fldChar w:fldCharType="end"/>
            </w:r>
          </w:hyperlink>
        </w:p>
        <w:p w14:paraId="48387ADD" w14:textId="32C71394" w:rsidR="00420382" w:rsidRDefault="000B31AD">
          <w:pPr>
            <w:pStyle w:val="TM3"/>
            <w:tabs>
              <w:tab w:val="right" w:leader="dot" w:pos="9062"/>
            </w:tabs>
            <w:rPr>
              <w:noProof/>
            </w:rPr>
          </w:pPr>
          <w:hyperlink w:anchor="_Toc60781065" w:history="1">
            <w:r w:rsidR="00420382" w:rsidRPr="00AE5D3E">
              <w:rPr>
                <w:rStyle w:val="Lienhypertexte"/>
                <w:noProof/>
              </w:rPr>
              <w:t>Slide 103 : Malus automobile pour 2022</w:t>
            </w:r>
            <w:r w:rsidR="00420382">
              <w:rPr>
                <w:noProof/>
                <w:webHidden/>
              </w:rPr>
              <w:tab/>
            </w:r>
            <w:r w:rsidR="00420382">
              <w:rPr>
                <w:noProof/>
                <w:webHidden/>
              </w:rPr>
              <w:fldChar w:fldCharType="begin"/>
            </w:r>
            <w:r w:rsidR="00420382">
              <w:rPr>
                <w:noProof/>
                <w:webHidden/>
              </w:rPr>
              <w:instrText xml:space="preserve"> PAGEREF _Toc60781065 \h </w:instrText>
            </w:r>
            <w:r w:rsidR="00420382">
              <w:rPr>
                <w:noProof/>
                <w:webHidden/>
              </w:rPr>
            </w:r>
            <w:r w:rsidR="00420382">
              <w:rPr>
                <w:noProof/>
                <w:webHidden/>
              </w:rPr>
              <w:fldChar w:fldCharType="separate"/>
            </w:r>
            <w:r w:rsidR="00420382">
              <w:rPr>
                <w:noProof/>
                <w:webHidden/>
              </w:rPr>
              <w:t>122</w:t>
            </w:r>
            <w:r w:rsidR="00420382">
              <w:rPr>
                <w:noProof/>
                <w:webHidden/>
              </w:rPr>
              <w:fldChar w:fldCharType="end"/>
            </w:r>
          </w:hyperlink>
        </w:p>
        <w:p w14:paraId="39CE4302" w14:textId="06744724" w:rsidR="00420382" w:rsidRDefault="000B31AD">
          <w:pPr>
            <w:pStyle w:val="TM3"/>
            <w:tabs>
              <w:tab w:val="right" w:leader="dot" w:pos="9062"/>
            </w:tabs>
            <w:rPr>
              <w:noProof/>
            </w:rPr>
          </w:pPr>
          <w:hyperlink w:anchor="_Toc60781066" w:history="1">
            <w:r w:rsidR="00420382" w:rsidRPr="00AE5D3E">
              <w:rPr>
                <w:rStyle w:val="Lienhypertexte"/>
                <w:noProof/>
              </w:rPr>
              <w:t>Slide 104 : Malus automobile pour 2023</w:t>
            </w:r>
            <w:r w:rsidR="00420382">
              <w:rPr>
                <w:noProof/>
                <w:webHidden/>
              </w:rPr>
              <w:tab/>
            </w:r>
            <w:r w:rsidR="00420382">
              <w:rPr>
                <w:noProof/>
                <w:webHidden/>
              </w:rPr>
              <w:fldChar w:fldCharType="begin"/>
            </w:r>
            <w:r w:rsidR="00420382">
              <w:rPr>
                <w:noProof/>
                <w:webHidden/>
              </w:rPr>
              <w:instrText xml:space="preserve"> PAGEREF _Toc60781066 \h </w:instrText>
            </w:r>
            <w:r w:rsidR="00420382">
              <w:rPr>
                <w:noProof/>
                <w:webHidden/>
              </w:rPr>
            </w:r>
            <w:r w:rsidR="00420382">
              <w:rPr>
                <w:noProof/>
                <w:webHidden/>
              </w:rPr>
              <w:fldChar w:fldCharType="separate"/>
            </w:r>
            <w:r w:rsidR="00420382">
              <w:rPr>
                <w:noProof/>
                <w:webHidden/>
              </w:rPr>
              <w:t>127</w:t>
            </w:r>
            <w:r w:rsidR="00420382">
              <w:rPr>
                <w:noProof/>
                <w:webHidden/>
              </w:rPr>
              <w:fldChar w:fldCharType="end"/>
            </w:r>
          </w:hyperlink>
        </w:p>
        <w:p w14:paraId="38ED6B95" w14:textId="28A36100" w:rsidR="00420382" w:rsidRDefault="000B31AD">
          <w:pPr>
            <w:pStyle w:val="TM3"/>
            <w:tabs>
              <w:tab w:val="right" w:leader="dot" w:pos="9062"/>
            </w:tabs>
            <w:rPr>
              <w:noProof/>
            </w:rPr>
          </w:pPr>
          <w:hyperlink w:anchor="_Toc60781067" w:history="1">
            <w:r w:rsidR="00420382" w:rsidRPr="00AE5D3E">
              <w:rPr>
                <w:rStyle w:val="Lienhypertexte"/>
                <w:noProof/>
              </w:rPr>
              <w:t>Slide 105 : Taxe sur les véhicules de société pour 2021</w:t>
            </w:r>
            <w:r w:rsidR="00420382">
              <w:rPr>
                <w:noProof/>
                <w:webHidden/>
              </w:rPr>
              <w:tab/>
            </w:r>
            <w:r w:rsidR="00420382">
              <w:rPr>
                <w:noProof/>
                <w:webHidden/>
              </w:rPr>
              <w:fldChar w:fldCharType="begin"/>
            </w:r>
            <w:r w:rsidR="00420382">
              <w:rPr>
                <w:noProof/>
                <w:webHidden/>
              </w:rPr>
              <w:instrText xml:space="preserve"> PAGEREF _Toc60781067 \h </w:instrText>
            </w:r>
            <w:r w:rsidR="00420382">
              <w:rPr>
                <w:noProof/>
                <w:webHidden/>
              </w:rPr>
            </w:r>
            <w:r w:rsidR="00420382">
              <w:rPr>
                <w:noProof/>
                <w:webHidden/>
              </w:rPr>
              <w:fldChar w:fldCharType="separate"/>
            </w:r>
            <w:r w:rsidR="00420382">
              <w:rPr>
                <w:noProof/>
                <w:webHidden/>
              </w:rPr>
              <w:t>131</w:t>
            </w:r>
            <w:r w:rsidR="00420382">
              <w:rPr>
                <w:noProof/>
                <w:webHidden/>
              </w:rPr>
              <w:fldChar w:fldCharType="end"/>
            </w:r>
          </w:hyperlink>
        </w:p>
        <w:p w14:paraId="07451464" w14:textId="3DA2EA64" w:rsidR="00420382" w:rsidRDefault="000B31AD">
          <w:pPr>
            <w:pStyle w:val="TM3"/>
            <w:tabs>
              <w:tab w:val="right" w:leader="dot" w:pos="9062"/>
            </w:tabs>
            <w:rPr>
              <w:noProof/>
            </w:rPr>
          </w:pPr>
          <w:hyperlink w:anchor="_Toc60781068" w:history="1">
            <w:r w:rsidR="00420382" w:rsidRPr="00AE5D3E">
              <w:rPr>
                <w:rStyle w:val="Lienhypertexte"/>
                <w:noProof/>
              </w:rPr>
              <w:t>Slide 106 : Réaménagement des taxes sur les véhicules en 2022</w:t>
            </w:r>
            <w:r w:rsidR="00420382">
              <w:rPr>
                <w:noProof/>
                <w:webHidden/>
              </w:rPr>
              <w:tab/>
            </w:r>
            <w:r w:rsidR="00420382">
              <w:rPr>
                <w:noProof/>
                <w:webHidden/>
              </w:rPr>
              <w:fldChar w:fldCharType="begin"/>
            </w:r>
            <w:r w:rsidR="00420382">
              <w:rPr>
                <w:noProof/>
                <w:webHidden/>
              </w:rPr>
              <w:instrText xml:space="preserve"> PAGEREF _Toc60781068 \h </w:instrText>
            </w:r>
            <w:r w:rsidR="00420382">
              <w:rPr>
                <w:noProof/>
                <w:webHidden/>
              </w:rPr>
            </w:r>
            <w:r w:rsidR="00420382">
              <w:rPr>
                <w:noProof/>
                <w:webHidden/>
              </w:rPr>
              <w:fldChar w:fldCharType="separate"/>
            </w:r>
            <w:r w:rsidR="00420382">
              <w:rPr>
                <w:noProof/>
                <w:webHidden/>
              </w:rPr>
              <w:t>142</w:t>
            </w:r>
            <w:r w:rsidR="00420382">
              <w:rPr>
                <w:noProof/>
                <w:webHidden/>
              </w:rPr>
              <w:fldChar w:fldCharType="end"/>
            </w:r>
          </w:hyperlink>
        </w:p>
        <w:p w14:paraId="002BEAF7" w14:textId="3DC5F569" w:rsidR="00420382" w:rsidRDefault="000B31AD">
          <w:pPr>
            <w:pStyle w:val="TM1"/>
            <w:tabs>
              <w:tab w:val="right" w:leader="dot" w:pos="9062"/>
            </w:tabs>
            <w:rPr>
              <w:noProof/>
              <w:sz w:val="22"/>
              <w:szCs w:val="22"/>
              <w:lang w:eastAsia="fr-FR"/>
            </w:rPr>
          </w:pPr>
          <w:hyperlink w:anchor="_Toc60781069" w:history="1">
            <w:r w:rsidR="00420382" w:rsidRPr="00AE5D3E">
              <w:rPr>
                <w:rStyle w:val="Lienhypertexte"/>
                <w:caps/>
                <w:noProof/>
              </w:rPr>
              <w:t>Focus sur le contrôle fiscal et social</w:t>
            </w:r>
            <w:r w:rsidR="00420382">
              <w:rPr>
                <w:noProof/>
                <w:webHidden/>
              </w:rPr>
              <w:tab/>
            </w:r>
            <w:r w:rsidR="00420382">
              <w:rPr>
                <w:noProof/>
                <w:webHidden/>
              </w:rPr>
              <w:fldChar w:fldCharType="begin"/>
            </w:r>
            <w:r w:rsidR="00420382">
              <w:rPr>
                <w:noProof/>
                <w:webHidden/>
              </w:rPr>
              <w:instrText xml:space="preserve"> PAGEREF _Toc60781069 \h </w:instrText>
            </w:r>
            <w:r w:rsidR="00420382">
              <w:rPr>
                <w:noProof/>
                <w:webHidden/>
              </w:rPr>
            </w:r>
            <w:r w:rsidR="00420382">
              <w:rPr>
                <w:noProof/>
                <w:webHidden/>
              </w:rPr>
              <w:fldChar w:fldCharType="separate"/>
            </w:r>
            <w:r w:rsidR="00420382">
              <w:rPr>
                <w:noProof/>
                <w:webHidden/>
              </w:rPr>
              <w:t>159</w:t>
            </w:r>
            <w:r w:rsidR="00420382">
              <w:rPr>
                <w:noProof/>
                <w:webHidden/>
              </w:rPr>
              <w:fldChar w:fldCharType="end"/>
            </w:r>
          </w:hyperlink>
        </w:p>
        <w:p w14:paraId="2FE1C6C5" w14:textId="7B245044" w:rsidR="00420382" w:rsidRDefault="000B31AD">
          <w:pPr>
            <w:pStyle w:val="TM2"/>
            <w:tabs>
              <w:tab w:val="right" w:leader="dot" w:pos="9062"/>
            </w:tabs>
            <w:rPr>
              <w:noProof/>
              <w:sz w:val="22"/>
              <w:szCs w:val="22"/>
              <w:lang w:eastAsia="fr-FR"/>
            </w:rPr>
          </w:pPr>
          <w:hyperlink w:anchor="_Toc60781070" w:history="1">
            <w:r w:rsidR="00420382" w:rsidRPr="00AE5D3E">
              <w:rPr>
                <w:rStyle w:val="Lienhypertexte"/>
                <w:noProof/>
              </w:rPr>
              <w:t>En matière de contrôle fiscal</w:t>
            </w:r>
            <w:r w:rsidR="00420382">
              <w:rPr>
                <w:noProof/>
                <w:webHidden/>
              </w:rPr>
              <w:tab/>
            </w:r>
            <w:r w:rsidR="00420382">
              <w:rPr>
                <w:noProof/>
                <w:webHidden/>
              </w:rPr>
              <w:fldChar w:fldCharType="begin"/>
            </w:r>
            <w:r w:rsidR="00420382">
              <w:rPr>
                <w:noProof/>
                <w:webHidden/>
              </w:rPr>
              <w:instrText xml:space="preserve"> PAGEREF _Toc60781070 \h </w:instrText>
            </w:r>
            <w:r w:rsidR="00420382">
              <w:rPr>
                <w:noProof/>
                <w:webHidden/>
              </w:rPr>
            </w:r>
            <w:r w:rsidR="00420382">
              <w:rPr>
                <w:noProof/>
                <w:webHidden/>
              </w:rPr>
              <w:fldChar w:fldCharType="separate"/>
            </w:r>
            <w:r w:rsidR="00420382">
              <w:rPr>
                <w:noProof/>
                <w:webHidden/>
              </w:rPr>
              <w:t>160</w:t>
            </w:r>
            <w:r w:rsidR="00420382">
              <w:rPr>
                <w:noProof/>
                <w:webHidden/>
              </w:rPr>
              <w:fldChar w:fldCharType="end"/>
            </w:r>
          </w:hyperlink>
        </w:p>
        <w:p w14:paraId="03934086" w14:textId="4EA381F0" w:rsidR="00420382" w:rsidRDefault="000B31AD">
          <w:pPr>
            <w:pStyle w:val="TM3"/>
            <w:tabs>
              <w:tab w:val="right" w:leader="dot" w:pos="9062"/>
            </w:tabs>
            <w:rPr>
              <w:noProof/>
            </w:rPr>
          </w:pPr>
          <w:hyperlink w:anchor="_Toc60781071" w:history="1">
            <w:r w:rsidR="00420382" w:rsidRPr="00AE5D3E">
              <w:rPr>
                <w:rStyle w:val="Lienhypertexte"/>
                <w:noProof/>
              </w:rPr>
              <w:t>Slide 108 : Taux de l’intérêt de retard</w:t>
            </w:r>
            <w:r w:rsidR="00420382">
              <w:rPr>
                <w:noProof/>
                <w:webHidden/>
              </w:rPr>
              <w:tab/>
            </w:r>
            <w:r w:rsidR="00420382">
              <w:rPr>
                <w:noProof/>
                <w:webHidden/>
              </w:rPr>
              <w:fldChar w:fldCharType="begin"/>
            </w:r>
            <w:r w:rsidR="00420382">
              <w:rPr>
                <w:noProof/>
                <w:webHidden/>
              </w:rPr>
              <w:instrText xml:space="preserve"> PAGEREF _Toc60781071 \h </w:instrText>
            </w:r>
            <w:r w:rsidR="00420382">
              <w:rPr>
                <w:noProof/>
                <w:webHidden/>
              </w:rPr>
            </w:r>
            <w:r w:rsidR="00420382">
              <w:rPr>
                <w:noProof/>
                <w:webHidden/>
              </w:rPr>
              <w:fldChar w:fldCharType="separate"/>
            </w:r>
            <w:r w:rsidR="00420382">
              <w:rPr>
                <w:noProof/>
                <w:webHidden/>
              </w:rPr>
              <w:t>160</w:t>
            </w:r>
            <w:r w:rsidR="00420382">
              <w:rPr>
                <w:noProof/>
                <w:webHidden/>
              </w:rPr>
              <w:fldChar w:fldCharType="end"/>
            </w:r>
          </w:hyperlink>
        </w:p>
        <w:p w14:paraId="431F0515" w14:textId="0FBA8AA0" w:rsidR="00420382" w:rsidRDefault="000B31AD">
          <w:pPr>
            <w:pStyle w:val="TM3"/>
            <w:tabs>
              <w:tab w:val="right" w:leader="dot" w:pos="9062"/>
            </w:tabs>
            <w:rPr>
              <w:noProof/>
            </w:rPr>
          </w:pPr>
          <w:hyperlink w:anchor="_Toc60781072" w:history="1">
            <w:r w:rsidR="00420382" w:rsidRPr="00AE5D3E">
              <w:rPr>
                <w:rStyle w:val="Lienhypertexte"/>
                <w:noProof/>
              </w:rPr>
              <w:t>Slide 109 : Harmonisation des procédures de recouvrement forcé</w:t>
            </w:r>
            <w:r w:rsidR="00420382">
              <w:rPr>
                <w:noProof/>
                <w:webHidden/>
              </w:rPr>
              <w:tab/>
            </w:r>
            <w:r w:rsidR="00420382">
              <w:rPr>
                <w:noProof/>
                <w:webHidden/>
              </w:rPr>
              <w:fldChar w:fldCharType="begin"/>
            </w:r>
            <w:r w:rsidR="00420382">
              <w:rPr>
                <w:noProof/>
                <w:webHidden/>
              </w:rPr>
              <w:instrText xml:space="preserve"> PAGEREF _Toc60781072 \h </w:instrText>
            </w:r>
            <w:r w:rsidR="00420382">
              <w:rPr>
                <w:noProof/>
                <w:webHidden/>
              </w:rPr>
            </w:r>
            <w:r w:rsidR="00420382">
              <w:rPr>
                <w:noProof/>
                <w:webHidden/>
              </w:rPr>
              <w:fldChar w:fldCharType="separate"/>
            </w:r>
            <w:r w:rsidR="00420382">
              <w:rPr>
                <w:noProof/>
                <w:webHidden/>
              </w:rPr>
              <w:t>160</w:t>
            </w:r>
            <w:r w:rsidR="00420382">
              <w:rPr>
                <w:noProof/>
                <w:webHidden/>
              </w:rPr>
              <w:fldChar w:fldCharType="end"/>
            </w:r>
          </w:hyperlink>
        </w:p>
        <w:p w14:paraId="1812DD82" w14:textId="0D52C027" w:rsidR="00420382" w:rsidRDefault="000B31AD">
          <w:pPr>
            <w:pStyle w:val="TM3"/>
            <w:tabs>
              <w:tab w:val="right" w:leader="dot" w:pos="9062"/>
            </w:tabs>
            <w:rPr>
              <w:noProof/>
            </w:rPr>
          </w:pPr>
          <w:hyperlink w:anchor="_Toc60781073" w:history="1">
            <w:r w:rsidR="00420382" w:rsidRPr="00AE5D3E">
              <w:rPr>
                <w:rStyle w:val="Lienhypertexte"/>
                <w:noProof/>
              </w:rPr>
              <w:t>Slide 110 : Contrôle douanier</w:t>
            </w:r>
            <w:r w:rsidR="00420382">
              <w:rPr>
                <w:noProof/>
                <w:webHidden/>
              </w:rPr>
              <w:tab/>
            </w:r>
            <w:r w:rsidR="00420382">
              <w:rPr>
                <w:noProof/>
                <w:webHidden/>
              </w:rPr>
              <w:fldChar w:fldCharType="begin"/>
            </w:r>
            <w:r w:rsidR="00420382">
              <w:rPr>
                <w:noProof/>
                <w:webHidden/>
              </w:rPr>
              <w:instrText xml:space="preserve"> PAGEREF _Toc60781073 \h </w:instrText>
            </w:r>
            <w:r w:rsidR="00420382">
              <w:rPr>
                <w:noProof/>
                <w:webHidden/>
              </w:rPr>
            </w:r>
            <w:r w:rsidR="00420382">
              <w:rPr>
                <w:noProof/>
                <w:webHidden/>
              </w:rPr>
              <w:fldChar w:fldCharType="separate"/>
            </w:r>
            <w:r w:rsidR="00420382">
              <w:rPr>
                <w:noProof/>
                <w:webHidden/>
              </w:rPr>
              <w:t>161</w:t>
            </w:r>
            <w:r w:rsidR="00420382">
              <w:rPr>
                <w:noProof/>
                <w:webHidden/>
              </w:rPr>
              <w:fldChar w:fldCharType="end"/>
            </w:r>
          </w:hyperlink>
        </w:p>
        <w:p w14:paraId="26C886C4" w14:textId="3EAC9830" w:rsidR="00420382" w:rsidRDefault="000B31AD">
          <w:pPr>
            <w:pStyle w:val="TM3"/>
            <w:tabs>
              <w:tab w:val="right" w:leader="dot" w:pos="9062"/>
            </w:tabs>
            <w:rPr>
              <w:noProof/>
            </w:rPr>
          </w:pPr>
          <w:hyperlink w:anchor="_Toc60781074" w:history="1">
            <w:r w:rsidR="00420382" w:rsidRPr="00AE5D3E">
              <w:rPr>
                <w:rStyle w:val="Lienhypertexte"/>
                <w:noProof/>
              </w:rPr>
              <w:t>Slide 111 : Droit de communication</w:t>
            </w:r>
            <w:r w:rsidR="00420382">
              <w:rPr>
                <w:noProof/>
                <w:webHidden/>
              </w:rPr>
              <w:tab/>
            </w:r>
            <w:r w:rsidR="00420382">
              <w:rPr>
                <w:noProof/>
                <w:webHidden/>
              </w:rPr>
              <w:fldChar w:fldCharType="begin"/>
            </w:r>
            <w:r w:rsidR="00420382">
              <w:rPr>
                <w:noProof/>
                <w:webHidden/>
              </w:rPr>
              <w:instrText xml:space="preserve"> PAGEREF _Toc60781074 \h </w:instrText>
            </w:r>
            <w:r w:rsidR="00420382">
              <w:rPr>
                <w:noProof/>
                <w:webHidden/>
              </w:rPr>
            </w:r>
            <w:r w:rsidR="00420382">
              <w:rPr>
                <w:noProof/>
                <w:webHidden/>
              </w:rPr>
              <w:fldChar w:fldCharType="separate"/>
            </w:r>
            <w:r w:rsidR="00420382">
              <w:rPr>
                <w:noProof/>
                <w:webHidden/>
              </w:rPr>
              <w:t>162</w:t>
            </w:r>
            <w:r w:rsidR="00420382">
              <w:rPr>
                <w:noProof/>
                <w:webHidden/>
              </w:rPr>
              <w:fldChar w:fldCharType="end"/>
            </w:r>
          </w:hyperlink>
        </w:p>
        <w:p w14:paraId="75E6CC11" w14:textId="45CCD552" w:rsidR="00420382" w:rsidRDefault="000B31AD">
          <w:pPr>
            <w:pStyle w:val="TM3"/>
            <w:tabs>
              <w:tab w:val="right" w:leader="dot" w:pos="9062"/>
            </w:tabs>
            <w:rPr>
              <w:noProof/>
            </w:rPr>
          </w:pPr>
          <w:hyperlink w:anchor="_Toc60781075" w:history="1">
            <w:r w:rsidR="00420382" w:rsidRPr="00AE5D3E">
              <w:rPr>
                <w:rStyle w:val="Lienhypertexte"/>
                <w:noProof/>
              </w:rPr>
              <w:t>Slide 112 : Contrôle des contributions indirectes et échantillonage</w:t>
            </w:r>
            <w:r w:rsidR="00420382">
              <w:rPr>
                <w:noProof/>
                <w:webHidden/>
              </w:rPr>
              <w:tab/>
            </w:r>
            <w:r w:rsidR="00420382">
              <w:rPr>
                <w:noProof/>
                <w:webHidden/>
              </w:rPr>
              <w:fldChar w:fldCharType="begin"/>
            </w:r>
            <w:r w:rsidR="00420382">
              <w:rPr>
                <w:noProof/>
                <w:webHidden/>
              </w:rPr>
              <w:instrText xml:space="preserve"> PAGEREF _Toc60781075 \h </w:instrText>
            </w:r>
            <w:r w:rsidR="00420382">
              <w:rPr>
                <w:noProof/>
                <w:webHidden/>
              </w:rPr>
            </w:r>
            <w:r w:rsidR="00420382">
              <w:rPr>
                <w:noProof/>
                <w:webHidden/>
              </w:rPr>
              <w:fldChar w:fldCharType="separate"/>
            </w:r>
            <w:r w:rsidR="00420382">
              <w:rPr>
                <w:noProof/>
                <w:webHidden/>
              </w:rPr>
              <w:t>163</w:t>
            </w:r>
            <w:r w:rsidR="00420382">
              <w:rPr>
                <w:noProof/>
                <w:webHidden/>
              </w:rPr>
              <w:fldChar w:fldCharType="end"/>
            </w:r>
          </w:hyperlink>
        </w:p>
        <w:p w14:paraId="322F913A" w14:textId="240E5869" w:rsidR="00420382" w:rsidRDefault="000B31AD">
          <w:pPr>
            <w:pStyle w:val="TM3"/>
            <w:tabs>
              <w:tab w:val="right" w:leader="dot" w:pos="9062"/>
            </w:tabs>
            <w:rPr>
              <w:noProof/>
            </w:rPr>
          </w:pPr>
          <w:hyperlink w:anchor="_Toc60781076" w:history="1">
            <w:r w:rsidR="00420382" w:rsidRPr="00AE5D3E">
              <w:rPr>
                <w:rStyle w:val="Lienhypertexte"/>
                <w:noProof/>
              </w:rPr>
              <w:t>Slide 113 : Fichier d’identification des redevables</w:t>
            </w:r>
            <w:r w:rsidR="00420382">
              <w:rPr>
                <w:noProof/>
                <w:webHidden/>
              </w:rPr>
              <w:tab/>
            </w:r>
            <w:r w:rsidR="00420382">
              <w:rPr>
                <w:noProof/>
                <w:webHidden/>
              </w:rPr>
              <w:fldChar w:fldCharType="begin"/>
            </w:r>
            <w:r w:rsidR="00420382">
              <w:rPr>
                <w:noProof/>
                <w:webHidden/>
              </w:rPr>
              <w:instrText xml:space="preserve"> PAGEREF _Toc60781076 \h </w:instrText>
            </w:r>
            <w:r w:rsidR="00420382">
              <w:rPr>
                <w:noProof/>
                <w:webHidden/>
              </w:rPr>
            </w:r>
            <w:r w:rsidR="00420382">
              <w:rPr>
                <w:noProof/>
                <w:webHidden/>
              </w:rPr>
              <w:fldChar w:fldCharType="separate"/>
            </w:r>
            <w:r w:rsidR="00420382">
              <w:rPr>
                <w:noProof/>
                <w:webHidden/>
              </w:rPr>
              <w:t>163</w:t>
            </w:r>
            <w:r w:rsidR="00420382">
              <w:rPr>
                <w:noProof/>
                <w:webHidden/>
              </w:rPr>
              <w:fldChar w:fldCharType="end"/>
            </w:r>
          </w:hyperlink>
        </w:p>
        <w:p w14:paraId="65E32B05" w14:textId="2773E679" w:rsidR="00420382" w:rsidRDefault="000B31AD">
          <w:pPr>
            <w:pStyle w:val="TM2"/>
            <w:tabs>
              <w:tab w:val="right" w:leader="dot" w:pos="9062"/>
            </w:tabs>
            <w:rPr>
              <w:noProof/>
              <w:sz w:val="22"/>
              <w:szCs w:val="22"/>
              <w:lang w:eastAsia="fr-FR"/>
            </w:rPr>
          </w:pPr>
          <w:hyperlink w:anchor="_Toc60781077" w:history="1">
            <w:r w:rsidR="00420382" w:rsidRPr="00AE5D3E">
              <w:rPr>
                <w:rStyle w:val="Lienhypertexte"/>
                <w:noProof/>
              </w:rPr>
              <w:t>En matière de contrôle social</w:t>
            </w:r>
            <w:r w:rsidR="00420382">
              <w:rPr>
                <w:noProof/>
                <w:webHidden/>
              </w:rPr>
              <w:tab/>
            </w:r>
            <w:r w:rsidR="00420382">
              <w:rPr>
                <w:noProof/>
                <w:webHidden/>
              </w:rPr>
              <w:fldChar w:fldCharType="begin"/>
            </w:r>
            <w:r w:rsidR="00420382">
              <w:rPr>
                <w:noProof/>
                <w:webHidden/>
              </w:rPr>
              <w:instrText xml:space="preserve"> PAGEREF _Toc60781077 \h </w:instrText>
            </w:r>
            <w:r w:rsidR="00420382">
              <w:rPr>
                <w:noProof/>
                <w:webHidden/>
              </w:rPr>
            </w:r>
            <w:r w:rsidR="00420382">
              <w:rPr>
                <w:noProof/>
                <w:webHidden/>
              </w:rPr>
              <w:fldChar w:fldCharType="separate"/>
            </w:r>
            <w:r w:rsidR="00420382">
              <w:rPr>
                <w:noProof/>
                <w:webHidden/>
              </w:rPr>
              <w:t>164</w:t>
            </w:r>
            <w:r w:rsidR="00420382">
              <w:rPr>
                <w:noProof/>
                <w:webHidden/>
              </w:rPr>
              <w:fldChar w:fldCharType="end"/>
            </w:r>
          </w:hyperlink>
        </w:p>
        <w:p w14:paraId="56F64D8F" w14:textId="4E30B7E3" w:rsidR="00420382" w:rsidRDefault="000B31AD">
          <w:pPr>
            <w:pStyle w:val="TM3"/>
            <w:tabs>
              <w:tab w:val="right" w:leader="dot" w:pos="9062"/>
            </w:tabs>
            <w:rPr>
              <w:noProof/>
            </w:rPr>
          </w:pPr>
          <w:hyperlink w:anchor="_Toc60781078" w:history="1">
            <w:r w:rsidR="00420382" w:rsidRPr="00AE5D3E">
              <w:rPr>
                <w:rStyle w:val="Lienhypertexte"/>
                <w:noProof/>
              </w:rPr>
              <w:t>Slide 114 : Droit de communication</w:t>
            </w:r>
            <w:r w:rsidR="00420382">
              <w:rPr>
                <w:noProof/>
                <w:webHidden/>
              </w:rPr>
              <w:tab/>
            </w:r>
            <w:r w:rsidR="00420382">
              <w:rPr>
                <w:noProof/>
                <w:webHidden/>
              </w:rPr>
              <w:fldChar w:fldCharType="begin"/>
            </w:r>
            <w:r w:rsidR="00420382">
              <w:rPr>
                <w:noProof/>
                <w:webHidden/>
              </w:rPr>
              <w:instrText xml:space="preserve"> PAGEREF _Toc60781078 \h </w:instrText>
            </w:r>
            <w:r w:rsidR="00420382">
              <w:rPr>
                <w:noProof/>
                <w:webHidden/>
              </w:rPr>
            </w:r>
            <w:r w:rsidR="00420382">
              <w:rPr>
                <w:noProof/>
                <w:webHidden/>
              </w:rPr>
              <w:fldChar w:fldCharType="separate"/>
            </w:r>
            <w:r w:rsidR="00420382">
              <w:rPr>
                <w:noProof/>
                <w:webHidden/>
              </w:rPr>
              <w:t>164</w:t>
            </w:r>
            <w:r w:rsidR="00420382">
              <w:rPr>
                <w:noProof/>
                <w:webHidden/>
              </w:rPr>
              <w:fldChar w:fldCharType="end"/>
            </w:r>
          </w:hyperlink>
        </w:p>
        <w:p w14:paraId="420A529F" w14:textId="08984C1C" w:rsidR="00420382" w:rsidRDefault="000B31AD">
          <w:pPr>
            <w:pStyle w:val="TM3"/>
            <w:tabs>
              <w:tab w:val="right" w:leader="dot" w:pos="9062"/>
            </w:tabs>
            <w:rPr>
              <w:noProof/>
            </w:rPr>
          </w:pPr>
          <w:hyperlink w:anchor="_Toc60781079" w:history="1">
            <w:r w:rsidR="00420382" w:rsidRPr="00AE5D3E">
              <w:rPr>
                <w:rStyle w:val="Lienhypertexte"/>
                <w:noProof/>
              </w:rPr>
              <w:t>Slide 115 : Travail dissimulé</w:t>
            </w:r>
            <w:r w:rsidR="00420382">
              <w:rPr>
                <w:noProof/>
                <w:webHidden/>
              </w:rPr>
              <w:tab/>
            </w:r>
            <w:r w:rsidR="00420382">
              <w:rPr>
                <w:noProof/>
                <w:webHidden/>
              </w:rPr>
              <w:fldChar w:fldCharType="begin"/>
            </w:r>
            <w:r w:rsidR="00420382">
              <w:rPr>
                <w:noProof/>
                <w:webHidden/>
              </w:rPr>
              <w:instrText xml:space="preserve"> PAGEREF _Toc60781079 \h </w:instrText>
            </w:r>
            <w:r w:rsidR="00420382">
              <w:rPr>
                <w:noProof/>
                <w:webHidden/>
              </w:rPr>
            </w:r>
            <w:r w:rsidR="00420382">
              <w:rPr>
                <w:noProof/>
                <w:webHidden/>
              </w:rPr>
              <w:fldChar w:fldCharType="separate"/>
            </w:r>
            <w:r w:rsidR="00420382">
              <w:rPr>
                <w:noProof/>
                <w:webHidden/>
              </w:rPr>
              <w:t>164</w:t>
            </w:r>
            <w:r w:rsidR="00420382">
              <w:rPr>
                <w:noProof/>
                <w:webHidden/>
              </w:rPr>
              <w:fldChar w:fldCharType="end"/>
            </w:r>
          </w:hyperlink>
        </w:p>
        <w:p w14:paraId="21107847" w14:textId="11325A6C" w:rsidR="00420382" w:rsidRDefault="000B31AD">
          <w:pPr>
            <w:pStyle w:val="TM3"/>
            <w:tabs>
              <w:tab w:val="right" w:leader="dot" w:pos="9062"/>
            </w:tabs>
            <w:rPr>
              <w:noProof/>
            </w:rPr>
          </w:pPr>
          <w:hyperlink w:anchor="_Toc60781080" w:history="1">
            <w:r w:rsidR="00420382" w:rsidRPr="00AE5D3E">
              <w:rPr>
                <w:rStyle w:val="Lienhypertexte"/>
                <w:noProof/>
              </w:rPr>
              <w:t>Slide 116 : Recouvrement partiel de cotisations et ordre de paiement</w:t>
            </w:r>
            <w:r w:rsidR="00420382">
              <w:rPr>
                <w:noProof/>
                <w:webHidden/>
              </w:rPr>
              <w:tab/>
            </w:r>
            <w:r w:rsidR="00420382">
              <w:rPr>
                <w:noProof/>
                <w:webHidden/>
              </w:rPr>
              <w:fldChar w:fldCharType="begin"/>
            </w:r>
            <w:r w:rsidR="00420382">
              <w:rPr>
                <w:noProof/>
                <w:webHidden/>
              </w:rPr>
              <w:instrText xml:space="preserve"> PAGEREF _Toc60781080 \h </w:instrText>
            </w:r>
            <w:r w:rsidR="00420382">
              <w:rPr>
                <w:noProof/>
                <w:webHidden/>
              </w:rPr>
            </w:r>
            <w:r w:rsidR="00420382">
              <w:rPr>
                <w:noProof/>
                <w:webHidden/>
              </w:rPr>
              <w:fldChar w:fldCharType="separate"/>
            </w:r>
            <w:r w:rsidR="00420382">
              <w:rPr>
                <w:noProof/>
                <w:webHidden/>
              </w:rPr>
              <w:t>165</w:t>
            </w:r>
            <w:r w:rsidR="00420382">
              <w:rPr>
                <w:noProof/>
                <w:webHidden/>
              </w:rPr>
              <w:fldChar w:fldCharType="end"/>
            </w:r>
          </w:hyperlink>
        </w:p>
        <w:p w14:paraId="0FE2FF75" w14:textId="7BFE62F3" w:rsidR="00420382" w:rsidRDefault="000B31AD">
          <w:pPr>
            <w:pStyle w:val="TM3"/>
            <w:tabs>
              <w:tab w:val="right" w:leader="dot" w:pos="9062"/>
            </w:tabs>
            <w:rPr>
              <w:noProof/>
            </w:rPr>
          </w:pPr>
          <w:hyperlink w:anchor="_Toc60781081" w:history="1">
            <w:r w:rsidR="00420382" w:rsidRPr="00AE5D3E">
              <w:rPr>
                <w:rStyle w:val="Lienhypertexte"/>
                <w:noProof/>
              </w:rPr>
              <w:t xml:space="preserve">Slide 117 : Contrôle </w:t>
            </w:r>
            <w:r w:rsidR="00420382" w:rsidRPr="00AE5D3E">
              <w:rPr>
                <w:rStyle w:val="Lienhypertexte"/>
                <w:bCs/>
                <w:noProof/>
              </w:rPr>
              <w:t>de l’existence des assurés</w:t>
            </w:r>
            <w:r w:rsidR="00420382">
              <w:rPr>
                <w:noProof/>
                <w:webHidden/>
              </w:rPr>
              <w:tab/>
            </w:r>
            <w:r w:rsidR="00420382">
              <w:rPr>
                <w:noProof/>
                <w:webHidden/>
              </w:rPr>
              <w:fldChar w:fldCharType="begin"/>
            </w:r>
            <w:r w:rsidR="00420382">
              <w:rPr>
                <w:noProof/>
                <w:webHidden/>
              </w:rPr>
              <w:instrText xml:space="preserve"> PAGEREF _Toc60781081 \h </w:instrText>
            </w:r>
            <w:r w:rsidR="00420382">
              <w:rPr>
                <w:noProof/>
                <w:webHidden/>
              </w:rPr>
            </w:r>
            <w:r w:rsidR="00420382">
              <w:rPr>
                <w:noProof/>
                <w:webHidden/>
              </w:rPr>
              <w:fldChar w:fldCharType="separate"/>
            </w:r>
            <w:r w:rsidR="00420382">
              <w:rPr>
                <w:noProof/>
                <w:webHidden/>
              </w:rPr>
              <w:t>165</w:t>
            </w:r>
            <w:r w:rsidR="00420382">
              <w:rPr>
                <w:noProof/>
                <w:webHidden/>
              </w:rPr>
              <w:fldChar w:fldCharType="end"/>
            </w:r>
          </w:hyperlink>
        </w:p>
        <w:p w14:paraId="126EDFCF" w14:textId="330222AF" w:rsidR="00420382" w:rsidRDefault="000B31AD">
          <w:pPr>
            <w:pStyle w:val="TM3"/>
            <w:tabs>
              <w:tab w:val="right" w:leader="dot" w:pos="9062"/>
            </w:tabs>
            <w:rPr>
              <w:noProof/>
            </w:rPr>
          </w:pPr>
          <w:hyperlink w:anchor="_Toc60781082" w:history="1">
            <w:r w:rsidR="00420382" w:rsidRPr="00AE5D3E">
              <w:rPr>
                <w:rStyle w:val="Lienhypertexte"/>
                <w:noProof/>
              </w:rPr>
              <w:t>Slide 118 : Rehaussement des pénalités en cas de fraude</w:t>
            </w:r>
            <w:r w:rsidR="00420382">
              <w:rPr>
                <w:noProof/>
                <w:webHidden/>
              </w:rPr>
              <w:tab/>
            </w:r>
            <w:r w:rsidR="00420382">
              <w:rPr>
                <w:noProof/>
                <w:webHidden/>
              </w:rPr>
              <w:fldChar w:fldCharType="begin"/>
            </w:r>
            <w:r w:rsidR="00420382">
              <w:rPr>
                <w:noProof/>
                <w:webHidden/>
              </w:rPr>
              <w:instrText xml:space="preserve"> PAGEREF _Toc60781082 \h </w:instrText>
            </w:r>
            <w:r w:rsidR="00420382">
              <w:rPr>
                <w:noProof/>
                <w:webHidden/>
              </w:rPr>
            </w:r>
            <w:r w:rsidR="00420382">
              <w:rPr>
                <w:noProof/>
                <w:webHidden/>
              </w:rPr>
              <w:fldChar w:fldCharType="separate"/>
            </w:r>
            <w:r w:rsidR="00420382">
              <w:rPr>
                <w:noProof/>
                <w:webHidden/>
              </w:rPr>
              <w:t>166</w:t>
            </w:r>
            <w:r w:rsidR="00420382">
              <w:rPr>
                <w:noProof/>
                <w:webHidden/>
              </w:rPr>
              <w:fldChar w:fldCharType="end"/>
            </w:r>
          </w:hyperlink>
        </w:p>
        <w:p w14:paraId="428CB36F" w14:textId="54773C06" w:rsidR="00420382" w:rsidRDefault="000B31AD">
          <w:pPr>
            <w:pStyle w:val="TM3"/>
            <w:tabs>
              <w:tab w:val="right" w:leader="dot" w:pos="9062"/>
            </w:tabs>
            <w:rPr>
              <w:noProof/>
            </w:rPr>
          </w:pPr>
          <w:hyperlink w:anchor="_Toc60781083" w:history="1">
            <w:r w:rsidR="00420382" w:rsidRPr="00AE5D3E">
              <w:rPr>
                <w:rStyle w:val="Lienhypertexte"/>
                <w:noProof/>
              </w:rPr>
              <w:t>Slide 119 : Mesures diverses</w:t>
            </w:r>
            <w:r w:rsidR="00420382">
              <w:rPr>
                <w:noProof/>
                <w:webHidden/>
              </w:rPr>
              <w:tab/>
            </w:r>
            <w:r w:rsidR="00420382">
              <w:rPr>
                <w:noProof/>
                <w:webHidden/>
              </w:rPr>
              <w:fldChar w:fldCharType="begin"/>
            </w:r>
            <w:r w:rsidR="00420382">
              <w:rPr>
                <w:noProof/>
                <w:webHidden/>
              </w:rPr>
              <w:instrText xml:space="preserve"> PAGEREF _Toc60781083 \h </w:instrText>
            </w:r>
            <w:r w:rsidR="00420382">
              <w:rPr>
                <w:noProof/>
                <w:webHidden/>
              </w:rPr>
            </w:r>
            <w:r w:rsidR="00420382">
              <w:rPr>
                <w:noProof/>
                <w:webHidden/>
              </w:rPr>
              <w:fldChar w:fldCharType="separate"/>
            </w:r>
            <w:r w:rsidR="00420382">
              <w:rPr>
                <w:noProof/>
                <w:webHidden/>
              </w:rPr>
              <w:t>166</w:t>
            </w:r>
            <w:r w:rsidR="00420382">
              <w:rPr>
                <w:noProof/>
                <w:webHidden/>
              </w:rPr>
              <w:fldChar w:fldCharType="end"/>
            </w:r>
          </w:hyperlink>
        </w:p>
        <w:p w14:paraId="2ACC7BBF" w14:textId="5C0D5078" w:rsidR="00420382" w:rsidRDefault="000B31AD">
          <w:pPr>
            <w:pStyle w:val="TM1"/>
            <w:tabs>
              <w:tab w:val="right" w:leader="dot" w:pos="9062"/>
            </w:tabs>
            <w:rPr>
              <w:noProof/>
              <w:sz w:val="22"/>
              <w:szCs w:val="22"/>
              <w:lang w:eastAsia="fr-FR"/>
            </w:rPr>
          </w:pPr>
          <w:hyperlink w:anchor="_Toc60781084" w:history="1">
            <w:r w:rsidR="00420382" w:rsidRPr="00AE5D3E">
              <w:rPr>
                <w:rStyle w:val="Lienhypertexte"/>
                <w:caps/>
                <w:noProof/>
              </w:rPr>
              <w:t>Focus sur l’Outre-mer</w:t>
            </w:r>
            <w:r w:rsidR="00420382">
              <w:rPr>
                <w:noProof/>
                <w:webHidden/>
              </w:rPr>
              <w:tab/>
            </w:r>
            <w:r w:rsidR="00420382">
              <w:rPr>
                <w:noProof/>
                <w:webHidden/>
              </w:rPr>
              <w:fldChar w:fldCharType="begin"/>
            </w:r>
            <w:r w:rsidR="00420382">
              <w:rPr>
                <w:noProof/>
                <w:webHidden/>
              </w:rPr>
              <w:instrText xml:space="preserve"> PAGEREF _Toc60781084 \h </w:instrText>
            </w:r>
            <w:r w:rsidR="00420382">
              <w:rPr>
                <w:noProof/>
                <w:webHidden/>
              </w:rPr>
            </w:r>
            <w:r w:rsidR="00420382">
              <w:rPr>
                <w:noProof/>
                <w:webHidden/>
              </w:rPr>
              <w:fldChar w:fldCharType="separate"/>
            </w:r>
            <w:r w:rsidR="00420382">
              <w:rPr>
                <w:noProof/>
                <w:webHidden/>
              </w:rPr>
              <w:t>168</w:t>
            </w:r>
            <w:r w:rsidR="00420382">
              <w:rPr>
                <w:noProof/>
                <w:webHidden/>
              </w:rPr>
              <w:fldChar w:fldCharType="end"/>
            </w:r>
          </w:hyperlink>
        </w:p>
        <w:p w14:paraId="01B420BD" w14:textId="3AC4A249" w:rsidR="00420382" w:rsidRDefault="000B31AD">
          <w:pPr>
            <w:pStyle w:val="TM2"/>
            <w:tabs>
              <w:tab w:val="right" w:leader="dot" w:pos="9062"/>
            </w:tabs>
            <w:rPr>
              <w:noProof/>
              <w:sz w:val="22"/>
              <w:szCs w:val="22"/>
              <w:lang w:eastAsia="fr-FR"/>
            </w:rPr>
          </w:pPr>
          <w:hyperlink w:anchor="_Toc60781085" w:history="1">
            <w:r w:rsidR="00420382" w:rsidRPr="00AE5D3E">
              <w:rPr>
                <w:rStyle w:val="Lienhypertexte"/>
                <w:noProof/>
              </w:rPr>
              <w:t>Les mesures fiscales et sociales</w:t>
            </w:r>
            <w:r w:rsidR="00420382">
              <w:rPr>
                <w:noProof/>
                <w:webHidden/>
              </w:rPr>
              <w:tab/>
            </w:r>
            <w:r w:rsidR="00420382">
              <w:rPr>
                <w:noProof/>
                <w:webHidden/>
              </w:rPr>
              <w:fldChar w:fldCharType="begin"/>
            </w:r>
            <w:r w:rsidR="00420382">
              <w:rPr>
                <w:noProof/>
                <w:webHidden/>
              </w:rPr>
              <w:instrText xml:space="preserve"> PAGEREF _Toc60781085 \h </w:instrText>
            </w:r>
            <w:r w:rsidR="00420382">
              <w:rPr>
                <w:noProof/>
                <w:webHidden/>
              </w:rPr>
            </w:r>
            <w:r w:rsidR="00420382">
              <w:rPr>
                <w:noProof/>
                <w:webHidden/>
              </w:rPr>
              <w:fldChar w:fldCharType="separate"/>
            </w:r>
            <w:r w:rsidR="00420382">
              <w:rPr>
                <w:noProof/>
                <w:webHidden/>
              </w:rPr>
              <w:t>169</w:t>
            </w:r>
            <w:r w:rsidR="00420382">
              <w:rPr>
                <w:noProof/>
                <w:webHidden/>
              </w:rPr>
              <w:fldChar w:fldCharType="end"/>
            </w:r>
          </w:hyperlink>
        </w:p>
        <w:p w14:paraId="765897AC" w14:textId="409C8E84" w:rsidR="00420382" w:rsidRDefault="000B31AD">
          <w:pPr>
            <w:pStyle w:val="TM3"/>
            <w:tabs>
              <w:tab w:val="right" w:leader="dot" w:pos="9062"/>
            </w:tabs>
            <w:rPr>
              <w:noProof/>
            </w:rPr>
          </w:pPr>
          <w:hyperlink w:anchor="_Toc60781086" w:history="1">
            <w:r w:rsidR="00420382" w:rsidRPr="00AE5D3E">
              <w:rPr>
                <w:rStyle w:val="Lienhypertexte"/>
                <w:noProof/>
              </w:rPr>
              <w:t>Slide 121 : Dispositif Girardin et investissement dans l’immobilier en Outre-mer</w:t>
            </w:r>
            <w:r w:rsidR="00420382">
              <w:rPr>
                <w:noProof/>
                <w:webHidden/>
              </w:rPr>
              <w:tab/>
            </w:r>
            <w:r w:rsidR="00420382">
              <w:rPr>
                <w:noProof/>
                <w:webHidden/>
              </w:rPr>
              <w:fldChar w:fldCharType="begin"/>
            </w:r>
            <w:r w:rsidR="00420382">
              <w:rPr>
                <w:noProof/>
                <w:webHidden/>
              </w:rPr>
              <w:instrText xml:space="preserve"> PAGEREF _Toc60781086 \h </w:instrText>
            </w:r>
            <w:r w:rsidR="00420382">
              <w:rPr>
                <w:noProof/>
                <w:webHidden/>
              </w:rPr>
            </w:r>
            <w:r w:rsidR="00420382">
              <w:rPr>
                <w:noProof/>
                <w:webHidden/>
              </w:rPr>
              <w:fldChar w:fldCharType="separate"/>
            </w:r>
            <w:r w:rsidR="00420382">
              <w:rPr>
                <w:noProof/>
                <w:webHidden/>
              </w:rPr>
              <w:t>169</w:t>
            </w:r>
            <w:r w:rsidR="00420382">
              <w:rPr>
                <w:noProof/>
                <w:webHidden/>
              </w:rPr>
              <w:fldChar w:fldCharType="end"/>
            </w:r>
          </w:hyperlink>
        </w:p>
        <w:p w14:paraId="3FBF9759" w14:textId="6998A45A" w:rsidR="00420382" w:rsidRDefault="000B31AD">
          <w:pPr>
            <w:pStyle w:val="TM3"/>
            <w:tabs>
              <w:tab w:val="right" w:leader="dot" w:pos="9062"/>
            </w:tabs>
            <w:rPr>
              <w:noProof/>
            </w:rPr>
          </w:pPr>
          <w:hyperlink w:anchor="_Toc60781087" w:history="1">
            <w:r w:rsidR="00420382" w:rsidRPr="00AE5D3E">
              <w:rPr>
                <w:rStyle w:val="Lienhypertexte"/>
                <w:noProof/>
              </w:rPr>
              <w:t>Slide 122 : Dispositif Girardin : aménagement des avantages fiscaux accordés au titre de la réalisation d’investissements productifs</w:t>
            </w:r>
            <w:r w:rsidR="00420382">
              <w:rPr>
                <w:noProof/>
                <w:webHidden/>
              </w:rPr>
              <w:tab/>
            </w:r>
            <w:r w:rsidR="00420382">
              <w:rPr>
                <w:noProof/>
                <w:webHidden/>
              </w:rPr>
              <w:fldChar w:fldCharType="begin"/>
            </w:r>
            <w:r w:rsidR="00420382">
              <w:rPr>
                <w:noProof/>
                <w:webHidden/>
              </w:rPr>
              <w:instrText xml:space="preserve"> PAGEREF _Toc60781087 \h </w:instrText>
            </w:r>
            <w:r w:rsidR="00420382">
              <w:rPr>
                <w:noProof/>
                <w:webHidden/>
              </w:rPr>
            </w:r>
            <w:r w:rsidR="00420382">
              <w:rPr>
                <w:noProof/>
                <w:webHidden/>
              </w:rPr>
              <w:fldChar w:fldCharType="separate"/>
            </w:r>
            <w:r w:rsidR="00420382">
              <w:rPr>
                <w:noProof/>
                <w:webHidden/>
              </w:rPr>
              <w:t>170</w:t>
            </w:r>
            <w:r w:rsidR="00420382">
              <w:rPr>
                <w:noProof/>
                <w:webHidden/>
              </w:rPr>
              <w:fldChar w:fldCharType="end"/>
            </w:r>
          </w:hyperlink>
        </w:p>
        <w:p w14:paraId="341E1776" w14:textId="0E81CE98" w:rsidR="00420382" w:rsidRDefault="000B31AD">
          <w:pPr>
            <w:pStyle w:val="TM3"/>
            <w:tabs>
              <w:tab w:val="right" w:leader="dot" w:pos="9062"/>
            </w:tabs>
            <w:rPr>
              <w:noProof/>
            </w:rPr>
          </w:pPr>
          <w:hyperlink w:anchor="_Toc60781088" w:history="1">
            <w:r w:rsidR="00420382" w:rsidRPr="00AE5D3E">
              <w:rPr>
                <w:rStyle w:val="Lienhypertexte"/>
                <w:noProof/>
              </w:rPr>
              <w:t>Slide 123 : Dispositif Girardin : une nouvelle réduction d’impôt pour les investissements productifs neufs réalisés par les entreprises soumises à l’IS</w:t>
            </w:r>
            <w:r w:rsidR="00420382">
              <w:rPr>
                <w:noProof/>
                <w:webHidden/>
              </w:rPr>
              <w:tab/>
            </w:r>
            <w:r w:rsidR="00420382">
              <w:rPr>
                <w:noProof/>
                <w:webHidden/>
              </w:rPr>
              <w:fldChar w:fldCharType="begin"/>
            </w:r>
            <w:r w:rsidR="00420382">
              <w:rPr>
                <w:noProof/>
                <w:webHidden/>
              </w:rPr>
              <w:instrText xml:space="preserve"> PAGEREF _Toc60781088 \h </w:instrText>
            </w:r>
            <w:r w:rsidR="00420382">
              <w:rPr>
                <w:noProof/>
                <w:webHidden/>
              </w:rPr>
            </w:r>
            <w:r w:rsidR="00420382">
              <w:rPr>
                <w:noProof/>
                <w:webHidden/>
              </w:rPr>
              <w:fldChar w:fldCharType="separate"/>
            </w:r>
            <w:r w:rsidR="00420382">
              <w:rPr>
                <w:noProof/>
                <w:webHidden/>
              </w:rPr>
              <w:t>172</w:t>
            </w:r>
            <w:r w:rsidR="00420382">
              <w:rPr>
                <w:noProof/>
                <w:webHidden/>
              </w:rPr>
              <w:fldChar w:fldCharType="end"/>
            </w:r>
          </w:hyperlink>
        </w:p>
        <w:p w14:paraId="0176D373" w14:textId="226BE2B5" w:rsidR="00420382" w:rsidRDefault="000B31AD">
          <w:pPr>
            <w:pStyle w:val="TM3"/>
            <w:tabs>
              <w:tab w:val="right" w:leader="dot" w:pos="9062"/>
            </w:tabs>
            <w:rPr>
              <w:noProof/>
            </w:rPr>
          </w:pPr>
          <w:hyperlink w:anchor="_Toc60781089" w:history="1">
            <w:r w:rsidR="00420382" w:rsidRPr="00AE5D3E">
              <w:rPr>
                <w:rStyle w:val="Lienhypertexte"/>
                <w:noProof/>
              </w:rPr>
              <w:t>Slide 124 : Dispositif Girardin : aménagement des aides à l’investissement dans les navires de croisière</w:t>
            </w:r>
            <w:r w:rsidR="00420382">
              <w:rPr>
                <w:noProof/>
                <w:webHidden/>
              </w:rPr>
              <w:tab/>
            </w:r>
            <w:r w:rsidR="00420382">
              <w:rPr>
                <w:noProof/>
                <w:webHidden/>
              </w:rPr>
              <w:fldChar w:fldCharType="begin"/>
            </w:r>
            <w:r w:rsidR="00420382">
              <w:rPr>
                <w:noProof/>
                <w:webHidden/>
              </w:rPr>
              <w:instrText xml:space="preserve"> PAGEREF _Toc60781089 \h </w:instrText>
            </w:r>
            <w:r w:rsidR="00420382">
              <w:rPr>
                <w:noProof/>
                <w:webHidden/>
              </w:rPr>
            </w:r>
            <w:r w:rsidR="00420382">
              <w:rPr>
                <w:noProof/>
                <w:webHidden/>
              </w:rPr>
              <w:fldChar w:fldCharType="separate"/>
            </w:r>
            <w:r w:rsidR="00420382">
              <w:rPr>
                <w:noProof/>
                <w:webHidden/>
              </w:rPr>
              <w:t>180</w:t>
            </w:r>
            <w:r w:rsidR="00420382">
              <w:rPr>
                <w:noProof/>
                <w:webHidden/>
              </w:rPr>
              <w:fldChar w:fldCharType="end"/>
            </w:r>
          </w:hyperlink>
        </w:p>
        <w:p w14:paraId="469AA47D" w14:textId="10ED8048" w:rsidR="00420382" w:rsidRDefault="000B31AD">
          <w:pPr>
            <w:pStyle w:val="TM3"/>
            <w:tabs>
              <w:tab w:val="right" w:leader="dot" w:pos="9062"/>
            </w:tabs>
            <w:rPr>
              <w:noProof/>
            </w:rPr>
          </w:pPr>
          <w:hyperlink w:anchor="_Toc60781090" w:history="1">
            <w:r w:rsidR="00420382" w:rsidRPr="00AE5D3E">
              <w:rPr>
                <w:rStyle w:val="Lienhypertexte"/>
                <w:noProof/>
              </w:rPr>
              <w:t>Slide 125 : Crédit d’impôt pour la rénovation énergétique des bâtiments</w:t>
            </w:r>
            <w:r w:rsidR="00420382">
              <w:rPr>
                <w:noProof/>
                <w:webHidden/>
              </w:rPr>
              <w:tab/>
            </w:r>
            <w:r w:rsidR="00420382">
              <w:rPr>
                <w:noProof/>
                <w:webHidden/>
              </w:rPr>
              <w:fldChar w:fldCharType="begin"/>
            </w:r>
            <w:r w:rsidR="00420382">
              <w:rPr>
                <w:noProof/>
                <w:webHidden/>
              </w:rPr>
              <w:instrText xml:space="preserve"> PAGEREF _Toc60781090 \h </w:instrText>
            </w:r>
            <w:r w:rsidR="00420382">
              <w:rPr>
                <w:noProof/>
                <w:webHidden/>
              </w:rPr>
            </w:r>
            <w:r w:rsidR="00420382">
              <w:rPr>
                <w:noProof/>
                <w:webHidden/>
              </w:rPr>
              <w:fldChar w:fldCharType="separate"/>
            </w:r>
            <w:r w:rsidR="00420382">
              <w:rPr>
                <w:noProof/>
                <w:webHidden/>
              </w:rPr>
              <w:t>181</w:t>
            </w:r>
            <w:r w:rsidR="00420382">
              <w:rPr>
                <w:noProof/>
                <w:webHidden/>
              </w:rPr>
              <w:fldChar w:fldCharType="end"/>
            </w:r>
          </w:hyperlink>
        </w:p>
        <w:p w14:paraId="35A534B7" w14:textId="3B192B63" w:rsidR="00420382" w:rsidRDefault="000B31AD">
          <w:pPr>
            <w:pStyle w:val="TM3"/>
            <w:tabs>
              <w:tab w:val="right" w:leader="dot" w:pos="9062"/>
            </w:tabs>
            <w:rPr>
              <w:noProof/>
            </w:rPr>
          </w:pPr>
          <w:hyperlink w:anchor="_Toc60781091" w:history="1">
            <w:r w:rsidR="00420382" w:rsidRPr="00AE5D3E">
              <w:rPr>
                <w:rStyle w:val="Lienhypertexte"/>
                <w:noProof/>
              </w:rPr>
              <w:t xml:space="preserve">Slide 126 : Exonération </w:t>
            </w:r>
            <w:r w:rsidR="00420382" w:rsidRPr="00AE5D3E">
              <w:rPr>
                <w:rStyle w:val="Lienhypertexte"/>
                <w:bCs/>
                <w:noProof/>
              </w:rPr>
              <w:t>LODEOM et production audiovisuelle</w:t>
            </w:r>
            <w:r w:rsidR="00420382">
              <w:rPr>
                <w:noProof/>
                <w:webHidden/>
              </w:rPr>
              <w:tab/>
            </w:r>
            <w:r w:rsidR="00420382">
              <w:rPr>
                <w:noProof/>
                <w:webHidden/>
              </w:rPr>
              <w:fldChar w:fldCharType="begin"/>
            </w:r>
            <w:r w:rsidR="00420382">
              <w:rPr>
                <w:noProof/>
                <w:webHidden/>
              </w:rPr>
              <w:instrText xml:space="preserve"> PAGEREF _Toc60781091 \h </w:instrText>
            </w:r>
            <w:r w:rsidR="00420382">
              <w:rPr>
                <w:noProof/>
                <w:webHidden/>
              </w:rPr>
            </w:r>
            <w:r w:rsidR="00420382">
              <w:rPr>
                <w:noProof/>
                <w:webHidden/>
              </w:rPr>
              <w:fldChar w:fldCharType="separate"/>
            </w:r>
            <w:r w:rsidR="00420382">
              <w:rPr>
                <w:noProof/>
                <w:webHidden/>
              </w:rPr>
              <w:t>182</w:t>
            </w:r>
            <w:r w:rsidR="00420382">
              <w:rPr>
                <w:noProof/>
                <w:webHidden/>
              </w:rPr>
              <w:fldChar w:fldCharType="end"/>
            </w:r>
          </w:hyperlink>
        </w:p>
        <w:p w14:paraId="1DE4259A" w14:textId="3413D0A8" w:rsidR="00420382" w:rsidRDefault="000B31AD">
          <w:pPr>
            <w:pStyle w:val="TM3"/>
            <w:tabs>
              <w:tab w:val="right" w:leader="dot" w:pos="9062"/>
            </w:tabs>
            <w:rPr>
              <w:noProof/>
            </w:rPr>
          </w:pPr>
          <w:hyperlink w:anchor="_Toc60781092" w:history="1">
            <w:r w:rsidR="00420382" w:rsidRPr="00AE5D3E">
              <w:rPr>
                <w:rStyle w:val="Lienhypertexte"/>
                <w:noProof/>
              </w:rPr>
              <w:t>Slide 127 : Mesures diverses</w:t>
            </w:r>
            <w:r w:rsidR="00420382">
              <w:rPr>
                <w:noProof/>
                <w:webHidden/>
              </w:rPr>
              <w:tab/>
            </w:r>
            <w:r w:rsidR="00420382">
              <w:rPr>
                <w:noProof/>
                <w:webHidden/>
              </w:rPr>
              <w:fldChar w:fldCharType="begin"/>
            </w:r>
            <w:r w:rsidR="00420382">
              <w:rPr>
                <w:noProof/>
                <w:webHidden/>
              </w:rPr>
              <w:instrText xml:space="preserve"> PAGEREF _Toc60781092 \h </w:instrText>
            </w:r>
            <w:r w:rsidR="00420382">
              <w:rPr>
                <w:noProof/>
                <w:webHidden/>
              </w:rPr>
            </w:r>
            <w:r w:rsidR="00420382">
              <w:rPr>
                <w:noProof/>
                <w:webHidden/>
              </w:rPr>
              <w:fldChar w:fldCharType="separate"/>
            </w:r>
            <w:r w:rsidR="00420382">
              <w:rPr>
                <w:noProof/>
                <w:webHidden/>
              </w:rPr>
              <w:t>183</w:t>
            </w:r>
            <w:r w:rsidR="00420382">
              <w:rPr>
                <w:noProof/>
                <w:webHidden/>
              </w:rPr>
              <w:fldChar w:fldCharType="end"/>
            </w:r>
          </w:hyperlink>
        </w:p>
        <w:p w14:paraId="6CF7393E" w14:textId="5483459C" w:rsidR="008066C8" w:rsidRPr="00A847B7" w:rsidRDefault="008066C8">
          <w:r w:rsidRPr="00A847B7">
            <w:rPr>
              <w:b/>
              <w:bCs/>
            </w:rPr>
            <w:fldChar w:fldCharType="end"/>
          </w:r>
        </w:p>
      </w:sdtContent>
    </w:sdt>
    <w:p w14:paraId="24F36273" w14:textId="77777777" w:rsidR="001148C9" w:rsidRPr="00A847B7" w:rsidRDefault="001148C9">
      <w:r w:rsidRPr="00A847B7">
        <w:br w:type="page"/>
      </w:r>
    </w:p>
    <w:p w14:paraId="28149D56" w14:textId="77777777" w:rsidR="00162CCC" w:rsidRPr="00A847B7" w:rsidRDefault="00162CCC"/>
    <w:p w14:paraId="39E4B1A0" w14:textId="77777777" w:rsidR="00162CCC" w:rsidRPr="00A847B7" w:rsidRDefault="00162CCC"/>
    <w:p w14:paraId="157F289C" w14:textId="77777777" w:rsidR="00162CCC" w:rsidRPr="00A847B7" w:rsidRDefault="00162CCC"/>
    <w:p w14:paraId="4A45A836" w14:textId="77777777" w:rsidR="00162CCC" w:rsidRPr="00A847B7" w:rsidRDefault="00162CCC"/>
    <w:p w14:paraId="6D52FAA7" w14:textId="77777777" w:rsidR="00162CCC" w:rsidRPr="00A847B7" w:rsidRDefault="00162CCC"/>
    <w:p w14:paraId="2366CD1C" w14:textId="77777777" w:rsidR="00837EDF" w:rsidRPr="00A847B7" w:rsidRDefault="00837EDF"/>
    <w:p w14:paraId="39D76923" w14:textId="77777777" w:rsidR="001148C9" w:rsidRPr="00A847B7" w:rsidRDefault="001148C9"/>
    <w:p w14:paraId="17E945E0" w14:textId="77777777" w:rsidR="001148C9" w:rsidRPr="00A847B7" w:rsidRDefault="001148C9"/>
    <w:p w14:paraId="6B2A53E6" w14:textId="77777777" w:rsidR="001148C9" w:rsidRPr="00A847B7" w:rsidRDefault="001148C9"/>
    <w:p w14:paraId="77FA7230" w14:textId="77777777" w:rsidR="00E72727" w:rsidRPr="00A847B7" w:rsidRDefault="00E72727" w:rsidP="00E72727">
      <w:pPr>
        <w:pStyle w:val="Titre1"/>
        <w:rPr>
          <w:caps/>
        </w:rPr>
      </w:pPr>
      <w:bookmarkStart w:id="0" w:name="_Toc30149213"/>
      <w:bookmarkStart w:id="1" w:name="_Toc60780947"/>
      <w:r w:rsidRPr="00A847B7">
        <w:rPr>
          <w:caps/>
        </w:rPr>
        <w:t>Dispositions applicables aux particuliers</w:t>
      </w:r>
      <w:bookmarkEnd w:id="0"/>
      <w:bookmarkEnd w:id="1"/>
    </w:p>
    <w:p w14:paraId="26011397" w14:textId="77777777" w:rsidR="001B6B86" w:rsidRPr="00A847B7" w:rsidRDefault="001B6B86"/>
    <w:p w14:paraId="12593C15" w14:textId="77777777" w:rsidR="001B6B86" w:rsidRPr="00A847B7" w:rsidRDefault="001B6B86">
      <w:r w:rsidRPr="00A847B7">
        <w:br w:type="page"/>
      </w:r>
    </w:p>
    <w:p w14:paraId="0462BC43" w14:textId="77777777" w:rsidR="00FA283A" w:rsidRPr="00A847B7" w:rsidRDefault="00FA283A" w:rsidP="004F398D">
      <w:pPr>
        <w:jc w:val="center"/>
        <w:rPr>
          <w:b/>
        </w:rPr>
      </w:pPr>
    </w:p>
    <w:p w14:paraId="2BA98090" w14:textId="11F73913" w:rsidR="00C02AC4" w:rsidRPr="00A847B7" w:rsidRDefault="00C02AC4" w:rsidP="00C02AC4">
      <w:pPr>
        <w:pStyle w:val="Titre2"/>
      </w:pPr>
      <w:bookmarkStart w:id="2" w:name="_Toc60780948"/>
      <w:bookmarkStart w:id="3" w:name="_Toc30149214"/>
      <w:r w:rsidRPr="00A847B7">
        <w:t>Modalités de calcul de l’impôt sur le revenu</w:t>
      </w:r>
      <w:bookmarkEnd w:id="2"/>
      <w:r w:rsidRPr="00A847B7">
        <w:t xml:space="preserve"> </w:t>
      </w:r>
      <w:bookmarkEnd w:id="3"/>
    </w:p>
    <w:p w14:paraId="6C4FEE49" w14:textId="798BD6F6" w:rsidR="000A07A8" w:rsidRPr="00A847B7" w:rsidRDefault="000A07A8"/>
    <w:p w14:paraId="38F0E08C" w14:textId="3179D5A9" w:rsidR="00745BDA" w:rsidRPr="00A847B7" w:rsidRDefault="00745BDA" w:rsidP="00745BDA">
      <w:pPr>
        <w:pStyle w:val="Titre3"/>
      </w:pPr>
      <w:bookmarkStart w:id="4" w:name="_Toc30149215"/>
      <w:bookmarkStart w:id="5" w:name="_Toc60780949"/>
      <w:r w:rsidRPr="00A847B7">
        <w:t xml:space="preserve">Slide </w:t>
      </w:r>
      <w:r w:rsidR="00196E05">
        <w:t>3</w:t>
      </w:r>
      <w:r w:rsidR="00EA3163" w:rsidRPr="00A847B7">
        <w:t> </w:t>
      </w:r>
      <w:r w:rsidRPr="00A847B7">
        <w:t>: Bar</w:t>
      </w:r>
      <w:r w:rsidR="00105E60">
        <w:t>è</w:t>
      </w:r>
      <w:r w:rsidRPr="00A847B7">
        <w:t>me de l’imp</w:t>
      </w:r>
      <w:r w:rsidR="00046CA0">
        <w:t>ô</w:t>
      </w:r>
      <w:r w:rsidRPr="00A847B7">
        <w:t>t sur le revenu</w:t>
      </w:r>
      <w:bookmarkEnd w:id="4"/>
      <w:bookmarkEnd w:id="5"/>
      <w:r w:rsidRPr="00A847B7">
        <w:t xml:space="preserve"> </w:t>
      </w:r>
    </w:p>
    <w:p w14:paraId="0BE33587" w14:textId="190DE251" w:rsidR="00745BDA" w:rsidRPr="00A847B7" w:rsidRDefault="00745BDA" w:rsidP="00745BDA">
      <w:r w:rsidRPr="00A847B7">
        <w:rPr>
          <w:u w:val="single"/>
        </w:rPr>
        <w:t xml:space="preserve">Source </w:t>
      </w:r>
      <w:r w:rsidRPr="00A847B7">
        <w:t>: Loi de Finances pour 2021</w:t>
      </w:r>
      <w:r w:rsidRPr="00EF48B4">
        <w:t xml:space="preserve">, </w:t>
      </w:r>
      <w:r w:rsidRPr="00B04D79">
        <w:t xml:space="preserve">article </w:t>
      </w:r>
      <w:r w:rsidR="00926734" w:rsidRPr="00B04D79">
        <w:t>2</w:t>
      </w:r>
    </w:p>
    <w:p w14:paraId="26892747" w14:textId="7640D02F" w:rsidR="00745BDA" w:rsidRPr="00A847B7" w:rsidRDefault="00745BDA" w:rsidP="00745BDA">
      <w:pPr>
        <w:spacing w:beforeAutospacing="1" w:after="100" w:afterAutospacing="1"/>
        <w:rPr>
          <w:rFonts w:cstheme="minorHAnsi"/>
        </w:rPr>
      </w:pPr>
      <w:r w:rsidRPr="00A847B7">
        <w:rPr>
          <w:rFonts w:cstheme="minorHAnsi"/>
        </w:rPr>
        <w:t xml:space="preserve">Comme tous les ans, le barème de l’impôt sur le revenu est rehaussé dans la même proportion que la hausse prévisible des prix hors tabac : les limites de chacune des tranches sont donc rehaussées de </w:t>
      </w:r>
      <w:r w:rsidR="004854F8" w:rsidRPr="00A847B7">
        <w:rPr>
          <w:rFonts w:cstheme="minorHAnsi"/>
        </w:rPr>
        <w:t>0,20</w:t>
      </w:r>
      <w:r w:rsidRPr="00A847B7">
        <w:rPr>
          <w:rFonts w:cstheme="minorHAnsi"/>
        </w:rPr>
        <w:t xml:space="preserve"> %, selon le détail suivant.</w:t>
      </w:r>
    </w:p>
    <w:tbl>
      <w:tblPr>
        <w:tblW w:w="8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060"/>
        <w:gridCol w:w="2294"/>
      </w:tblGrid>
      <w:tr w:rsidR="00745BDA" w:rsidRPr="00A847B7" w14:paraId="3FCF9AF8" w14:textId="77777777" w:rsidTr="004854F8">
        <w:trPr>
          <w:trHeight w:val="318"/>
        </w:trPr>
        <w:tc>
          <w:tcPr>
            <w:tcW w:w="6060" w:type="dxa"/>
            <w:shd w:val="clear" w:color="auto" w:fill="297FD5" w:themeFill="accent3"/>
            <w:tcMar>
              <w:top w:w="72" w:type="dxa"/>
              <w:left w:w="144" w:type="dxa"/>
              <w:bottom w:w="72" w:type="dxa"/>
              <w:right w:w="144" w:type="dxa"/>
            </w:tcMar>
            <w:hideMark/>
          </w:tcPr>
          <w:p w14:paraId="76B4A136" w14:textId="77777777" w:rsidR="00745BDA" w:rsidRPr="00A847B7" w:rsidRDefault="00745BDA" w:rsidP="00895B7E">
            <w:pPr>
              <w:jc w:val="center"/>
              <w:rPr>
                <w:color w:val="FFFFFF" w:themeColor="background1"/>
                <w:sz w:val="24"/>
                <w:szCs w:val="24"/>
              </w:rPr>
            </w:pPr>
            <w:bookmarkStart w:id="6" w:name="_Hlk533692751"/>
            <w:r w:rsidRPr="00A847B7">
              <w:rPr>
                <w:b/>
                <w:bCs/>
                <w:color w:val="FFFFFF" w:themeColor="background1"/>
                <w:sz w:val="24"/>
                <w:szCs w:val="24"/>
              </w:rPr>
              <w:t>Fraction du revenu imposable (une part)</w:t>
            </w:r>
          </w:p>
        </w:tc>
        <w:tc>
          <w:tcPr>
            <w:tcW w:w="2294" w:type="dxa"/>
            <w:shd w:val="clear" w:color="auto" w:fill="297FD5" w:themeFill="accent3"/>
            <w:tcMar>
              <w:top w:w="72" w:type="dxa"/>
              <w:left w:w="144" w:type="dxa"/>
              <w:bottom w:w="72" w:type="dxa"/>
              <w:right w:w="144" w:type="dxa"/>
            </w:tcMar>
            <w:hideMark/>
          </w:tcPr>
          <w:p w14:paraId="0A998D55" w14:textId="77777777" w:rsidR="00745BDA" w:rsidRPr="00A847B7" w:rsidRDefault="00745BDA" w:rsidP="00895B7E">
            <w:pPr>
              <w:jc w:val="center"/>
              <w:rPr>
                <w:color w:val="FFFFFF" w:themeColor="background1"/>
                <w:sz w:val="24"/>
                <w:szCs w:val="24"/>
              </w:rPr>
            </w:pPr>
            <w:r w:rsidRPr="00A847B7">
              <w:rPr>
                <w:b/>
                <w:bCs/>
                <w:color w:val="FFFFFF" w:themeColor="background1"/>
                <w:sz w:val="24"/>
                <w:szCs w:val="24"/>
              </w:rPr>
              <w:t>Taux</w:t>
            </w:r>
          </w:p>
        </w:tc>
      </w:tr>
      <w:tr w:rsidR="00745BDA" w:rsidRPr="00A847B7" w14:paraId="324F7B73" w14:textId="77777777" w:rsidTr="004854F8">
        <w:trPr>
          <w:trHeight w:val="88"/>
        </w:trPr>
        <w:tc>
          <w:tcPr>
            <w:tcW w:w="6060" w:type="dxa"/>
            <w:shd w:val="clear" w:color="auto" w:fill="auto"/>
            <w:tcMar>
              <w:top w:w="72" w:type="dxa"/>
              <w:left w:w="144" w:type="dxa"/>
              <w:bottom w:w="72" w:type="dxa"/>
              <w:right w:w="144" w:type="dxa"/>
            </w:tcMar>
            <w:hideMark/>
          </w:tcPr>
          <w:p w14:paraId="1A78F290" w14:textId="2B503782" w:rsidR="00745BDA" w:rsidRPr="00A847B7" w:rsidRDefault="00745BDA" w:rsidP="001D01C2">
            <w:r w:rsidRPr="00A847B7">
              <w:t>Inférieure ou égale à 10 0</w:t>
            </w:r>
            <w:r w:rsidR="007676E5" w:rsidRPr="00A847B7">
              <w:t>8</w:t>
            </w:r>
            <w:r w:rsidRPr="00A847B7">
              <w:t>4 €</w:t>
            </w:r>
          </w:p>
        </w:tc>
        <w:tc>
          <w:tcPr>
            <w:tcW w:w="2294" w:type="dxa"/>
            <w:shd w:val="clear" w:color="auto" w:fill="auto"/>
            <w:tcMar>
              <w:top w:w="72" w:type="dxa"/>
              <w:left w:w="144" w:type="dxa"/>
              <w:bottom w:w="72" w:type="dxa"/>
              <w:right w:w="144" w:type="dxa"/>
            </w:tcMar>
            <w:hideMark/>
          </w:tcPr>
          <w:p w14:paraId="2CFE4951" w14:textId="77777777" w:rsidR="00745BDA" w:rsidRPr="00A847B7" w:rsidRDefault="00745BDA" w:rsidP="001D01C2">
            <w:r w:rsidRPr="00A847B7">
              <w:t>0 %</w:t>
            </w:r>
          </w:p>
        </w:tc>
      </w:tr>
      <w:tr w:rsidR="00403CF8" w:rsidRPr="00A847B7" w14:paraId="516B647A" w14:textId="77777777" w:rsidTr="004854F8">
        <w:trPr>
          <w:trHeight w:val="180"/>
        </w:trPr>
        <w:tc>
          <w:tcPr>
            <w:tcW w:w="6060" w:type="dxa"/>
            <w:shd w:val="clear" w:color="auto" w:fill="auto"/>
            <w:tcMar>
              <w:top w:w="72" w:type="dxa"/>
              <w:left w:w="144" w:type="dxa"/>
              <w:bottom w:w="72" w:type="dxa"/>
              <w:right w:w="144" w:type="dxa"/>
            </w:tcMar>
            <w:hideMark/>
          </w:tcPr>
          <w:p w14:paraId="2E3FA825" w14:textId="6AFE2815" w:rsidR="00403CF8" w:rsidRPr="00A847B7" w:rsidRDefault="00403CF8" w:rsidP="00403CF8">
            <w:r w:rsidRPr="00A847B7">
              <w:t>De 10 0</w:t>
            </w:r>
            <w:r w:rsidR="004F1398" w:rsidRPr="00A847B7">
              <w:t>8</w:t>
            </w:r>
            <w:r w:rsidRPr="00A847B7">
              <w:t>4 € à 25</w:t>
            </w:r>
            <w:r w:rsidR="004F1398" w:rsidRPr="00A847B7">
              <w:t xml:space="preserve"> 710 </w:t>
            </w:r>
            <w:r w:rsidRPr="00A847B7">
              <w:t>€</w:t>
            </w:r>
          </w:p>
        </w:tc>
        <w:tc>
          <w:tcPr>
            <w:tcW w:w="2294" w:type="dxa"/>
            <w:shd w:val="clear" w:color="auto" w:fill="auto"/>
            <w:tcMar>
              <w:top w:w="72" w:type="dxa"/>
              <w:left w:w="144" w:type="dxa"/>
              <w:bottom w:w="72" w:type="dxa"/>
              <w:right w:w="144" w:type="dxa"/>
            </w:tcMar>
            <w:hideMark/>
          </w:tcPr>
          <w:p w14:paraId="5B226436" w14:textId="6AA6F973" w:rsidR="00403CF8" w:rsidRPr="00A847B7" w:rsidRDefault="00403CF8" w:rsidP="00403CF8">
            <w:r w:rsidRPr="00A847B7">
              <w:t>11 %</w:t>
            </w:r>
          </w:p>
        </w:tc>
      </w:tr>
      <w:tr w:rsidR="00403CF8" w:rsidRPr="00A847B7" w14:paraId="4C61B2D5" w14:textId="77777777" w:rsidTr="004854F8">
        <w:trPr>
          <w:trHeight w:val="146"/>
        </w:trPr>
        <w:tc>
          <w:tcPr>
            <w:tcW w:w="6060" w:type="dxa"/>
            <w:shd w:val="clear" w:color="auto" w:fill="auto"/>
            <w:tcMar>
              <w:top w:w="72" w:type="dxa"/>
              <w:left w:w="144" w:type="dxa"/>
              <w:bottom w:w="72" w:type="dxa"/>
              <w:right w:w="144" w:type="dxa"/>
            </w:tcMar>
            <w:hideMark/>
          </w:tcPr>
          <w:p w14:paraId="1FFA75A3" w14:textId="1BB6BE36" w:rsidR="00403CF8" w:rsidRPr="00A847B7" w:rsidRDefault="00403CF8" w:rsidP="00403CF8">
            <w:pPr>
              <w:rPr>
                <w:highlight w:val="yellow"/>
              </w:rPr>
            </w:pPr>
            <w:r w:rsidRPr="00A847B7">
              <w:t xml:space="preserve">De 25 </w:t>
            </w:r>
            <w:r w:rsidR="004F1398" w:rsidRPr="00A847B7">
              <w:t>710</w:t>
            </w:r>
            <w:r w:rsidRPr="00A847B7">
              <w:t xml:space="preserve"> € à 73 </w:t>
            </w:r>
            <w:r w:rsidR="004F1398" w:rsidRPr="00A847B7">
              <w:t>516</w:t>
            </w:r>
            <w:r w:rsidRPr="00A847B7">
              <w:t xml:space="preserve"> €</w:t>
            </w:r>
          </w:p>
        </w:tc>
        <w:tc>
          <w:tcPr>
            <w:tcW w:w="2294" w:type="dxa"/>
            <w:shd w:val="clear" w:color="auto" w:fill="auto"/>
            <w:tcMar>
              <w:top w:w="72" w:type="dxa"/>
              <w:left w:w="144" w:type="dxa"/>
              <w:bottom w:w="72" w:type="dxa"/>
              <w:right w:w="144" w:type="dxa"/>
            </w:tcMar>
            <w:hideMark/>
          </w:tcPr>
          <w:p w14:paraId="667FB578" w14:textId="1EFE79E3" w:rsidR="00403CF8" w:rsidRPr="00A847B7" w:rsidRDefault="00403CF8" w:rsidP="00403CF8">
            <w:pPr>
              <w:rPr>
                <w:highlight w:val="yellow"/>
              </w:rPr>
            </w:pPr>
            <w:r w:rsidRPr="00A847B7">
              <w:t>30 %</w:t>
            </w:r>
          </w:p>
        </w:tc>
      </w:tr>
      <w:tr w:rsidR="00403CF8" w:rsidRPr="00A847B7" w14:paraId="2513A09E" w14:textId="77777777" w:rsidTr="004854F8">
        <w:trPr>
          <w:trHeight w:val="18"/>
        </w:trPr>
        <w:tc>
          <w:tcPr>
            <w:tcW w:w="6060" w:type="dxa"/>
            <w:shd w:val="clear" w:color="auto" w:fill="auto"/>
            <w:tcMar>
              <w:top w:w="72" w:type="dxa"/>
              <w:left w:w="144" w:type="dxa"/>
              <w:bottom w:w="72" w:type="dxa"/>
              <w:right w:w="144" w:type="dxa"/>
            </w:tcMar>
            <w:hideMark/>
          </w:tcPr>
          <w:p w14:paraId="5B1660FB" w14:textId="335FD8DF" w:rsidR="00403CF8" w:rsidRPr="00A847B7" w:rsidRDefault="00403CF8" w:rsidP="00403CF8">
            <w:pPr>
              <w:rPr>
                <w:highlight w:val="yellow"/>
              </w:rPr>
            </w:pPr>
            <w:r w:rsidRPr="00A847B7">
              <w:t xml:space="preserve">De 73 </w:t>
            </w:r>
            <w:r w:rsidR="004F1398" w:rsidRPr="00A847B7">
              <w:t>516</w:t>
            </w:r>
            <w:r w:rsidRPr="00A847B7">
              <w:t xml:space="preserve"> € à </w:t>
            </w:r>
            <w:r w:rsidR="00D64BB4" w:rsidRPr="00A847B7">
              <w:t>158 122</w:t>
            </w:r>
            <w:r w:rsidRPr="00A847B7">
              <w:t xml:space="preserve"> €</w:t>
            </w:r>
          </w:p>
        </w:tc>
        <w:tc>
          <w:tcPr>
            <w:tcW w:w="2294" w:type="dxa"/>
            <w:shd w:val="clear" w:color="auto" w:fill="auto"/>
            <w:tcMar>
              <w:top w:w="72" w:type="dxa"/>
              <w:left w:w="144" w:type="dxa"/>
              <w:bottom w:w="72" w:type="dxa"/>
              <w:right w:w="144" w:type="dxa"/>
            </w:tcMar>
            <w:hideMark/>
          </w:tcPr>
          <w:p w14:paraId="04936197" w14:textId="5849279B" w:rsidR="00403CF8" w:rsidRPr="00A847B7" w:rsidRDefault="00403CF8" w:rsidP="00403CF8">
            <w:pPr>
              <w:rPr>
                <w:highlight w:val="yellow"/>
              </w:rPr>
            </w:pPr>
            <w:r w:rsidRPr="00A847B7">
              <w:t>41 %</w:t>
            </w:r>
          </w:p>
        </w:tc>
      </w:tr>
      <w:tr w:rsidR="00403CF8" w:rsidRPr="00A847B7" w14:paraId="3EF863B3" w14:textId="77777777" w:rsidTr="004854F8">
        <w:trPr>
          <w:trHeight w:val="18"/>
        </w:trPr>
        <w:tc>
          <w:tcPr>
            <w:tcW w:w="6060" w:type="dxa"/>
            <w:shd w:val="clear" w:color="auto" w:fill="auto"/>
            <w:tcMar>
              <w:top w:w="72" w:type="dxa"/>
              <w:left w:w="144" w:type="dxa"/>
              <w:bottom w:w="72" w:type="dxa"/>
              <w:right w:w="144" w:type="dxa"/>
            </w:tcMar>
            <w:hideMark/>
          </w:tcPr>
          <w:p w14:paraId="7D05A12A" w14:textId="77417775" w:rsidR="00403CF8" w:rsidRPr="00A847B7" w:rsidRDefault="00403CF8" w:rsidP="00403CF8">
            <w:pPr>
              <w:rPr>
                <w:highlight w:val="yellow"/>
              </w:rPr>
            </w:pPr>
            <w:r w:rsidRPr="00A847B7">
              <w:t xml:space="preserve">Supérieure à </w:t>
            </w:r>
            <w:r w:rsidR="00D64BB4" w:rsidRPr="00A847B7">
              <w:t>158 122</w:t>
            </w:r>
            <w:r w:rsidRPr="00A847B7">
              <w:t xml:space="preserve"> €</w:t>
            </w:r>
          </w:p>
        </w:tc>
        <w:tc>
          <w:tcPr>
            <w:tcW w:w="2294" w:type="dxa"/>
            <w:shd w:val="clear" w:color="auto" w:fill="auto"/>
            <w:tcMar>
              <w:top w:w="72" w:type="dxa"/>
              <w:left w:w="144" w:type="dxa"/>
              <w:bottom w:w="72" w:type="dxa"/>
              <w:right w:w="144" w:type="dxa"/>
            </w:tcMar>
            <w:hideMark/>
          </w:tcPr>
          <w:p w14:paraId="5C04CB4E" w14:textId="04A8A1B9" w:rsidR="00403CF8" w:rsidRPr="00A847B7" w:rsidRDefault="00403CF8" w:rsidP="00403CF8">
            <w:pPr>
              <w:rPr>
                <w:highlight w:val="yellow"/>
              </w:rPr>
            </w:pPr>
            <w:r w:rsidRPr="00A847B7">
              <w:t>45 %</w:t>
            </w:r>
          </w:p>
        </w:tc>
      </w:tr>
      <w:bookmarkEnd w:id="6"/>
    </w:tbl>
    <w:p w14:paraId="04C29C3F" w14:textId="0579732D" w:rsidR="00745BDA" w:rsidRPr="00A847B7" w:rsidRDefault="00745BDA"/>
    <w:p w14:paraId="17E00158" w14:textId="47DB49AD" w:rsidR="00F45A04" w:rsidRPr="00A847B7" w:rsidRDefault="00F45A04" w:rsidP="00F45A04">
      <w:pPr>
        <w:pStyle w:val="Titre3"/>
      </w:pPr>
      <w:bookmarkStart w:id="7" w:name="_Toc30149216"/>
      <w:bookmarkStart w:id="8" w:name="_Toc60780950"/>
      <w:r w:rsidRPr="00A847B7">
        <w:t xml:space="preserve">Slide </w:t>
      </w:r>
      <w:r w:rsidR="00375728">
        <w:t>4</w:t>
      </w:r>
      <w:r w:rsidR="0015658A" w:rsidRPr="00A847B7">
        <w:t> </w:t>
      </w:r>
      <w:r w:rsidRPr="00A847B7">
        <w:t>: Plafonnement des effets du quotient familial</w:t>
      </w:r>
      <w:bookmarkEnd w:id="7"/>
      <w:bookmarkEnd w:id="8"/>
    </w:p>
    <w:p w14:paraId="07A047A4" w14:textId="6ABC5E7B" w:rsidR="00F45A04" w:rsidRPr="00A847B7" w:rsidRDefault="00F45A04" w:rsidP="00F45A04">
      <w:r w:rsidRPr="00A847B7">
        <w:rPr>
          <w:u w:val="single"/>
        </w:rPr>
        <w:t>Source</w:t>
      </w:r>
      <w:r w:rsidRPr="000D2062">
        <w:rPr>
          <w:u w:val="single"/>
        </w:rPr>
        <w:t xml:space="preserve"> </w:t>
      </w:r>
      <w:r w:rsidRPr="00A847B7">
        <w:t xml:space="preserve">: Loi de Finances pour 2021, </w:t>
      </w:r>
      <w:r w:rsidR="004F7705" w:rsidRPr="00B04D79">
        <w:t>article 2</w:t>
      </w:r>
    </w:p>
    <w:p w14:paraId="2AE91AAC" w14:textId="77777777" w:rsidR="00F45A04" w:rsidRPr="00A847B7" w:rsidRDefault="00F45A04" w:rsidP="00F45A04">
      <w:pPr>
        <w:spacing w:beforeAutospacing="1" w:after="100" w:afterAutospacing="1"/>
        <w:rPr>
          <w:rFonts w:cstheme="minorHAnsi"/>
        </w:rPr>
      </w:pPr>
      <w:r w:rsidRPr="00A847B7">
        <w:rPr>
          <w:rFonts w:cstheme="minorHAnsi"/>
        </w:rPr>
        <w:t>Le montant maximal de l’avantage lié au quotient familial est revu chaque année, étant précisé qu’il faut distinguer le plafonnement général des plafonds spécifiques qui diffèrent selon les situations de famille et les critères retenus pour l’attribution de cette majoration.</w:t>
      </w:r>
    </w:p>
    <w:p w14:paraId="4BB105E3" w14:textId="5BFDF094" w:rsidR="00F45A04" w:rsidRPr="00A847B7" w:rsidRDefault="00F45A04" w:rsidP="00F45A04">
      <w:pPr>
        <w:spacing w:beforeAutospacing="1" w:after="100" w:afterAutospacing="1"/>
        <w:rPr>
          <w:rFonts w:cstheme="minorHAnsi"/>
        </w:rPr>
      </w:pPr>
      <w:r w:rsidRPr="00A847B7">
        <w:rPr>
          <w:rFonts w:cstheme="minorHAnsi"/>
        </w:rPr>
        <w:t>Il faut également noter une réduction d’impôt complémentaire attribuée aux personnes invalides et anciens combattants. L’avantage correspondant est plafonné à 1 56</w:t>
      </w:r>
      <w:r w:rsidR="004912F8" w:rsidRPr="00A847B7">
        <w:rPr>
          <w:rFonts w:cstheme="minorHAnsi"/>
        </w:rPr>
        <w:t>5</w:t>
      </w:r>
      <w:r w:rsidRPr="00A847B7">
        <w:rPr>
          <w:rFonts w:cstheme="minorHAnsi"/>
        </w:rPr>
        <w:t xml:space="preserve"> € par ½ part liée aux personnes à charge invalides ou aux anciens combattants et, le cas échéant, à 7</w:t>
      </w:r>
      <w:r w:rsidR="00895B7E" w:rsidRPr="00A847B7">
        <w:rPr>
          <w:rFonts w:cstheme="minorHAnsi"/>
        </w:rPr>
        <w:t>8</w:t>
      </w:r>
      <w:r w:rsidR="004912F8" w:rsidRPr="00A847B7">
        <w:rPr>
          <w:rFonts w:cstheme="minorHAnsi"/>
        </w:rPr>
        <w:t>2</w:t>
      </w:r>
      <w:r w:rsidR="00895B7E" w:rsidRPr="00A847B7">
        <w:rPr>
          <w:rFonts w:cstheme="minorHAnsi"/>
        </w:rPr>
        <w:t>,50</w:t>
      </w:r>
      <w:r w:rsidRPr="00A847B7">
        <w:rPr>
          <w:rFonts w:cstheme="minorHAnsi"/>
        </w:rPr>
        <w:t xml:space="preserve"> € par ¼ de part liée aux enfants à charge en situation d’invalidité et en résidence alternée.</w:t>
      </w: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086"/>
        <w:gridCol w:w="2551"/>
      </w:tblGrid>
      <w:tr w:rsidR="00F45A04" w:rsidRPr="00A847B7" w14:paraId="01E06D91" w14:textId="77777777" w:rsidTr="00895B7E">
        <w:trPr>
          <w:trHeight w:val="655"/>
        </w:trPr>
        <w:tc>
          <w:tcPr>
            <w:tcW w:w="6086" w:type="dxa"/>
            <w:shd w:val="clear" w:color="auto" w:fill="297FD5" w:themeFill="accent3"/>
            <w:tcMar>
              <w:top w:w="72" w:type="dxa"/>
              <w:left w:w="144" w:type="dxa"/>
              <w:bottom w:w="72" w:type="dxa"/>
              <w:right w:w="144" w:type="dxa"/>
            </w:tcMar>
            <w:hideMark/>
          </w:tcPr>
          <w:p w14:paraId="613BA14A" w14:textId="77777777" w:rsidR="00F45A04" w:rsidRPr="00A847B7" w:rsidRDefault="00F45A04" w:rsidP="00895B7E">
            <w:pPr>
              <w:jc w:val="center"/>
              <w:rPr>
                <w:color w:val="FFFFFF" w:themeColor="background1"/>
                <w:sz w:val="24"/>
                <w:szCs w:val="24"/>
              </w:rPr>
            </w:pPr>
            <w:r w:rsidRPr="00A847B7">
              <w:rPr>
                <w:b/>
                <w:bCs/>
                <w:color w:val="FFFFFF" w:themeColor="background1"/>
                <w:sz w:val="24"/>
                <w:szCs w:val="24"/>
              </w:rPr>
              <w:lastRenderedPageBreak/>
              <w:t>Plafonnement des effets du QF</w:t>
            </w:r>
          </w:p>
        </w:tc>
        <w:tc>
          <w:tcPr>
            <w:tcW w:w="2551" w:type="dxa"/>
            <w:shd w:val="clear" w:color="auto" w:fill="297FD5" w:themeFill="accent3"/>
            <w:tcMar>
              <w:top w:w="72" w:type="dxa"/>
              <w:left w:w="144" w:type="dxa"/>
              <w:bottom w:w="72" w:type="dxa"/>
              <w:right w:w="144" w:type="dxa"/>
            </w:tcMar>
            <w:hideMark/>
          </w:tcPr>
          <w:p w14:paraId="47A78D31" w14:textId="77777777" w:rsidR="00F45A04" w:rsidRPr="00A847B7" w:rsidRDefault="00F45A04" w:rsidP="00895B7E">
            <w:pPr>
              <w:jc w:val="center"/>
              <w:rPr>
                <w:color w:val="FFFFFF" w:themeColor="background1"/>
                <w:sz w:val="24"/>
                <w:szCs w:val="24"/>
              </w:rPr>
            </w:pPr>
            <w:r w:rsidRPr="00A847B7">
              <w:rPr>
                <w:b/>
                <w:bCs/>
                <w:color w:val="FFFFFF" w:themeColor="background1"/>
                <w:sz w:val="24"/>
                <w:szCs w:val="24"/>
              </w:rPr>
              <w:t>Montant</w:t>
            </w:r>
          </w:p>
        </w:tc>
      </w:tr>
      <w:tr w:rsidR="00F45A04" w:rsidRPr="00A847B7" w14:paraId="48ABBFB7" w14:textId="77777777" w:rsidTr="00895B7E">
        <w:trPr>
          <w:trHeight w:val="612"/>
        </w:trPr>
        <w:tc>
          <w:tcPr>
            <w:tcW w:w="6086" w:type="dxa"/>
            <w:shd w:val="clear" w:color="auto" w:fill="auto"/>
            <w:tcMar>
              <w:top w:w="72" w:type="dxa"/>
              <w:left w:w="144" w:type="dxa"/>
              <w:bottom w:w="72" w:type="dxa"/>
              <w:right w:w="144" w:type="dxa"/>
            </w:tcMar>
            <w:hideMark/>
          </w:tcPr>
          <w:p w14:paraId="19D80235" w14:textId="77777777" w:rsidR="00F45A04" w:rsidRPr="00A847B7" w:rsidRDefault="00F45A04" w:rsidP="001D01C2">
            <w:r w:rsidRPr="00A847B7">
              <w:t>Par ½ part au-delà de 1 part (personne seule) ou de 2 parts (couples soumis à imposition commune)</w:t>
            </w:r>
          </w:p>
        </w:tc>
        <w:tc>
          <w:tcPr>
            <w:tcW w:w="2551" w:type="dxa"/>
            <w:shd w:val="clear" w:color="auto" w:fill="auto"/>
            <w:tcMar>
              <w:top w:w="72" w:type="dxa"/>
              <w:left w:w="144" w:type="dxa"/>
              <w:bottom w:w="72" w:type="dxa"/>
              <w:right w:w="144" w:type="dxa"/>
            </w:tcMar>
            <w:hideMark/>
          </w:tcPr>
          <w:p w14:paraId="0ED97D62" w14:textId="46E355D8" w:rsidR="00F45A04" w:rsidRPr="00A847B7" w:rsidRDefault="00F45A04" w:rsidP="001D01C2">
            <w:pPr>
              <w:rPr>
                <w:highlight w:val="yellow"/>
              </w:rPr>
            </w:pPr>
            <w:r w:rsidRPr="00A847B7">
              <w:t>1 </w:t>
            </w:r>
            <w:r w:rsidR="007656BE" w:rsidRPr="00A847B7">
              <w:t xml:space="preserve">570 </w:t>
            </w:r>
            <w:r w:rsidRPr="00A847B7">
              <w:t>€</w:t>
            </w:r>
          </w:p>
        </w:tc>
      </w:tr>
      <w:tr w:rsidR="00F45A04" w:rsidRPr="00A847B7" w14:paraId="7D442688" w14:textId="77777777" w:rsidTr="00895B7E">
        <w:trPr>
          <w:trHeight w:val="768"/>
        </w:trPr>
        <w:tc>
          <w:tcPr>
            <w:tcW w:w="6086" w:type="dxa"/>
            <w:shd w:val="clear" w:color="auto" w:fill="auto"/>
            <w:tcMar>
              <w:top w:w="72" w:type="dxa"/>
              <w:left w:w="144" w:type="dxa"/>
              <w:bottom w:w="72" w:type="dxa"/>
              <w:right w:w="144" w:type="dxa"/>
            </w:tcMar>
            <w:hideMark/>
          </w:tcPr>
          <w:p w14:paraId="7FE6A246" w14:textId="77777777" w:rsidR="00F45A04" w:rsidRPr="00A847B7" w:rsidRDefault="00F45A04" w:rsidP="001D01C2">
            <w:r w:rsidRPr="00A847B7">
              <w:t>Par ¼ part au-delà de 1 part (personne seule) ou de 2 parts (couples soumis à imposition commune) dans le cas d’une résidence alternée des enfants à charge</w:t>
            </w:r>
          </w:p>
        </w:tc>
        <w:tc>
          <w:tcPr>
            <w:tcW w:w="2551" w:type="dxa"/>
            <w:shd w:val="clear" w:color="auto" w:fill="auto"/>
            <w:tcMar>
              <w:top w:w="72" w:type="dxa"/>
              <w:left w:w="144" w:type="dxa"/>
              <w:bottom w:w="72" w:type="dxa"/>
              <w:right w:w="144" w:type="dxa"/>
            </w:tcMar>
            <w:hideMark/>
          </w:tcPr>
          <w:p w14:paraId="4DEC4C9E" w14:textId="1A612B71" w:rsidR="00F45A04" w:rsidRPr="00A847B7" w:rsidRDefault="00BA39C5" w:rsidP="001D01C2">
            <w:pPr>
              <w:rPr>
                <w:highlight w:val="yellow"/>
              </w:rPr>
            </w:pPr>
            <w:r w:rsidRPr="00A847B7">
              <w:t>785</w:t>
            </w:r>
            <w:r w:rsidR="00F45A04" w:rsidRPr="00A847B7">
              <w:t xml:space="preserve"> €</w:t>
            </w:r>
          </w:p>
        </w:tc>
      </w:tr>
      <w:tr w:rsidR="00F45A04" w:rsidRPr="00A847B7" w14:paraId="7C741C74" w14:textId="77777777" w:rsidTr="00895B7E">
        <w:trPr>
          <w:trHeight w:val="781"/>
        </w:trPr>
        <w:tc>
          <w:tcPr>
            <w:tcW w:w="6086" w:type="dxa"/>
            <w:shd w:val="clear" w:color="auto" w:fill="auto"/>
            <w:tcMar>
              <w:top w:w="72" w:type="dxa"/>
              <w:left w:w="144" w:type="dxa"/>
              <w:bottom w:w="72" w:type="dxa"/>
              <w:right w:w="144" w:type="dxa"/>
            </w:tcMar>
            <w:hideMark/>
          </w:tcPr>
          <w:p w14:paraId="3A872724" w14:textId="77777777" w:rsidR="00F45A04" w:rsidRPr="00A847B7" w:rsidRDefault="00F45A04" w:rsidP="001D01C2">
            <w:r w:rsidRPr="00A847B7">
              <w:t>Pour la part accordée au titre du 1</w:t>
            </w:r>
            <w:r w:rsidRPr="00A847B7">
              <w:rPr>
                <w:vertAlign w:val="superscript"/>
              </w:rPr>
              <w:t>er</w:t>
            </w:r>
            <w:r w:rsidRPr="00A847B7">
              <w:t xml:space="preserve"> enfant à charge aux personnes célibataires, divorcées ou séparées vivant seules et ayant au moins 1 enfant à charge à titre exclusif ou principal</w:t>
            </w:r>
          </w:p>
        </w:tc>
        <w:tc>
          <w:tcPr>
            <w:tcW w:w="2551" w:type="dxa"/>
            <w:shd w:val="clear" w:color="auto" w:fill="auto"/>
            <w:tcMar>
              <w:top w:w="72" w:type="dxa"/>
              <w:left w:w="144" w:type="dxa"/>
              <w:bottom w:w="72" w:type="dxa"/>
              <w:right w:w="144" w:type="dxa"/>
            </w:tcMar>
            <w:hideMark/>
          </w:tcPr>
          <w:p w14:paraId="6DF5741B" w14:textId="6EC249AB" w:rsidR="00F45A04" w:rsidRPr="00A847B7" w:rsidRDefault="004C3BA8" w:rsidP="001D01C2">
            <w:pPr>
              <w:rPr>
                <w:highlight w:val="yellow"/>
              </w:rPr>
            </w:pPr>
            <w:r w:rsidRPr="00A847B7">
              <w:t>3 704</w:t>
            </w:r>
            <w:r w:rsidR="00F45A04" w:rsidRPr="00A847B7">
              <w:t xml:space="preserve"> €</w:t>
            </w:r>
          </w:p>
        </w:tc>
      </w:tr>
      <w:tr w:rsidR="00F45A04" w:rsidRPr="00A847B7" w14:paraId="402F7264" w14:textId="77777777" w:rsidTr="00895B7E">
        <w:trPr>
          <w:trHeight w:val="897"/>
        </w:trPr>
        <w:tc>
          <w:tcPr>
            <w:tcW w:w="6086" w:type="dxa"/>
            <w:shd w:val="clear" w:color="auto" w:fill="auto"/>
            <w:tcMar>
              <w:top w:w="72" w:type="dxa"/>
              <w:left w:w="144" w:type="dxa"/>
              <w:bottom w:w="72" w:type="dxa"/>
              <w:right w:w="144" w:type="dxa"/>
            </w:tcMar>
            <w:hideMark/>
          </w:tcPr>
          <w:p w14:paraId="0D7476AB" w14:textId="77777777" w:rsidR="00F45A04" w:rsidRPr="00A847B7" w:rsidRDefault="00F45A04" w:rsidP="001D01C2">
            <w:r w:rsidRPr="00A847B7">
              <w:t>Pour la ½ part accordée au titre de chacun des 2 premiers enfants à charge aux personnes célibataires, divorcées ou séparées vivant seules en présence d’enfants en résidence alternée avec l’autre parent</w:t>
            </w:r>
          </w:p>
        </w:tc>
        <w:tc>
          <w:tcPr>
            <w:tcW w:w="2551" w:type="dxa"/>
            <w:shd w:val="clear" w:color="auto" w:fill="auto"/>
            <w:tcMar>
              <w:top w:w="72" w:type="dxa"/>
              <w:left w:w="144" w:type="dxa"/>
              <w:bottom w:w="72" w:type="dxa"/>
              <w:right w:w="144" w:type="dxa"/>
            </w:tcMar>
            <w:hideMark/>
          </w:tcPr>
          <w:p w14:paraId="47F94095" w14:textId="2E9112AB" w:rsidR="00F45A04" w:rsidRPr="00A847B7" w:rsidRDefault="004C3BA8" w:rsidP="001D01C2">
            <w:pPr>
              <w:rPr>
                <w:highlight w:val="yellow"/>
              </w:rPr>
            </w:pPr>
            <w:r w:rsidRPr="00A847B7">
              <w:t>1 852</w:t>
            </w:r>
            <w:r w:rsidR="00F45A04" w:rsidRPr="00A847B7">
              <w:t xml:space="preserve"> €</w:t>
            </w:r>
          </w:p>
        </w:tc>
      </w:tr>
      <w:tr w:rsidR="00F45A04" w:rsidRPr="00A847B7" w14:paraId="2B029D69" w14:textId="77777777" w:rsidTr="00895B7E">
        <w:trPr>
          <w:trHeight w:val="1913"/>
        </w:trPr>
        <w:tc>
          <w:tcPr>
            <w:tcW w:w="6086" w:type="dxa"/>
            <w:shd w:val="clear" w:color="auto" w:fill="auto"/>
            <w:tcMar>
              <w:top w:w="72" w:type="dxa"/>
              <w:left w:w="144" w:type="dxa"/>
              <w:bottom w:w="72" w:type="dxa"/>
              <w:right w:w="144" w:type="dxa"/>
            </w:tcMar>
            <w:hideMark/>
          </w:tcPr>
          <w:p w14:paraId="77442D22" w14:textId="77777777" w:rsidR="00F45A04" w:rsidRPr="00A847B7" w:rsidRDefault="00F45A04" w:rsidP="001D01C2">
            <w:r w:rsidRPr="00A847B7">
              <w:t>Pour la ½ part supplémentaire dont bénéficient les personnes célibataires, divorcées, séparées ou veuves vivant seules sans personne à charge et ayant supporté à titre exclusif ou principal la charge d’un ou de plusieurs enfants pendant au moins 5 ans au cours desquels elles vivaient seules</w:t>
            </w:r>
          </w:p>
        </w:tc>
        <w:tc>
          <w:tcPr>
            <w:tcW w:w="2551" w:type="dxa"/>
            <w:shd w:val="clear" w:color="auto" w:fill="auto"/>
            <w:tcMar>
              <w:top w:w="72" w:type="dxa"/>
              <w:left w:w="144" w:type="dxa"/>
              <w:bottom w:w="72" w:type="dxa"/>
              <w:right w:w="144" w:type="dxa"/>
            </w:tcMar>
            <w:hideMark/>
          </w:tcPr>
          <w:p w14:paraId="0D846425" w14:textId="0E85F32E" w:rsidR="00F45A04" w:rsidRPr="00A847B7" w:rsidRDefault="007578FD" w:rsidP="001D01C2">
            <w:pPr>
              <w:rPr>
                <w:highlight w:val="yellow"/>
              </w:rPr>
            </w:pPr>
            <w:r w:rsidRPr="00A847B7">
              <w:t xml:space="preserve">938 </w:t>
            </w:r>
            <w:r w:rsidR="00F45A04" w:rsidRPr="00A847B7">
              <w:t>€</w:t>
            </w:r>
          </w:p>
        </w:tc>
      </w:tr>
      <w:tr w:rsidR="00F45A04" w:rsidRPr="00A847B7" w14:paraId="196E8E94" w14:textId="77777777" w:rsidTr="00895B7E">
        <w:trPr>
          <w:trHeight w:val="1156"/>
        </w:trPr>
        <w:tc>
          <w:tcPr>
            <w:tcW w:w="6086" w:type="dxa"/>
            <w:shd w:val="clear" w:color="auto" w:fill="auto"/>
            <w:tcMar>
              <w:top w:w="72" w:type="dxa"/>
              <w:left w:w="144" w:type="dxa"/>
              <w:bottom w:w="72" w:type="dxa"/>
              <w:right w:w="144" w:type="dxa"/>
            </w:tcMar>
            <w:hideMark/>
          </w:tcPr>
          <w:p w14:paraId="1E5D80F1" w14:textId="77777777" w:rsidR="00F45A04" w:rsidRPr="00A847B7" w:rsidRDefault="00F45A04" w:rsidP="001D01C2">
            <w:r w:rsidRPr="00A847B7">
              <w:t>Réduction d’impôt complémentaire attachée à la part supplémentaire dont bénéficient les personnes veuves ayant au moins 1 personne à charge (applicable aux personnes veuves dont le conjoint est décédé avant le 1</w:t>
            </w:r>
            <w:r w:rsidRPr="00A847B7">
              <w:rPr>
                <w:vertAlign w:val="superscript"/>
              </w:rPr>
              <w:t>er</w:t>
            </w:r>
            <w:r w:rsidRPr="00A847B7">
              <w:t xml:space="preserve"> janvier 2015)</w:t>
            </w:r>
          </w:p>
        </w:tc>
        <w:tc>
          <w:tcPr>
            <w:tcW w:w="2551" w:type="dxa"/>
            <w:shd w:val="clear" w:color="auto" w:fill="auto"/>
            <w:tcMar>
              <w:top w:w="72" w:type="dxa"/>
              <w:left w:w="144" w:type="dxa"/>
              <w:bottom w:w="72" w:type="dxa"/>
              <w:right w:w="144" w:type="dxa"/>
            </w:tcMar>
            <w:hideMark/>
          </w:tcPr>
          <w:p w14:paraId="04284F15" w14:textId="43CEE302" w:rsidR="00F45A04" w:rsidRPr="00A847B7" w:rsidRDefault="00F45A04" w:rsidP="001D01C2">
            <w:r w:rsidRPr="00A847B7">
              <w:t>1 </w:t>
            </w:r>
            <w:r w:rsidR="007578FD" w:rsidRPr="00A847B7">
              <w:t xml:space="preserve">748 </w:t>
            </w:r>
            <w:r w:rsidRPr="00A847B7">
              <w:t>€</w:t>
            </w:r>
          </w:p>
        </w:tc>
      </w:tr>
    </w:tbl>
    <w:p w14:paraId="1F443CDF" w14:textId="2B392045" w:rsidR="00F45A04" w:rsidRPr="00A847B7" w:rsidRDefault="00F45A04"/>
    <w:p w14:paraId="5D4227F7" w14:textId="1614CEAE" w:rsidR="0058080F" w:rsidRPr="00A847B7" w:rsidRDefault="0058080F" w:rsidP="0058080F">
      <w:pPr>
        <w:pStyle w:val="Titre3"/>
        <w:pBdr>
          <w:bottom w:val="single" w:sz="24" w:space="3" w:color="4A66AC" w:themeColor="accent1"/>
        </w:pBdr>
      </w:pPr>
      <w:bookmarkStart w:id="9" w:name="_Toc30149217"/>
      <w:bookmarkStart w:id="10" w:name="_Toc60780951"/>
      <w:r w:rsidRPr="00A847B7">
        <w:t xml:space="preserve">Slide </w:t>
      </w:r>
      <w:r w:rsidR="00F31FF5">
        <w:t>5</w:t>
      </w:r>
      <w:r w:rsidR="00B76AB9" w:rsidRPr="00A847B7">
        <w:t> </w:t>
      </w:r>
      <w:r w:rsidRPr="00A847B7">
        <w:t>: Avantages li</w:t>
      </w:r>
      <w:r w:rsidR="00153A21">
        <w:t>é</w:t>
      </w:r>
      <w:r w:rsidRPr="00A847B7">
        <w:t>s aux enfants majeurs</w:t>
      </w:r>
      <w:bookmarkEnd w:id="9"/>
      <w:bookmarkEnd w:id="10"/>
    </w:p>
    <w:p w14:paraId="4E0411C9" w14:textId="01BC290B" w:rsidR="0058080F" w:rsidRPr="00A847B7" w:rsidRDefault="0058080F" w:rsidP="0058080F">
      <w:r w:rsidRPr="00A847B7">
        <w:rPr>
          <w:u w:val="single"/>
        </w:rPr>
        <w:t>Source</w:t>
      </w:r>
      <w:r w:rsidR="00EA28CA">
        <w:rPr>
          <w:u w:val="single"/>
        </w:rPr>
        <w:t xml:space="preserve"> </w:t>
      </w:r>
      <w:r w:rsidRPr="00A847B7">
        <w:t xml:space="preserve">: Loi de Finances pour 2021, </w:t>
      </w:r>
      <w:r w:rsidR="004F7705" w:rsidRPr="00B04D79">
        <w:t>article 2</w:t>
      </w:r>
    </w:p>
    <w:p w14:paraId="0D2B2ACF" w14:textId="77777777" w:rsidR="0058080F" w:rsidRPr="00A847B7" w:rsidRDefault="0058080F" w:rsidP="00EE0687">
      <w:pPr>
        <w:numPr>
          <w:ilvl w:val="0"/>
          <w:numId w:val="1"/>
        </w:numPr>
        <w:rPr>
          <w:b/>
          <w:i/>
          <w:u w:val="single"/>
        </w:rPr>
      </w:pPr>
      <w:r w:rsidRPr="00A847B7">
        <w:rPr>
          <w:b/>
          <w:i/>
          <w:u w:val="single"/>
        </w:rPr>
        <w:t>Abattement pour rattachement d’enfants mariés, pacsés ou chargés de famille</w:t>
      </w:r>
    </w:p>
    <w:p w14:paraId="4C15F20F" w14:textId="3F800E7C" w:rsidR="0058080F" w:rsidRPr="00A847B7" w:rsidRDefault="0058080F" w:rsidP="0058080F">
      <w:pPr>
        <w:spacing w:beforeAutospacing="1" w:after="100" w:afterAutospacing="1"/>
        <w:rPr>
          <w:rFonts w:cstheme="minorHAnsi"/>
        </w:rPr>
      </w:pPr>
      <w:r w:rsidRPr="00A847B7">
        <w:rPr>
          <w:rFonts w:cstheme="minorHAnsi"/>
        </w:rPr>
        <w:t>Les parents qui rattachent à leur foyer fiscal un enfant marié ou pacsé, faisant l’objet d’une imposition commune avec son conjoint ou son partenaire, ou un enfant chargé de famille</w:t>
      </w:r>
      <w:r w:rsidR="00E33703">
        <w:rPr>
          <w:rFonts w:cstheme="minorHAnsi"/>
        </w:rPr>
        <w:t>,</w:t>
      </w:r>
      <w:r w:rsidRPr="00A847B7">
        <w:rPr>
          <w:rFonts w:cstheme="minorHAnsi"/>
        </w:rPr>
        <w:t xml:space="preserve"> bénéficient d’un abattement sur leur revenu imposable.</w:t>
      </w:r>
    </w:p>
    <w:p w14:paraId="00F3FF65" w14:textId="1308B8C9" w:rsidR="0058080F" w:rsidRPr="00A847B7" w:rsidRDefault="0058080F" w:rsidP="0058080F">
      <w:pPr>
        <w:spacing w:beforeAutospacing="1" w:after="100" w:afterAutospacing="1"/>
        <w:rPr>
          <w:rFonts w:cstheme="minorHAnsi"/>
        </w:rPr>
      </w:pPr>
      <w:r w:rsidRPr="00A847B7">
        <w:rPr>
          <w:rFonts w:cstheme="minorHAnsi"/>
        </w:rPr>
        <w:t>Fixé à 5 </w:t>
      </w:r>
      <w:r w:rsidR="00D4196E" w:rsidRPr="00A847B7">
        <w:rPr>
          <w:rFonts w:cstheme="minorHAnsi"/>
        </w:rPr>
        <w:t xml:space="preserve">947 </w:t>
      </w:r>
      <w:r w:rsidRPr="00A847B7">
        <w:rPr>
          <w:rFonts w:cstheme="minorHAnsi"/>
        </w:rPr>
        <w:t xml:space="preserve">€ par personne prise en charge pour l’imposition des revenus </w:t>
      </w:r>
      <w:r w:rsidR="00D4196E" w:rsidRPr="00A847B7">
        <w:rPr>
          <w:rFonts w:cstheme="minorHAnsi"/>
        </w:rPr>
        <w:t>2019</w:t>
      </w:r>
      <w:r w:rsidRPr="00A847B7">
        <w:rPr>
          <w:rFonts w:cstheme="minorHAnsi"/>
        </w:rPr>
        <w:t>, le montant de cet abattement est porté à 5 </w:t>
      </w:r>
      <w:r w:rsidR="00D4196E" w:rsidRPr="00A847B7">
        <w:rPr>
          <w:rFonts w:cstheme="minorHAnsi"/>
        </w:rPr>
        <w:t>959</w:t>
      </w:r>
      <w:r w:rsidRPr="00A847B7">
        <w:rPr>
          <w:rFonts w:cstheme="minorHAnsi"/>
        </w:rPr>
        <w:t xml:space="preserve">€ pour l’imposition des revenus </w:t>
      </w:r>
      <w:r w:rsidR="00D4196E" w:rsidRPr="00A847B7">
        <w:rPr>
          <w:rFonts w:cstheme="minorHAnsi"/>
        </w:rPr>
        <w:t>2020</w:t>
      </w:r>
      <w:r w:rsidRPr="00A847B7">
        <w:rPr>
          <w:rFonts w:cstheme="minorHAnsi"/>
        </w:rPr>
        <w:t>.</w:t>
      </w:r>
    </w:p>
    <w:p w14:paraId="3BC141AA" w14:textId="77777777" w:rsidR="0058080F" w:rsidRPr="00A847B7" w:rsidRDefault="0058080F" w:rsidP="00EE0687">
      <w:pPr>
        <w:numPr>
          <w:ilvl w:val="0"/>
          <w:numId w:val="2"/>
        </w:numPr>
        <w:rPr>
          <w:b/>
          <w:i/>
          <w:u w:val="single"/>
        </w:rPr>
      </w:pPr>
      <w:r w:rsidRPr="00A847B7">
        <w:rPr>
          <w:b/>
          <w:i/>
          <w:u w:val="single"/>
        </w:rPr>
        <w:t>Limite de déduction de la pension alimentaire versée à un enfant majeur</w:t>
      </w:r>
    </w:p>
    <w:p w14:paraId="0000DD02" w14:textId="3E66D996" w:rsidR="0058080F" w:rsidRPr="00A847B7" w:rsidRDefault="0058080F" w:rsidP="0058080F">
      <w:pPr>
        <w:spacing w:beforeAutospacing="1" w:after="100" w:afterAutospacing="1"/>
        <w:rPr>
          <w:rFonts w:cstheme="minorHAnsi"/>
        </w:rPr>
      </w:pPr>
      <w:r w:rsidRPr="00A847B7">
        <w:rPr>
          <w:rFonts w:cstheme="minorHAnsi"/>
        </w:rPr>
        <w:lastRenderedPageBreak/>
        <w:t>La déduction des pensions alimentaires versées à un enfant majeur est limitée à</w:t>
      </w:r>
      <w:r w:rsidRPr="00A847B7">
        <w:rPr>
          <w:rFonts w:cstheme="minorHAnsi"/>
          <w:b/>
        </w:rPr>
        <w:t xml:space="preserve"> </w:t>
      </w:r>
      <w:r w:rsidRPr="00A847B7">
        <w:rPr>
          <w:rFonts w:cstheme="minorHAnsi"/>
        </w:rPr>
        <w:t>5 </w:t>
      </w:r>
      <w:r w:rsidR="00A205EA" w:rsidRPr="00A847B7">
        <w:rPr>
          <w:rFonts w:cstheme="minorHAnsi"/>
        </w:rPr>
        <w:t xml:space="preserve">959 </w:t>
      </w:r>
      <w:r w:rsidRPr="00A847B7">
        <w:rPr>
          <w:rFonts w:cstheme="minorHAnsi"/>
        </w:rPr>
        <w:t>€ (5 </w:t>
      </w:r>
      <w:r w:rsidR="00A205EA" w:rsidRPr="00A847B7">
        <w:rPr>
          <w:rFonts w:cstheme="minorHAnsi"/>
        </w:rPr>
        <w:t xml:space="preserve">947 </w:t>
      </w:r>
      <w:r w:rsidRPr="00A847B7">
        <w:rPr>
          <w:rFonts w:cstheme="minorHAnsi"/>
        </w:rPr>
        <w:t xml:space="preserve">€ pour l’imposition des revenus de l’année </w:t>
      </w:r>
      <w:r w:rsidR="00A205EA" w:rsidRPr="00A847B7">
        <w:rPr>
          <w:rFonts w:cstheme="minorHAnsi"/>
        </w:rPr>
        <w:t>2019</w:t>
      </w:r>
      <w:r w:rsidRPr="00A847B7">
        <w:rPr>
          <w:rFonts w:cstheme="minorHAnsi"/>
        </w:rPr>
        <w:t>).</w:t>
      </w:r>
    </w:p>
    <w:p w14:paraId="3C2B4109" w14:textId="77777777" w:rsidR="0058080F" w:rsidRPr="00A847B7" w:rsidRDefault="0058080F" w:rsidP="00EE0687">
      <w:pPr>
        <w:numPr>
          <w:ilvl w:val="0"/>
          <w:numId w:val="3"/>
        </w:numPr>
        <w:rPr>
          <w:b/>
          <w:i/>
          <w:u w:val="single"/>
        </w:rPr>
      </w:pPr>
      <w:r w:rsidRPr="00A847B7">
        <w:rPr>
          <w:b/>
          <w:i/>
          <w:u w:val="single"/>
        </w:rPr>
        <w:t xml:space="preserve">Limite de déduction de la pension alimentaire versée à un enfant majeur chargé de famille </w:t>
      </w:r>
    </w:p>
    <w:p w14:paraId="626ACFA9" w14:textId="08DDF93F" w:rsidR="0058080F" w:rsidRPr="00A847B7" w:rsidRDefault="0058080F" w:rsidP="0058080F">
      <w:pPr>
        <w:spacing w:beforeAutospacing="1" w:after="100" w:afterAutospacing="1"/>
        <w:rPr>
          <w:rFonts w:cstheme="minorHAnsi"/>
        </w:rPr>
      </w:pPr>
      <w:r w:rsidRPr="00A847B7">
        <w:rPr>
          <w:rFonts w:cstheme="minorHAnsi"/>
        </w:rPr>
        <w:t>Lorsque le contribuable participe seul à l’entretien d’un enfant majeur célibataire, veuf ou divorcé qui est lui-même chargé de famille, la limite de déduction est fixée à 11 </w:t>
      </w:r>
      <w:r w:rsidR="00300C3A" w:rsidRPr="00A847B7">
        <w:rPr>
          <w:rFonts w:cstheme="minorHAnsi"/>
        </w:rPr>
        <w:t xml:space="preserve">918 </w:t>
      </w:r>
      <w:r w:rsidRPr="00A847B7">
        <w:rPr>
          <w:rFonts w:cstheme="minorHAnsi"/>
        </w:rPr>
        <w:t>€, quel que soit le nombre de petits-enfants.</w:t>
      </w:r>
    </w:p>
    <w:p w14:paraId="36AD6268" w14:textId="77777777" w:rsidR="0058080F" w:rsidRPr="00A847B7" w:rsidRDefault="0058080F" w:rsidP="00EE0687">
      <w:pPr>
        <w:numPr>
          <w:ilvl w:val="0"/>
          <w:numId w:val="4"/>
        </w:numPr>
        <w:rPr>
          <w:b/>
          <w:i/>
          <w:u w:val="single"/>
        </w:rPr>
      </w:pPr>
      <w:r w:rsidRPr="00A847B7">
        <w:rPr>
          <w:b/>
          <w:i/>
          <w:u w:val="single"/>
        </w:rPr>
        <w:t>Limite de déduction de la pension alimentaire versée à un enfant majeur, marié ou pacsé</w:t>
      </w:r>
    </w:p>
    <w:p w14:paraId="34A50BB8" w14:textId="527113C3" w:rsidR="0058080F" w:rsidRPr="00A847B7" w:rsidRDefault="0058080F" w:rsidP="0058080F">
      <w:pPr>
        <w:spacing w:beforeAutospacing="1" w:after="100" w:afterAutospacing="1"/>
        <w:rPr>
          <w:rFonts w:cstheme="minorHAnsi"/>
        </w:rPr>
      </w:pPr>
      <w:r w:rsidRPr="00A847B7">
        <w:rPr>
          <w:rFonts w:cstheme="minorHAnsi"/>
        </w:rPr>
        <w:t>Lorsqu’il s’agit d’enfants mariés ou pacsés faisant l’objet d’une imposition commune, la limite de déduction est fixée à 5 </w:t>
      </w:r>
      <w:r w:rsidR="008C6E1D" w:rsidRPr="00A847B7">
        <w:rPr>
          <w:rFonts w:cstheme="minorHAnsi"/>
        </w:rPr>
        <w:t xml:space="preserve">959 </w:t>
      </w:r>
      <w:r w:rsidRPr="00A847B7">
        <w:rPr>
          <w:rFonts w:cstheme="minorHAnsi"/>
        </w:rPr>
        <w:t>€ pour chacune des familles des jeunes conjoints ou partenaires. Cependant, la limite est doublée (soit 11 </w:t>
      </w:r>
      <w:r w:rsidR="00AC026E" w:rsidRPr="00A847B7">
        <w:rPr>
          <w:rFonts w:cstheme="minorHAnsi"/>
        </w:rPr>
        <w:t>9</w:t>
      </w:r>
      <w:r w:rsidR="008C6E1D" w:rsidRPr="00A847B7">
        <w:rPr>
          <w:rFonts w:cstheme="minorHAnsi"/>
        </w:rPr>
        <w:t xml:space="preserve">18 </w:t>
      </w:r>
      <w:r w:rsidRPr="00A847B7">
        <w:rPr>
          <w:rFonts w:cstheme="minorHAnsi"/>
        </w:rPr>
        <w:t xml:space="preserve">€ pour l’imposition des revenus </w:t>
      </w:r>
      <w:r w:rsidR="008C6E1D" w:rsidRPr="00A847B7">
        <w:rPr>
          <w:rFonts w:cstheme="minorHAnsi"/>
        </w:rPr>
        <w:t>2020</w:t>
      </w:r>
      <w:r w:rsidRPr="00A847B7">
        <w:rPr>
          <w:rFonts w:cstheme="minorHAnsi"/>
        </w:rPr>
        <w:t>) au profit des parents qui justifient participer seuls à l’entretien du jeune couple.</w:t>
      </w:r>
    </w:p>
    <w:p w14:paraId="4997BD33" w14:textId="427835B6" w:rsidR="0058080F" w:rsidRPr="00A847B7" w:rsidRDefault="0058080F"/>
    <w:p w14:paraId="65DBFFF4" w14:textId="11E9DDDA" w:rsidR="003A534F" w:rsidRPr="00A847B7" w:rsidRDefault="003A534F" w:rsidP="003A534F">
      <w:pPr>
        <w:pStyle w:val="Titre3"/>
      </w:pPr>
      <w:bookmarkStart w:id="11" w:name="_Toc30149218"/>
      <w:bookmarkStart w:id="12" w:name="_Toc60780952"/>
      <w:r w:rsidRPr="00A847B7">
        <w:t xml:space="preserve">Slide </w:t>
      </w:r>
      <w:bookmarkEnd w:id="11"/>
      <w:r w:rsidR="00BF0110">
        <w:t>6</w:t>
      </w:r>
      <w:r w:rsidR="00CE2A36" w:rsidRPr="00A847B7">
        <w:t> </w:t>
      </w:r>
      <w:r w:rsidRPr="00A847B7">
        <w:t>: D</w:t>
      </w:r>
      <w:r w:rsidR="0097278F">
        <w:t>é</w:t>
      </w:r>
      <w:r w:rsidRPr="00A847B7">
        <w:t>c</w:t>
      </w:r>
      <w:r w:rsidR="00541D68">
        <w:t>o</w:t>
      </w:r>
      <w:r w:rsidRPr="00A847B7">
        <w:t>te</w:t>
      </w:r>
      <w:bookmarkEnd w:id="12"/>
    </w:p>
    <w:p w14:paraId="43F719EB" w14:textId="30F353D2" w:rsidR="003A534F" w:rsidRPr="00A847B7" w:rsidRDefault="003A534F" w:rsidP="003A534F">
      <w:r w:rsidRPr="00A847B7">
        <w:rPr>
          <w:u w:val="single"/>
        </w:rPr>
        <w:t>Source</w:t>
      </w:r>
      <w:r w:rsidR="00EA28CA">
        <w:rPr>
          <w:u w:val="single"/>
        </w:rPr>
        <w:t xml:space="preserve"> </w:t>
      </w:r>
      <w:r w:rsidRPr="00A847B7">
        <w:t xml:space="preserve">: Loi de Finances pour </w:t>
      </w:r>
      <w:r w:rsidRPr="00AB49A7">
        <w:t>2021</w:t>
      </w:r>
      <w:r w:rsidRPr="00B04D79">
        <w:t>, article 2</w:t>
      </w:r>
    </w:p>
    <w:p w14:paraId="79AA23E2" w14:textId="77777777" w:rsidR="003A534F" w:rsidRPr="00A847B7" w:rsidRDefault="003A534F" w:rsidP="003A534F">
      <w:pPr>
        <w:spacing w:beforeAutospacing="1" w:after="100" w:afterAutospacing="1"/>
        <w:rPr>
          <w:rFonts w:cstheme="minorHAnsi"/>
        </w:rPr>
      </w:pPr>
      <w:r w:rsidRPr="00A847B7">
        <w:rPr>
          <w:rFonts w:cstheme="minorHAnsi"/>
        </w:rPr>
        <w:t>La décote permet d’alléger la charge de l’impôt pour les personnes faiblement soumises à l’impôt sur le revenu. En plus de l’aménagement du barème, la Loi prévoit un renforcement du mécanisme de la décote favorable au contribuable.</w:t>
      </w:r>
    </w:p>
    <w:p w14:paraId="0F2F9B4D" w14:textId="77777777" w:rsidR="003A534F" w:rsidRPr="00A847B7" w:rsidRDefault="003A534F" w:rsidP="003A534F">
      <w:pPr>
        <w:spacing w:beforeAutospacing="1" w:after="100" w:afterAutospacing="1"/>
        <w:rPr>
          <w:rFonts w:cstheme="minorHAnsi"/>
        </w:rPr>
      </w:pPr>
      <w:r w:rsidRPr="00A847B7">
        <w:rPr>
          <w:rFonts w:cstheme="minorHAnsi"/>
        </w:rPr>
        <w:t>L’impôt résultant du barème progressif, après application, le cas échéant, du plafonnement des effets du quotient familial, est diminué, dans la limite de son montant :</w:t>
      </w:r>
    </w:p>
    <w:p w14:paraId="16E1419F" w14:textId="597F3527" w:rsidR="00BC718A" w:rsidRPr="00A847B7" w:rsidRDefault="00BC718A" w:rsidP="00EE0687">
      <w:pPr>
        <w:pStyle w:val="Paragraphedeliste"/>
        <w:numPr>
          <w:ilvl w:val="0"/>
          <w:numId w:val="5"/>
        </w:numPr>
        <w:rPr>
          <w:rFonts w:cstheme="minorHAnsi"/>
        </w:rPr>
      </w:pPr>
      <w:r w:rsidRPr="00A847B7">
        <w:rPr>
          <w:rFonts w:cstheme="minorHAnsi"/>
        </w:rPr>
        <w:t xml:space="preserve">de la différence entre </w:t>
      </w:r>
      <w:r w:rsidR="001D667C" w:rsidRPr="00A847B7">
        <w:rPr>
          <w:rFonts w:cstheme="minorHAnsi"/>
        </w:rPr>
        <w:t>779</w:t>
      </w:r>
      <w:r w:rsidRPr="00A847B7">
        <w:rPr>
          <w:rFonts w:cstheme="minorHAnsi"/>
        </w:rPr>
        <w:t xml:space="preserve"> € et 45,25 % de son montant pour les personnes célibataires, divorcées, séparées ou veuves ;</w:t>
      </w:r>
    </w:p>
    <w:p w14:paraId="5A9F280F" w14:textId="7208DC9A" w:rsidR="00BC718A" w:rsidRPr="00A847B7" w:rsidRDefault="00BC718A" w:rsidP="00EE0687">
      <w:pPr>
        <w:pStyle w:val="Paragraphedeliste"/>
        <w:numPr>
          <w:ilvl w:val="0"/>
          <w:numId w:val="5"/>
        </w:numPr>
        <w:rPr>
          <w:rFonts w:cstheme="minorHAnsi"/>
        </w:rPr>
      </w:pPr>
      <w:r w:rsidRPr="00A847B7">
        <w:rPr>
          <w:rFonts w:cstheme="minorHAnsi"/>
        </w:rPr>
        <w:t>de la différence entre 1 28</w:t>
      </w:r>
      <w:r w:rsidR="001D667C" w:rsidRPr="00A847B7">
        <w:rPr>
          <w:rFonts w:cstheme="minorHAnsi"/>
        </w:rPr>
        <w:t>9</w:t>
      </w:r>
      <w:r w:rsidRPr="00A847B7">
        <w:rPr>
          <w:rFonts w:cstheme="minorHAnsi"/>
        </w:rPr>
        <w:t xml:space="preserve"> € et 45,25 % de son montant pour les personnes soumises à une imposition commune.</w:t>
      </w:r>
    </w:p>
    <w:p w14:paraId="18B15379" w14:textId="3ECC458A" w:rsidR="003A534F" w:rsidRPr="00A847B7" w:rsidRDefault="003A534F"/>
    <w:p w14:paraId="08B1DAA6" w14:textId="0DEBD7C2" w:rsidR="0070540D" w:rsidRPr="00A847B7" w:rsidRDefault="0070540D" w:rsidP="0070540D">
      <w:pPr>
        <w:pStyle w:val="Titre3"/>
      </w:pPr>
      <w:bookmarkStart w:id="13" w:name="_Toc30149219"/>
      <w:bookmarkStart w:id="14" w:name="_Toc60780953"/>
      <w:r w:rsidRPr="00A847B7">
        <w:t xml:space="preserve">Slide </w:t>
      </w:r>
      <w:r w:rsidR="00100118">
        <w:t>7</w:t>
      </w:r>
      <w:r w:rsidR="00725845" w:rsidRPr="00A847B7">
        <w:t> </w:t>
      </w:r>
      <w:r w:rsidRPr="00A847B7">
        <w:t>: Mesures fiscales diverses</w:t>
      </w:r>
      <w:bookmarkEnd w:id="13"/>
      <w:bookmarkEnd w:id="14"/>
    </w:p>
    <w:p w14:paraId="78733AFC" w14:textId="1A1BF16B" w:rsidR="00AE4A43" w:rsidRPr="00140B05" w:rsidRDefault="0070540D" w:rsidP="0070540D">
      <w:r w:rsidRPr="00EA28CA">
        <w:rPr>
          <w:u w:val="single"/>
        </w:rPr>
        <w:t xml:space="preserve">Source </w:t>
      </w:r>
      <w:r w:rsidRPr="00A847B7">
        <w:t xml:space="preserve">: Loi de Finances </w:t>
      </w:r>
      <w:r w:rsidRPr="000039BA">
        <w:t xml:space="preserve">pour </w:t>
      </w:r>
      <w:r w:rsidR="004414BB" w:rsidRPr="000039BA">
        <w:t>2021</w:t>
      </w:r>
      <w:r w:rsidRPr="000039BA">
        <w:t xml:space="preserve">, </w:t>
      </w:r>
      <w:r w:rsidRPr="00B04D79">
        <w:t>articles</w:t>
      </w:r>
      <w:r w:rsidR="004D20E0" w:rsidRPr="00B04D79">
        <w:t xml:space="preserve"> </w:t>
      </w:r>
      <w:r w:rsidR="00287243" w:rsidRPr="00B04D79">
        <w:t>3, 4</w:t>
      </w:r>
      <w:r w:rsidR="00E33072">
        <w:t>, 188</w:t>
      </w:r>
      <w:r w:rsidR="00287243" w:rsidRPr="00140B05">
        <w:t xml:space="preserve"> et </w:t>
      </w:r>
      <w:r w:rsidR="00AE4A43" w:rsidRPr="00140B05">
        <w:t>5</w:t>
      </w:r>
    </w:p>
    <w:p w14:paraId="538F1FE3" w14:textId="1BB1B954" w:rsidR="004414BB" w:rsidRPr="00A847B7" w:rsidRDefault="00865BD0" w:rsidP="00EE0687">
      <w:pPr>
        <w:pStyle w:val="Paragraphedeliste"/>
        <w:numPr>
          <w:ilvl w:val="0"/>
          <w:numId w:val="9"/>
        </w:numPr>
      </w:pPr>
      <w:r w:rsidRPr="00A847B7">
        <w:rPr>
          <w:b/>
          <w:bCs/>
          <w:i/>
          <w:iCs/>
          <w:u w:val="single"/>
        </w:rPr>
        <w:t>Contribution aux charges du mariage</w:t>
      </w:r>
    </w:p>
    <w:p w14:paraId="2DD4CB6F" w14:textId="3902B7BD" w:rsidR="004414BB" w:rsidRPr="00A847B7" w:rsidRDefault="00B027F2" w:rsidP="0070540D">
      <w:r w:rsidRPr="00A847B7">
        <w:t>En principe, les époux participent aux charges du mariage, à proportion de leurs facultés financières respectives : c’est ce que l’on appelle la contribution aux charges du mariage.</w:t>
      </w:r>
    </w:p>
    <w:p w14:paraId="384FA554" w14:textId="5FCA255E" w:rsidR="00B027F2" w:rsidRPr="00A847B7" w:rsidRDefault="00B027F2" w:rsidP="0070540D">
      <w:r w:rsidRPr="00A847B7">
        <w:t>Cette contribution peut être exigée soit pendant la période de vie commune des époux, soit en cas de séparation de fait, c’est-à-dire en cas de cessation de la vie commune sans divorce.</w:t>
      </w:r>
    </w:p>
    <w:p w14:paraId="69086D80" w14:textId="302A090B" w:rsidR="0058433B" w:rsidRPr="00A847B7" w:rsidRDefault="00C5100C" w:rsidP="0070540D">
      <w:r w:rsidRPr="00A847B7">
        <w:t>Jusqu’à présent</w:t>
      </w:r>
      <w:r w:rsidR="0058433B" w:rsidRPr="00A847B7">
        <w:t xml:space="preserve">, cette contribution </w:t>
      </w:r>
      <w:r w:rsidRPr="00A847B7">
        <w:t>était</w:t>
      </w:r>
      <w:r w:rsidR="0058433B" w:rsidRPr="00A847B7">
        <w:t xml:space="preserve"> déductible du revenu imposable de l’époux qui la vers</w:t>
      </w:r>
      <w:r w:rsidRPr="00A847B7">
        <w:t>ait</w:t>
      </w:r>
      <w:r w:rsidR="006D5D76" w:rsidRPr="00A847B7">
        <w:t xml:space="preserve"> (et imposable entre les mains de l’époux qui la reçoit)</w:t>
      </w:r>
      <w:r w:rsidR="0058433B" w:rsidRPr="00A847B7">
        <w:t>, sous réserve de la réunion de 2 conditions cumulatives :</w:t>
      </w:r>
    </w:p>
    <w:p w14:paraId="03E99ED0" w14:textId="671D66D2" w:rsidR="0058433B" w:rsidRPr="00A847B7" w:rsidRDefault="0058433B" w:rsidP="00EE0687">
      <w:pPr>
        <w:pStyle w:val="Paragraphedeliste"/>
        <w:numPr>
          <w:ilvl w:val="0"/>
          <w:numId w:val="10"/>
        </w:numPr>
      </w:pPr>
      <w:r w:rsidRPr="00A847B7">
        <w:t xml:space="preserve">le montant de la contribution </w:t>
      </w:r>
      <w:r w:rsidR="00C5100C" w:rsidRPr="00A847B7">
        <w:t>était</w:t>
      </w:r>
      <w:r w:rsidRPr="00A847B7">
        <w:t xml:space="preserve"> fixé par le juge ;</w:t>
      </w:r>
    </w:p>
    <w:p w14:paraId="6DCC6B69" w14:textId="06DC13F3" w:rsidR="0058433B" w:rsidRPr="00A847B7" w:rsidRDefault="0058433B" w:rsidP="00EE0687">
      <w:pPr>
        <w:pStyle w:val="Paragraphedeliste"/>
        <w:numPr>
          <w:ilvl w:val="0"/>
          <w:numId w:val="10"/>
        </w:numPr>
      </w:pPr>
      <w:r w:rsidRPr="00A847B7">
        <w:lastRenderedPageBreak/>
        <w:t xml:space="preserve">les époux </w:t>
      </w:r>
      <w:r w:rsidR="00C5100C" w:rsidRPr="00A847B7">
        <w:t>faisai</w:t>
      </w:r>
      <w:r w:rsidR="00921649">
        <w:t>en</w:t>
      </w:r>
      <w:r w:rsidR="00C5100C" w:rsidRPr="00A847B7">
        <w:t>t</w:t>
      </w:r>
      <w:r w:rsidRPr="00A847B7">
        <w:t xml:space="preserve"> l’objet d’impositions distinctes</w:t>
      </w:r>
      <w:r w:rsidR="0022173F" w:rsidRPr="00A847B7">
        <w:t>.</w:t>
      </w:r>
    </w:p>
    <w:p w14:paraId="72AC8BE6" w14:textId="7823D00B" w:rsidR="0022173F" w:rsidRPr="00A847B7" w:rsidRDefault="00024752" w:rsidP="0022173F">
      <w:r w:rsidRPr="00A847B7">
        <w:t>D</w:t>
      </w:r>
      <w:r w:rsidR="00C5100C" w:rsidRPr="00A847B7">
        <w:t xml:space="preserve">ésormais, </w:t>
      </w:r>
      <w:r w:rsidR="00AA0248" w:rsidRPr="00A847B7">
        <w:t xml:space="preserve">dès lors que les époux font l’objet d’impositions distinctes, </w:t>
      </w:r>
      <w:r w:rsidR="00C2360C" w:rsidRPr="00A847B7">
        <w:t>la contribution aux charges du mariage</w:t>
      </w:r>
      <w:r w:rsidR="006D5D76" w:rsidRPr="00A847B7">
        <w:t xml:space="preserve"> est déductibl</w:t>
      </w:r>
      <w:r w:rsidR="001F3DC3" w:rsidRPr="00A847B7">
        <w:t>e du revenu imposable de l’époux qui la verse, même dans le cas où son montant n’est pas fixé par le juge</w:t>
      </w:r>
      <w:r w:rsidR="00AA0248" w:rsidRPr="00A847B7">
        <w:t>.</w:t>
      </w:r>
    </w:p>
    <w:p w14:paraId="00E4B42F" w14:textId="28432ED9" w:rsidR="005E77EA" w:rsidRPr="00A847B7" w:rsidRDefault="005E77EA" w:rsidP="00EE0687">
      <w:pPr>
        <w:pStyle w:val="Paragraphedeliste"/>
        <w:numPr>
          <w:ilvl w:val="0"/>
          <w:numId w:val="1"/>
        </w:numPr>
        <w:rPr>
          <w:b/>
          <w:bCs/>
          <w:i/>
          <w:iCs/>
          <w:u w:val="single"/>
        </w:rPr>
      </w:pPr>
      <w:r w:rsidRPr="00A847B7">
        <w:rPr>
          <w:b/>
          <w:bCs/>
          <w:i/>
          <w:iCs/>
          <w:u w:val="single"/>
        </w:rPr>
        <w:t>Imposition des non-résidents</w:t>
      </w:r>
      <w:r w:rsidR="00336F8D" w:rsidRPr="00A847B7">
        <w:rPr>
          <w:b/>
          <w:bCs/>
          <w:i/>
          <w:iCs/>
          <w:u w:val="single"/>
        </w:rPr>
        <w:t xml:space="preserve"> </w:t>
      </w:r>
    </w:p>
    <w:p w14:paraId="353FAC32" w14:textId="64C01EC7" w:rsidR="005E77EA" w:rsidRPr="00A847B7" w:rsidRDefault="005E77EA" w:rsidP="005E77EA">
      <w:r w:rsidRPr="00A847B7">
        <w:t>Les personnes qui ne sont pas fiscalement domiciliées en France et qui perçoivent des revenus de source française peuvent faire l’objet, sous réserve de l’application, le cas échéant, des conventions internationales, d’une retenue à la source au titre de l’impôt sur le revenu</w:t>
      </w:r>
      <w:r w:rsidR="00722629" w:rsidRPr="00A847B7">
        <w:t>, partiellement libératoire,</w:t>
      </w:r>
      <w:r w:rsidRPr="00A847B7">
        <w:t xml:space="preserve"> au taux de 0 %, 12 % ou 20</w:t>
      </w:r>
      <w:r w:rsidR="00A3235B" w:rsidRPr="00A847B7">
        <w:t> </w:t>
      </w:r>
      <w:r w:rsidRPr="00A847B7">
        <w:t>%.</w:t>
      </w:r>
    </w:p>
    <w:p w14:paraId="66BDB881" w14:textId="77777777" w:rsidR="005E77EA" w:rsidRPr="00A847B7" w:rsidRDefault="005E77EA" w:rsidP="005E77EA">
      <w:r w:rsidRPr="00A847B7">
        <w:t>Ces taux s’appliquent à des tranches de revenus calculées sur la base d’un barème spécifique distinct de celui applicable aux personnes fiscalement domiciliées en France.</w:t>
      </w:r>
    </w:p>
    <w:p w14:paraId="4131F0C9" w14:textId="77777777" w:rsidR="005E77EA" w:rsidRPr="00A847B7" w:rsidRDefault="005E77EA" w:rsidP="005E77EA">
      <w:r w:rsidRPr="00A847B7">
        <w:t>La base de cette retenue à la source est constituée par le montant net imposable à l’impôt sur le revenu des sommes versées et avantages accordés, avant application :</w:t>
      </w:r>
    </w:p>
    <w:p w14:paraId="33EF2D35" w14:textId="3468F970" w:rsidR="005E77EA" w:rsidRPr="00A847B7" w:rsidRDefault="005E77EA" w:rsidP="00EE0687">
      <w:pPr>
        <w:pStyle w:val="Paragraphedeliste"/>
        <w:numPr>
          <w:ilvl w:val="0"/>
          <w:numId w:val="11"/>
        </w:numPr>
      </w:pPr>
      <w:r w:rsidRPr="00A847B7">
        <w:t>de l’abattement propre aux assistants maternels et familiaux et aux journalistes ;</w:t>
      </w:r>
    </w:p>
    <w:p w14:paraId="79A60A17" w14:textId="131E2452" w:rsidR="005E77EA" w:rsidRPr="00A847B7" w:rsidRDefault="005E77EA" w:rsidP="00EE0687">
      <w:pPr>
        <w:pStyle w:val="Paragraphedeliste"/>
        <w:numPr>
          <w:ilvl w:val="0"/>
          <w:numId w:val="11"/>
        </w:numPr>
      </w:pPr>
      <w:r w:rsidRPr="00A847B7">
        <w:t>de la déduction pour frais professionnels (forfaitaire ou frais réels) ;</w:t>
      </w:r>
    </w:p>
    <w:p w14:paraId="60CF30CE" w14:textId="2C279A1A" w:rsidR="00D945CB" w:rsidRPr="00A847B7" w:rsidRDefault="005E77EA" w:rsidP="00EE0687">
      <w:pPr>
        <w:pStyle w:val="Paragraphedeliste"/>
        <w:numPr>
          <w:ilvl w:val="0"/>
          <w:numId w:val="11"/>
        </w:numPr>
      </w:pPr>
      <w:r w:rsidRPr="00A847B7">
        <w:t>de l’abattement sur les pensions et les rentes.</w:t>
      </w:r>
    </w:p>
    <w:p w14:paraId="6939F4A4" w14:textId="5DE1A2DB" w:rsidR="00D945CB" w:rsidRPr="00A847B7" w:rsidRDefault="00D945CB" w:rsidP="00D945CB">
      <w:pPr>
        <w:rPr>
          <w:rFonts w:cstheme="minorHAnsi"/>
        </w:rPr>
      </w:pPr>
      <w:r w:rsidRPr="00A847B7">
        <w:rPr>
          <w:rFonts w:cstheme="minorHAnsi"/>
        </w:rPr>
        <w:t>Il était prévu par la Loi de Finances pour 2019 qu’à compter du 1</w:t>
      </w:r>
      <w:r w:rsidRPr="00A847B7">
        <w:rPr>
          <w:rFonts w:cstheme="minorHAnsi"/>
          <w:vertAlign w:val="superscript"/>
        </w:rPr>
        <w:t xml:space="preserve">er </w:t>
      </w:r>
      <w:r w:rsidRPr="00A847B7">
        <w:rPr>
          <w:rFonts w:cstheme="minorHAnsi"/>
        </w:rPr>
        <w:t xml:space="preserve">janvier 2020, cette retenue à la source </w:t>
      </w:r>
      <w:r w:rsidR="00ED73AA" w:rsidRPr="00A847B7">
        <w:rPr>
          <w:rFonts w:cstheme="minorHAnsi"/>
        </w:rPr>
        <w:t>devait être</w:t>
      </w:r>
      <w:r w:rsidRPr="00A847B7">
        <w:rPr>
          <w:rFonts w:cstheme="minorHAnsi"/>
        </w:rPr>
        <w:t xml:space="preserve"> calculée suivant application d’un taux proportionnel, comme pour les contribuables domiciliés en France : pour ceux n’ayant pas de taux prédéfini par l’administration fiscale, il était prévu d’appliquer les grilles de taux par défaut du prélèvement à la source. Les taux de 0 %, 12 % et 20 % selon les tranches de revenus devaient donc être supprimés.</w:t>
      </w:r>
    </w:p>
    <w:p w14:paraId="6F6B2F9C" w14:textId="6736AE42" w:rsidR="00D945CB" w:rsidRPr="00A847B7" w:rsidRDefault="00D945CB" w:rsidP="00D945CB">
      <w:pPr>
        <w:rPr>
          <w:rFonts w:cstheme="minorHAnsi"/>
        </w:rPr>
      </w:pPr>
      <w:r w:rsidRPr="00A847B7">
        <w:rPr>
          <w:rFonts w:cstheme="minorHAnsi"/>
        </w:rPr>
        <w:t>Toujours à compter du 1</w:t>
      </w:r>
      <w:r w:rsidRPr="00A847B7">
        <w:rPr>
          <w:rFonts w:cstheme="minorHAnsi"/>
          <w:vertAlign w:val="superscript"/>
        </w:rPr>
        <w:t>er</w:t>
      </w:r>
      <w:r w:rsidRPr="00A847B7">
        <w:rPr>
          <w:rFonts w:cstheme="minorHAnsi"/>
        </w:rPr>
        <w:t xml:space="preserve"> janvier 2020, du fait de la suppression du taux</w:t>
      </w:r>
      <w:r w:rsidR="000C520E" w:rsidRPr="00A847B7">
        <w:rPr>
          <w:rFonts w:cstheme="minorHAnsi"/>
        </w:rPr>
        <w:t xml:space="preserve"> moyen</w:t>
      </w:r>
      <w:r w:rsidR="00722629" w:rsidRPr="00A847B7">
        <w:rPr>
          <w:rFonts w:cstheme="minorHAnsi"/>
        </w:rPr>
        <w:t xml:space="preserve"> </w:t>
      </w:r>
      <w:r w:rsidRPr="00A847B7">
        <w:rPr>
          <w:rFonts w:cstheme="minorHAnsi"/>
        </w:rPr>
        <w:t>de 12 %, le caractère partiellement libératoire de la retenue pratiquée devait faire l’objet d’aménagements.</w:t>
      </w:r>
    </w:p>
    <w:p w14:paraId="39364C5A" w14:textId="142692B9" w:rsidR="00D945CB" w:rsidRPr="00A847B7" w:rsidRDefault="00D945CB" w:rsidP="00D945CB">
      <w:pPr>
        <w:spacing w:beforeAutospacing="1" w:after="100" w:afterAutospacing="1"/>
        <w:rPr>
          <w:rFonts w:cstheme="minorHAnsi"/>
        </w:rPr>
      </w:pPr>
      <w:r w:rsidRPr="00A847B7">
        <w:rPr>
          <w:rFonts w:cstheme="minorHAnsi"/>
        </w:rPr>
        <w:t xml:space="preserve">Finalement, les taux de 0 %, 12 % et 20 % </w:t>
      </w:r>
      <w:r w:rsidR="004F0281" w:rsidRPr="00A847B7">
        <w:rPr>
          <w:rFonts w:cstheme="minorHAnsi"/>
        </w:rPr>
        <w:t>ont été</w:t>
      </w:r>
      <w:r w:rsidRPr="00A847B7">
        <w:rPr>
          <w:rFonts w:cstheme="minorHAnsi"/>
        </w:rPr>
        <w:t xml:space="preserve"> maintenus, de même que la base de la retenue à la source. </w:t>
      </w:r>
    </w:p>
    <w:p w14:paraId="279D5197" w14:textId="701E4F4A" w:rsidR="00D945CB" w:rsidRPr="00A847B7" w:rsidRDefault="00D945CB" w:rsidP="00D945CB">
      <w:pPr>
        <w:spacing w:beforeAutospacing="1" w:after="100" w:afterAutospacing="1"/>
        <w:rPr>
          <w:rFonts w:cstheme="minorHAnsi"/>
        </w:rPr>
      </w:pPr>
      <w:r w:rsidRPr="00A847B7">
        <w:rPr>
          <w:rFonts w:cstheme="minorHAnsi"/>
        </w:rPr>
        <w:t xml:space="preserve">La suppression du caractère partiellement libératoire de la retenue pratiquée </w:t>
      </w:r>
      <w:r w:rsidR="004F0281" w:rsidRPr="00A847B7">
        <w:rPr>
          <w:rFonts w:cstheme="minorHAnsi"/>
        </w:rPr>
        <w:t>a été</w:t>
      </w:r>
      <w:r w:rsidRPr="00A847B7">
        <w:rPr>
          <w:rFonts w:cstheme="minorHAnsi"/>
        </w:rPr>
        <w:t xml:space="preserve"> repoussée d’une année et </w:t>
      </w:r>
      <w:r w:rsidR="004F0281" w:rsidRPr="00A847B7">
        <w:rPr>
          <w:rFonts w:cstheme="minorHAnsi"/>
        </w:rPr>
        <w:t>ne devait donc être</w:t>
      </w:r>
      <w:r w:rsidRPr="00A847B7">
        <w:rPr>
          <w:rFonts w:cstheme="minorHAnsi"/>
        </w:rPr>
        <w:t xml:space="preserve"> effective qu’à compter du 1</w:t>
      </w:r>
      <w:r w:rsidRPr="00A847B7">
        <w:rPr>
          <w:rFonts w:cstheme="minorHAnsi"/>
          <w:vertAlign w:val="superscript"/>
        </w:rPr>
        <w:t>er</w:t>
      </w:r>
      <w:r w:rsidRPr="00A847B7">
        <w:rPr>
          <w:rFonts w:cstheme="minorHAnsi"/>
        </w:rPr>
        <w:t xml:space="preserve"> janvier 2021. </w:t>
      </w:r>
      <w:r w:rsidR="00175C41" w:rsidRPr="00A847B7">
        <w:rPr>
          <w:rFonts w:cstheme="minorHAnsi"/>
        </w:rPr>
        <w:t>I</w:t>
      </w:r>
      <w:r w:rsidR="004F0281" w:rsidRPr="00A847B7">
        <w:rPr>
          <w:rFonts w:cstheme="minorHAnsi"/>
          <w:bCs/>
        </w:rPr>
        <w:t>l était également prévu u</w:t>
      </w:r>
      <w:r w:rsidRPr="00A847B7">
        <w:rPr>
          <w:rFonts w:cstheme="minorHAnsi"/>
          <w:bCs/>
        </w:rPr>
        <w:t>ne réforme</w:t>
      </w:r>
      <w:r w:rsidRPr="00A847B7">
        <w:rPr>
          <w:rFonts w:cstheme="minorHAnsi"/>
        </w:rPr>
        <w:t xml:space="preserve"> d’ampleur des modalités d’application de la retenue à la source </w:t>
      </w:r>
      <w:r w:rsidR="008269B7" w:rsidRPr="00A847B7">
        <w:rPr>
          <w:rFonts w:cstheme="minorHAnsi"/>
        </w:rPr>
        <w:t xml:space="preserve">sur les gains </w:t>
      </w:r>
      <w:r w:rsidRPr="00A847B7">
        <w:rPr>
          <w:rFonts w:cstheme="minorHAnsi"/>
        </w:rPr>
        <w:t>des non-résidents</w:t>
      </w:r>
      <w:r w:rsidR="008932BE" w:rsidRPr="00A847B7">
        <w:rPr>
          <w:rFonts w:cstheme="minorHAnsi"/>
        </w:rPr>
        <w:t xml:space="preserve"> provenant de dispositifs d’actionnariat salarié</w:t>
      </w:r>
      <w:r w:rsidRPr="00A847B7">
        <w:rPr>
          <w:rFonts w:cstheme="minorHAnsi"/>
        </w:rPr>
        <w:t xml:space="preserve"> pour le 1</w:t>
      </w:r>
      <w:r w:rsidRPr="00A847B7">
        <w:rPr>
          <w:rFonts w:cstheme="minorHAnsi"/>
          <w:vertAlign w:val="superscript"/>
        </w:rPr>
        <w:t>er</w:t>
      </w:r>
      <w:r w:rsidRPr="00A847B7">
        <w:rPr>
          <w:rFonts w:cstheme="minorHAnsi"/>
        </w:rPr>
        <w:t xml:space="preserve"> janvier 2023.</w:t>
      </w:r>
    </w:p>
    <w:p w14:paraId="26CB6148" w14:textId="3C8F4F97" w:rsidR="00003352" w:rsidRPr="00A847B7" w:rsidRDefault="004F0281" w:rsidP="00D945CB">
      <w:r w:rsidRPr="00A847B7">
        <w:t xml:space="preserve">Finalement, </w:t>
      </w:r>
      <w:r w:rsidR="00936ECB" w:rsidRPr="00A847B7">
        <w:t>l</w:t>
      </w:r>
      <w:r w:rsidR="007F4946" w:rsidRPr="00A847B7">
        <w:t xml:space="preserve">e Gouvernement </w:t>
      </w:r>
      <w:r w:rsidR="00CE6B78" w:rsidRPr="00A847B7">
        <w:t xml:space="preserve">revient sur sa position et abandonne </w:t>
      </w:r>
      <w:r w:rsidR="001A7ED8" w:rsidRPr="00A847B7">
        <w:t>ces réformes</w:t>
      </w:r>
      <w:r w:rsidR="00487229" w:rsidRPr="00A847B7">
        <w:t xml:space="preserve"> de la retenue à la source </w:t>
      </w:r>
      <w:r w:rsidR="001A7ED8" w:rsidRPr="00A847B7">
        <w:t>applicable aux</w:t>
      </w:r>
      <w:r w:rsidR="00003352" w:rsidRPr="00A847B7">
        <w:t xml:space="preserve"> non-résidents.</w:t>
      </w:r>
    </w:p>
    <w:p w14:paraId="496A9576" w14:textId="4BEC2340" w:rsidR="00996258" w:rsidRPr="00A847B7" w:rsidRDefault="00003352" w:rsidP="00996258">
      <w:pPr>
        <w:spacing w:beforeAutospacing="1" w:after="100" w:afterAutospacing="1"/>
        <w:rPr>
          <w:rFonts w:cstheme="minorHAnsi"/>
        </w:rPr>
      </w:pPr>
      <w:r w:rsidRPr="00A847B7">
        <w:t>En conséquence,</w:t>
      </w:r>
      <w:r w:rsidR="007F4946" w:rsidRPr="00A847B7">
        <w:t xml:space="preserve"> </w:t>
      </w:r>
      <w:r w:rsidR="00996258" w:rsidRPr="00A847B7">
        <w:rPr>
          <w:rFonts w:cstheme="minorHAnsi"/>
        </w:rPr>
        <w:t>les taux de 0 %, 12 % et 20 %, de même que la base de la retenue à la source, sont maintenus pour 2021</w:t>
      </w:r>
      <w:r w:rsidR="00BE748B" w:rsidRPr="00A847B7">
        <w:rPr>
          <w:rFonts w:cstheme="minorHAnsi"/>
        </w:rPr>
        <w:t xml:space="preserve">. De même, </w:t>
      </w:r>
      <w:r w:rsidR="00F8127D" w:rsidRPr="00A847B7">
        <w:rPr>
          <w:rFonts w:cstheme="minorHAnsi"/>
        </w:rPr>
        <w:t xml:space="preserve">la retenue effectuée conserve son </w:t>
      </w:r>
      <w:r w:rsidR="00BE748B" w:rsidRPr="00A847B7">
        <w:rPr>
          <w:rFonts w:cstheme="minorHAnsi"/>
        </w:rPr>
        <w:t>caractère partiellement libérat</w:t>
      </w:r>
      <w:r w:rsidR="00F8127D" w:rsidRPr="00A847B7">
        <w:rPr>
          <w:rFonts w:cstheme="minorHAnsi"/>
        </w:rPr>
        <w:t>oire.</w:t>
      </w:r>
    </w:p>
    <w:p w14:paraId="3772D35F" w14:textId="36E5340C" w:rsidR="00D945CB" w:rsidRPr="00A847B7" w:rsidRDefault="00725FAA" w:rsidP="00D945CB">
      <w:r w:rsidRPr="00A847B7">
        <w:t xml:space="preserve">Notez </w:t>
      </w:r>
      <w:r w:rsidR="00086596" w:rsidRPr="00A847B7">
        <w:t>enfin que les non-résident</w:t>
      </w:r>
      <w:r w:rsidR="006B3F6C" w:rsidRPr="00A847B7">
        <w:t>s</w:t>
      </w:r>
      <w:r w:rsidR="00086596" w:rsidRPr="00A847B7">
        <w:t xml:space="preserve"> ayant supporté un excédent de retenue à la source sur leurs revenus non</w:t>
      </w:r>
      <w:r w:rsidR="006D0CAF" w:rsidRPr="00A847B7">
        <w:t xml:space="preserve"> </w:t>
      </w:r>
      <w:r w:rsidR="00086596" w:rsidRPr="00A847B7">
        <w:t>salariaux</w:t>
      </w:r>
      <w:r w:rsidR="00806D37" w:rsidRPr="00A847B7">
        <w:t xml:space="preserve">, dans le cas où le montant du prélèvement </w:t>
      </w:r>
      <w:r w:rsidR="00236B81" w:rsidRPr="00A847B7">
        <w:t>effectué est supérieur au montant de l’impôt effectivement dû,</w:t>
      </w:r>
      <w:r w:rsidR="006D0CAF" w:rsidRPr="00A847B7">
        <w:t xml:space="preserve"> p</w:t>
      </w:r>
      <w:r w:rsidR="006B3F6C" w:rsidRPr="00A847B7">
        <w:t>euvent en demander le remboursement</w:t>
      </w:r>
      <w:r w:rsidR="005F7D63">
        <w:t xml:space="preserve"> lorsqu</w:t>
      </w:r>
      <w:r w:rsidR="002559C4">
        <w:t>’il a été fait application du taux moyen d’imposition</w:t>
      </w:r>
      <w:r w:rsidR="00236B81" w:rsidRPr="00A847B7">
        <w:t>. Cette mesure s’applique aux revenus perçus dès le 1</w:t>
      </w:r>
      <w:r w:rsidR="00236B81" w:rsidRPr="00A847B7">
        <w:rPr>
          <w:vertAlign w:val="superscript"/>
        </w:rPr>
        <w:t>er</w:t>
      </w:r>
      <w:r w:rsidR="00236B81" w:rsidRPr="00A847B7">
        <w:t xml:space="preserve"> janvier 2020.</w:t>
      </w:r>
    </w:p>
    <w:p w14:paraId="580B5085" w14:textId="77777777" w:rsidR="007175E6" w:rsidRPr="00A07DCE" w:rsidRDefault="007175E6" w:rsidP="00EE0687">
      <w:pPr>
        <w:pStyle w:val="Paragraphedeliste"/>
        <w:numPr>
          <w:ilvl w:val="0"/>
          <w:numId w:val="1"/>
        </w:numPr>
      </w:pPr>
      <w:r>
        <w:rPr>
          <w:b/>
          <w:bCs/>
          <w:i/>
          <w:iCs/>
          <w:u w:val="single"/>
        </w:rPr>
        <w:t>Paiement des impôts par les non-résidents</w:t>
      </w:r>
    </w:p>
    <w:p w14:paraId="451CE1E5" w14:textId="43F168AA" w:rsidR="007175E6" w:rsidRDefault="007175E6" w:rsidP="007175E6">
      <w:r>
        <w:lastRenderedPageBreak/>
        <w:t>Les contribuables qui résident dans un Etat figurant sur une liste établie par arrêté peuvent acquitter leurs impôts, quel que soit leur montant, par virement directement opéré sur le compte du Trésor ouvert dans les écritures de la Banque de France.</w:t>
      </w:r>
    </w:p>
    <w:p w14:paraId="18A303E6" w14:textId="426332CD" w:rsidR="00932A43" w:rsidRPr="00A847B7" w:rsidRDefault="00932A43" w:rsidP="00EE0687">
      <w:pPr>
        <w:pStyle w:val="Paragraphedeliste"/>
        <w:numPr>
          <w:ilvl w:val="0"/>
          <w:numId w:val="1"/>
        </w:numPr>
      </w:pPr>
      <w:r w:rsidRPr="00A847B7">
        <w:rPr>
          <w:b/>
          <w:bCs/>
          <w:i/>
          <w:iCs/>
          <w:u w:val="single"/>
        </w:rPr>
        <w:t xml:space="preserve">Majoration du quotient familial pour les veufs et veuves d’anciens combattants </w:t>
      </w:r>
    </w:p>
    <w:p w14:paraId="041AF40C" w14:textId="21D6B4E9" w:rsidR="00D47023" w:rsidRPr="00A847B7" w:rsidRDefault="00E7467C" w:rsidP="00D47023">
      <w:r w:rsidRPr="00A847B7">
        <w:t>Le système du quotient familial consiste à diviser le revenu imposable du contribuable en un certain nombre de parts qui varie selon sa situation personnelle et selon ses charges de famille.</w:t>
      </w:r>
    </w:p>
    <w:p w14:paraId="44E71454" w14:textId="73471749" w:rsidR="002032B5" w:rsidRPr="00A847B7" w:rsidRDefault="002032B5" w:rsidP="00D47023">
      <w:r w:rsidRPr="00A847B7">
        <w:t>En principe, les veufs sans personne à charge sont imposables sur la base d’une part de quotient familial.</w:t>
      </w:r>
    </w:p>
    <w:p w14:paraId="095537F2" w14:textId="06E4C4CF" w:rsidR="002032B5" w:rsidRPr="00A847B7" w:rsidRDefault="002032B5" w:rsidP="00D47023">
      <w:r w:rsidRPr="00A847B7">
        <w:t>Toutefois, ces personnes peuvent bénéficier d’une demi-part supplémentaire s’ils sont :</w:t>
      </w:r>
    </w:p>
    <w:p w14:paraId="115EDC58" w14:textId="0688C699" w:rsidR="002032B5" w:rsidRPr="00A847B7" w:rsidRDefault="002032B5" w:rsidP="00EE0687">
      <w:pPr>
        <w:pStyle w:val="Paragraphedeliste"/>
        <w:numPr>
          <w:ilvl w:val="0"/>
          <w:numId w:val="12"/>
        </w:numPr>
      </w:pPr>
      <w:r w:rsidRPr="00A847B7">
        <w:t>âgés de plus 74 ans ;</w:t>
      </w:r>
    </w:p>
    <w:p w14:paraId="483791D4" w14:textId="22F2B4D7" w:rsidR="002032B5" w:rsidRPr="00A847B7" w:rsidRDefault="00010F81" w:rsidP="00EE0687">
      <w:pPr>
        <w:pStyle w:val="Paragraphedeliste"/>
        <w:numPr>
          <w:ilvl w:val="0"/>
          <w:numId w:val="12"/>
        </w:numPr>
      </w:pPr>
      <w:r w:rsidRPr="00A847B7">
        <w:t xml:space="preserve">titulaires de la carte d’ancien combattant ou d’une pension servie aux militaires invalides ou </w:t>
      </w:r>
      <w:r w:rsidR="00860AD1" w:rsidRPr="00A847B7">
        <w:t>aux victimes de guerre.</w:t>
      </w:r>
    </w:p>
    <w:p w14:paraId="0E807639" w14:textId="1E4263A1" w:rsidR="00EF29F8" w:rsidRPr="00A847B7" w:rsidRDefault="00AF73F1" w:rsidP="00AF73F1">
      <w:pPr>
        <w:spacing w:beforeAutospacing="1" w:after="100" w:afterAutospacing="1"/>
        <w:rPr>
          <w:rFonts w:cstheme="minorHAnsi"/>
        </w:rPr>
      </w:pPr>
      <w:r w:rsidRPr="00A847B7">
        <w:rPr>
          <w:rFonts w:cstheme="minorHAnsi"/>
        </w:rPr>
        <w:t>Cette majoration de quotient familial s’applique également aux veuves</w:t>
      </w:r>
      <w:r w:rsidR="00EF29F8" w:rsidRPr="00A847B7">
        <w:rPr>
          <w:rFonts w:cstheme="minorHAnsi"/>
        </w:rPr>
        <w:t xml:space="preserve"> </w:t>
      </w:r>
      <w:r w:rsidRPr="00A847B7">
        <w:rPr>
          <w:rFonts w:cstheme="minorHAnsi"/>
        </w:rPr>
        <w:t>des personnes mentionnées ci-dessus</w:t>
      </w:r>
      <w:r w:rsidR="00F50E75" w:rsidRPr="00A847B7">
        <w:rPr>
          <w:rFonts w:cstheme="minorHAnsi"/>
        </w:rPr>
        <w:t xml:space="preserve">, </w:t>
      </w:r>
      <w:r w:rsidR="00EF29F8" w:rsidRPr="00A847B7">
        <w:rPr>
          <w:rFonts w:cstheme="minorHAnsi"/>
        </w:rPr>
        <w:t>âgées de plus de 74 ans</w:t>
      </w:r>
      <w:r w:rsidR="00BE130D" w:rsidRPr="00A847B7">
        <w:rPr>
          <w:rFonts w:cstheme="minorHAnsi"/>
        </w:rPr>
        <w:t>.</w:t>
      </w:r>
    </w:p>
    <w:p w14:paraId="59B352FA" w14:textId="72A0CCCB" w:rsidR="00AF73F1" w:rsidRPr="00A847B7" w:rsidRDefault="00BE130D" w:rsidP="00AF73F1">
      <w:pPr>
        <w:spacing w:beforeAutospacing="1" w:after="100" w:afterAutospacing="1"/>
        <w:rPr>
          <w:rFonts w:cstheme="minorHAnsi"/>
        </w:rPr>
      </w:pPr>
      <w:r w:rsidRPr="00A847B7">
        <w:rPr>
          <w:rFonts w:cstheme="minorHAnsi"/>
        </w:rPr>
        <w:t xml:space="preserve">La Loi de finances pour 2020 </w:t>
      </w:r>
      <w:r w:rsidR="00297F51">
        <w:rPr>
          <w:rFonts w:cstheme="minorHAnsi"/>
        </w:rPr>
        <w:t>prévoit</w:t>
      </w:r>
      <w:r w:rsidRPr="00A847B7">
        <w:rPr>
          <w:rFonts w:cstheme="minorHAnsi"/>
        </w:rPr>
        <w:t xml:space="preserve"> qu’</w:t>
      </w:r>
      <w:r w:rsidR="00AF73F1" w:rsidRPr="00A847B7">
        <w:rPr>
          <w:rFonts w:cstheme="minorHAnsi"/>
        </w:rPr>
        <w:t>à compter du 1</w:t>
      </w:r>
      <w:r w:rsidR="00AF73F1" w:rsidRPr="00A847B7">
        <w:rPr>
          <w:rFonts w:cstheme="minorHAnsi"/>
          <w:vertAlign w:val="superscript"/>
        </w:rPr>
        <w:t>er</w:t>
      </w:r>
      <w:r w:rsidR="00AF73F1" w:rsidRPr="00A847B7">
        <w:rPr>
          <w:rFonts w:cstheme="minorHAnsi"/>
        </w:rPr>
        <w:t xml:space="preserve"> janvier 2021, </w:t>
      </w:r>
      <w:r w:rsidRPr="00A847B7">
        <w:rPr>
          <w:rFonts w:cstheme="minorHAnsi"/>
        </w:rPr>
        <w:t xml:space="preserve">cette majoration profite aussi </w:t>
      </w:r>
      <w:r w:rsidR="00AF73F1" w:rsidRPr="00A847B7">
        <w:rPr>
          <w:rFonts w:cstheme="minorHAnsi"/>
        </w:rPr>
        <w:t xml:space="preserve">aux </w:t>
      </w:r>
      <w:r w:rsidR="00EB01F3" w:rsidRPr="00A847B7">
        <w:rPr>
          <w:rFonts w:cstheme="minorHAnsi"/>
        </w:rPr>
        <w:t>veufs/</w:t>
      </w:r>
      <w:r w:rsidR="00AF73F1" w:rsidRPr="00A847B7">
        <w:rPr>
          <w:rFonts w:cstheme="minorHAnsi"/>
        </w:rPr>
        <w:t>veuves, âgé</w:t>
      </w:r>
      <w:r w:rsidR="00EB01F3" w:rsidRPr="00A847B7">
        <w:rPr>
          <w:rFonts w:cstheme="minorHAnsi"/>
        </w:rPr>
        <w:t>(</w:t>
      </w:r>
      <w:r w:rsidR="00AF73F1" w:rsidRPr="00A847B7">
        <w:rPr>
          <w:rFonts w:cstheme="minorHAnsi"/>
        </w:rPr>
        <w:t>e</w:t>
      </w:r>
      <w:r w:rsidR="00EB01F3" w:rsidRPr="00A847B7">
        <w:rPr>
          <w:rFonts w:cstheme="minorHAnsi"/>
        </w:rPr>
        <w:t>)</w:t>
      </w:r>
      <w:r w:rsidR="00AF73F1" w:rsidRPr="00A847B7">
        <w:rPr>
          <w:rFonts w:cstheme="minorHAnsi"/>
        </w:rPr>
        <w:t xml:space="preserve">s de plus de 74 ans, des personnes </w:t>
      </w:r>
      <w:r w:rsidR="00642601" w:rsidRPr="00A847B7">
        <w:rPr>
          <w:rFonts w:cstheme="minorHAnsi"/>
        </w:rPr>
        <w:t>âgées de moins de 74 ans ayant bénéficié de la retraite du combattant</w:t>
      </w:r>
      <w:r w:rsidR="00AF73F1" w:rsidRPr="00A847B7">
        <w:rPr>
          <w:rFonts w:cstheme="minorHAnsi"/>
        </w:rPr>
        <w:t>.</w:t>
      </w:r>
    </w:p>
    <w:p w14:paraId="3F3F5AE9" w14:textId="0A4A6226" w:rsidR="00AF2E47" w:rsidRPr="00A847B7" w:rsidRDefault="00AF2E47" w:rsidP="00AF73F1">
      <w:pPr>
        <w:spacing w:beforeAutospacing="1" w:after="100" w:afterAutospacing="1"/>
        <w:rPr>
          <w:rFonts w:cstheme="minorHAnsi"/>
        </w:rPr>
      </w:pPr>
      <w:r w:rsidRPr="00A847B7">
        <w:rPr>
          <w:rFonts w:cstheme="minorHAnsi"/>
        </w:rPr>
        <w:t>Il est désormais prévu que cette</w:t>
      </w:r>
      <w:r w:rsidR="00843570" w:rsidRPr="00A847B7">
        <w:rPr>
          <w:rFonts w:cstheme="minorHAnsi"/>
        </w:rPr>
        <w:t xml:space="preserve"> majoration ne soit plus réservée aux seul(e)s veufs/veuves. Elle profitera aussi aux conjoints survivants, âgés de plus de 74 ans</w:t>
      </w:r>
      <w:r w:rsidR="003041E6" w:rsidRPr="00A847B7">
        <w:rPr>
          <w:rFonts w:cstheme="minorHAnsi"/>
        </w:rPr>
        <w:t>, dès lors que le défunt touchait la retraite du combattant.</w:t>
      </w:r>
    </w:p>
    <w:p w14:paraId="26CB2EB4" w14:textId="78B92A4B" w:rsidR="00D47023" w:rsidRPr="00A847B7" w:rsidRDefault="00D47023" w:rsidP="00D47023"/>
    <w:p w14:paraId="4019AC86" w14:textId="28311DDF" w:rsidR="002A3CC2" w:rsidRPr="002A3CC2" w:rsidRDefault="004414BB" w:rsidP="009E16F0">
      <w:pPr>
        <w:pStyle w:val="Titre2"/>
        <w:rPr>
          <w:b w:val="0"/>
          <w:bCs/>
          <w:sz w:val="22"/>
          <w:szCs w:val="22"/>
        </w:rPr>
      </w:pPr>
      <w:r w:rsidRPr="00A847B7">
        <w:br w:type="page"/>
      </w:r>
      <w:bookmarkStart w:id="15" w:name="_Toc30149223"/>
    </w:p>
    <w:p w14:paraId="591E5EEF" w14:textId="0BE3E01F" w:rsidR="004414BB" w:rsidRDefault="00C24864" w:rsidP="00237A5A">
      <w:pPr>
        <w:pStyle w:val="Titre2"/>
        <w:rPr>
          <w:rFonts w:cstheme="minorHAnsi"/>
        </w:rPr>
      </w:pPr>
      <w:bookmarkStart w:id="16" w:name="_Toc60780954"/>
      <w:r w:rsidRPr="00A847B7">
        <w:rPr>
          <w:rFonts w:cstheme="minorHAnsi"/>
        </w:rPr>
        <w:lastRenderedPageBreak/>
        <w:t>Les nouveautés 2021 applicables au prélèvement à la source</w:t>
      </w:r>
      <w:bookmarkEnd w:id="15"/>
      <w:bookmarkEnd w:id="16"/>
    </w:p>
    <w:p w14:paraId="7DCF2CC3" w14:textId="77777777" w:rsidR="00890518" w:rsidRPr="00890518" w:rsidRDefault="00890518" w:rsidP="00890518"/>
    <w:p w14:paraId="2CC28B3F" w14:textId="69FC0299" w:rsidR="00237A5A" w:rsidRPr="00A847B7" w:rsidRDefault="00237A5A" w:rsidP="00237A5A">
      <w:pPr>
        <w:pStyle w:val="Titre3"/>
      </w:pPr>
      <w:bookmarkStart w:id="17" w:name="_Toc30149226"/>
      <w:bookmarkStart w:id="18" w:name="_Toc60780955"/>
      <w:r w:rsidRPr="00A847B7">
        <w:t xml:space="preserve">Slide </w:t>
      </w:r>
      <w:r w:rsidR="007F7ACA">
        <w:t>8</w:t>
      </w:r>
      <w:r w:rsidR="00B320DA" w:rsidRPr="00A847B7">
        <w:t> </w:t>
      </w:r>
      <w:r w:rsidRPr="00A847B7">
        <w:t xml:space="preserve">: Taux du </w:t>
      </w:r>
      <w:r w:rsidR="00162C8A" w:rsidRPr="00A847B7">
        <w:t>pr</w:t>
      </w:r>
      <w:r w:rsidR="003C24ED">
        <w:t>élè</w:t>
      </w:r>
      <w:r w:rsidR="00162C8A" w:rsidRPr="00A847B7">
        <w:t xml:space="preserve">vement </w:t>
      </w:r>
      <w:r w:rsidR="00D534CE">
        <w:t>à</w:t>
      </w:r>
      <w:r w:rsidR="00162C8A" w:rsidRPr="00A847B7">
        <w:t xml:space="preserve"> </w:t>
      </w:r>
      <w:r w:rsidRPr="00A847B7">
        <w:t>la source</w:t>
      </w:r>
      <w:bookmarkEnd w:id="17"/>
      <w:bookmarkEnd w:id="18"/>
    </w:p>
    <w:p w14:paraId="3E64C00F" w14:textId="1FD17E3C" w:rsidR="00237A5A" w:rsidRPr="00A847B7" w:rsidRDefault="00237A5A" w:rsidP="00237A5A">
      <w:r w:rsidRPr="00A847B7">
        <w:rPr>
          <w:u w:val="single"/>
        </w:rPr>
        <w:t xml:space="preserve">Source </w:t>
      </w:r>
      <w:r w:rsidRPr="00A847B7">
        <w:t>: Loi de Finances pour 2021</w:t>
      </w:r>
      <w:r w:rsidRPr="00B04D79">
        <w:t>, article 2</w:t>
      </w:r>
    </w:p>
    <w:p w14:paraId="3A28E6ED" w14:textId="77777777" w:rsidR="00237A5A" w:rsidRPr="00A847B7" w:rsidRDefault="00237A5A" w:rsidP="00237A5A">
      <w:pPr>
        <w:spacing w:beforeAutospacing="1" w:after="100" w:afterAutospacing="1"/>
        <w:rPr>
          <w:rFonts w:cstheme="minorHAnsi"/>
        </w:rPr>
      </w:pPr>
      <w:r w:rsidRPr="00A847B7">
        <w:rPr>
          <w:rFonts w:cstheme="minorHAnsi"/>
        </w:rPr>
        <w:t>3 taux de prélèvement à la source sont susceptibles de s’appliquer :</w:t>
      </w:r>
    </w:p>
    <w:p w14:paraId="4E2FE604" w14:textId="77777777" w:rsidR="00237A5A" w:rsidRPr="00A847B7" w:rsidRDefault="00237A5A" w:rsidP="00EE0687">
      <w:pPr>
        <w:pStyle w:val="Paragraphedeliste"/>
        <w:numPr>
          <w:ilvl w:val="0"/>
          <w:numId w:val="6"/>
        </w:numPr>
        <w:spacing w:beforeAutospacing="1" w:after="100" w:afterAutospacing="1"/>
        <w:rPr>
          <w:rFonts w:cstheme="minorHAnsi"/>
        </w:rPr>
      </w:pPr>
      <w:r w:rsidRPr="00A847B7">
        <w:rPr>
          <w:rFonts w:cstheme="minorHAnsi"/>
        </w:rPr>
        <w:t>le taux de droit commun : il s’agit du taux qui est calculé par l’administration sur la base :</w:t>
      </w:r>
    </w:p>
    <w:p w14:paraId="1E981214" w14:textId="57E7F563" w:rsidR="00237A5A" w:rsidRPr="00A847B7" w:rsidRDefault="00237A5A" w:rsidP="00EE0687">
      <w:pPr>
        <w:pStyle w:val="Paragraphedeliste"/>
        <w:numPr>
          <w:ilvl w:val="1"/>
          <w:numId w:val="6"/>
        </w:numPr>
        <w:spacing w:beforeAutospacing="1" w:after="100" w:afterAutospacing="1"/>
        <w:rPr>
          <w:rFonts w:cstheme="minorHAnsi"/>
        </w:rPr>
      </w:pPr>
      <w:r w:rsidRPr="00A847B7">
        <w:rPr>
          <w:rFonts w:cstheme="minorHAnsi"/>
        </w:rPr>
        <w:t xml:space="preserve">des revenus et des impôts de l’avant-dernière année pour les prélèvements opérés de janvier à août : prise en compte de la déclaration de revenus </w:t>
      </w:r>
      <w:r w:rsidR="00551173" w:rsidRPr="00A847B7">
        <w:rPr>
          <w:rFonts w:cstheme="minorHAnsi"/>
        </w:rPr>
        <w:t xml:space="preserve">2019 </w:t>
      </w:r>
      <w:r w:rsidRPr="00A847B7">
        <w:rPr>
          <w:rFonts w:cstheme="minorHAnsi"/>
        </w:rPr>
        <w:t xml:space="preserve">déposée en mai/juin </w:t>
      </w:r>
      <w:r w:rsidR="00551173" w:rsidRPr="00A847B7">
        <w:rPr>
          <w:rFonts w:cstheme="minorHAnsi"/>
        </w:rPr>
        <w:t xml:space="preserve">2020 </w:t>
      </w:r>
      <w:r w:rsidRPr="00A847B7">
        <w:rPr>
          <w:rFonts w:cstheme="minorHAnsi"/>
        </w:rPr>
        <w:t xml:space="preserve">pour les prélèvements opérés de janvier à août </w:t>
      </w:r>
      <w:r w:rsidR="00551173" w:rsidRPr="00A847B7">
        <w:rPr>
          <w:rFonts w:cstheme="minorHAnsi"/>
        </w:rPr>
        <w:t xml:space="preserve">2021 </w:t>
      </w:r>
      <w:r w:rsidRPr="00A847B7">
        <w:rPr>
          <w:rFonts w:cstheme="minorHAnsi"/>
        </w:rPr>
        <w:t>;</w:t>
      </w:r>
    </w:p>
    <w:p w14:paraId="4AFA4EF3" w14:textId="3F3A061F" w:rsidR="00237A5A" w:rsidRPr="00A847B7" w:rsidRDefault="00237A5A" w:rsidP="00EE0687">
      <w:pPr>
        <w:pStyle w:val="Paragraphedeliste"/>
        <w:numPr>
          <w:ilvl w:val="1"/>
          <w:numId w:val="6"/>
        </w:numPr>
        <w:spacing w:beforeAutospacing="1" w:after="100" w:afterAutospacing="1"/>
        <w:rPr>
          <w:rFonts w:cstheme="minorHAnsi"/>
        </w:rPr>
      </w:pPr>
      <w:r w:rsidRPr="00A847B7">
        <w:rPr>
          <w:rFonts w:cstheme="minorHAnsi"/>
        </w:rPr>
        <w:t xml:space="preserve">des revenus et des impôts de l’année précédente pour les prélèvements opérés de septembre à décembre : prise en compte de la déclaration de revenus </w:t>
      </w:r>
      <w:r w:rsidR="00551173" w:rsidRPr="00A847B7">
        <w:rPr>
          <w:rFonts w:cstheme="minorHAnsi"/>
        </w:rPr>
        <w:t xml:space="preserve">2020 </w:t>
      </w:r>
      <w:r w:rsidRPr="00A847B7">
        <w:rPr>
          <w:rFonts w:cstheme="minorHAnsi"/>
        </w:rPr>
        <w:t xml:space="preserve">déposée en mai/juin </w:t>
      </w:r>
      <w:r w:rsidR="00551173" w:rsidRPr="00A847B7">
        <w:rPr>
          <w:rFonts w:cstheme="minorHAnsi"/>
        </w:rPr>
        <w:t xml:space="preserve">2021 </w:t>
      </w:r>
      <w:r w:rsidRPr="00A847B7">
        <w:rPr>
          <w:rFonts w:cstheme="minorHAnsi"/>
        </w:rPr>
        <w:t xml:space="preserve">pour les prélèvements opérés de septembre à décembre </w:t>
      </w:r>
      <w:r w:rsidR="00551173" w:rsidRPr="00A847B7">
        <w:rPr>
          <w:rFonts w:cstheme="minorHAnsi"/>
        </w:rPr>
        <w:t>2021</w:t>
      </w:r>
      <w:r w:rsidRPr="00A847B7">
        <w:rPr>
          <w:rFonts w:cstheme="minorHAnsi"/>
        </w:rPr>
        <w:t>.</w:t>
      </w:r>
    </w:p>
    <w:p w14:paraId="7FB39744" w14:textId="77777777" w:rsidR="00237A5A" w:rsidRPr="00A847B7" w:rsidRDefault="00237A5A" w:rsidP="00EE0687">
      <w:pPr>
        <w:pStyle w:val="Paragraphedeliste"/>
        <w:numPr>
          <w:ilvl w:val="0"/>
          <w:numId w:val="7"/>
        </w:numPr>
        <w:spacing w:beforeAutospacing="1" w:after="100" w:afterAutospacing="1"/>
        <w:rPr>
          <w:rFonts w:cstheme="minorHAnsi"/>
        </w:rPr>
      </w:pPr>
      <w:r w:rsidRPr="00A847B7">
        <w:rPr>
          <w:rFonts w:cstheme="minorHAnsi"/>
        </w:rPr>
        <w:t>le taux individualisé, qui permet aux contribuables mariés ou liés par un Pacs faisant l'objet d'une imposition commune de demander, sur option, à ce que le taux de prélèvement du foyer soit individualisé pour l'imposition de leurs revenus personnels respectifs ;</w:t>
      </w:r>
    </w:p>
    <w:p w14:paraId="27BF077D" w14:textId="77777777" w:rsidR="00237A5A" w:rsidRPr="00A847B7" w:rsidRDefault="00237A5A" w:rsidP="00EE0687">
      <w:pPr>
        <w:pStyle w:val="Paragraphedeliste"/>
        <w:numPr>
          <w:ilvl w:val="0"/>
          <w:numId w:val="7"/>
        </w:numPr>
        <w:spacing w:beforeAutospacing="1" w:after="100" w:afterAutospacing="1"/>
        <w:rPr>
          <w:rFonts w:cstheme="minorHAnsi"/>
        </w:rPr>
      </w:pPr>
      <w:r w:rsidRPr="00A847B7">
        <w:rPr>
          <w:rFonts w:cstheme="minorHAnsi"/>
        </w:rPr>
        <w:t>le taux par défaut, ou taux « neutre » : ce taux est susceptible de s’appliquer dans de nombreux cas et notamment, lorsque l’établissement payeur (l’employeur par exemple) n’a pas eu communication du taux de droit commun ou du taux individualisé calculé par l’administration fiscale, ou lorsque par souci de confidentialité, le salarié ne souhaite pas que son taux de prélèvement soit communiqué à son employeur.</w:t>
      </w:r>
    </w:p>
    <w:p w14:paraId="668EFC95" w14:textId="4CD1FF16" w:rsidR="00237A5A" w:rsidRPr="00A847B7" w:rsidRDefault="00237A5A" w:rsidP="00237A5A">
      <w:pPr>
        <w:spacing w:beforeAutospacing="1" w:after="100" w:afterAutospacing="1"/>
        <w:rPr>
          <w:rFonts w:cstheme="minorHAnsi"/>
        </w:rPr>
      </w:pPr>
      <w:r w:rsidRPr="00A847B7">
        <w:rPr>
          <w:rFonts w:cstheme="minorHAnsi"/>
        </w:rPr>
        <w:t xml:space="preserve">Le taux par défaut est déterminé à partir d’une grille de taux fixée, pour </w:t>
      </w:r>
      <w:r w:rsidR="00DE53D9" w:rsidRPr="00A847B7">
        <w:rPr>
          <w:rFonts w:cstheme="minorHAnsi"/>
        </w:rPr>
        <w:t>les revenus perçus ou réalisés à compter du 1</w:t>
      </w:r>
      <w:r w:rsidR="00DE53D9" w:rsidRPr="00A847B7">
        <w:rPr>
          <w:rFonts w:cstheme="minorHAnsi"/>
          <w:vertAlign w:val="superscript"/>
        </w:rPr>
        <w:t>er</w:t>
      </w:r>
      <w:r w:rsidR="00DE53D9" w:rsidRPr="00A847B7">
        <w:rPr>
          <w:rFonts w:cstheme="minorHAnsi"/>
        </w:rPr>
        <w:t xml:space="preserve"> janvier </w:t>
      </w:r>
      <w:r w:rsidR="002A4E43" w:rsidRPr="00A847B7">
        <w:rPr>
          <w:rFonts w:cstheme="minorHAnsi"/>
        </w:rPr>
        <w:t>2021</w:t>
      </w:r>
      <w:r w:rsidRPr="00A847B7">
        <w:rPr>
          <w:rFonts w:cstheme="minorHAnsi"/>
        </w:rPr>
        <w:t>, de la manière suivante :</w:t>
      </w:r>
    </w:p>
    <w:p w14:paraId="167CC67C" w14:textId="509D1310" w:rsidR="00237A5A" w:rsidRPr="00A847B7" w:rsidRDefault="00890518" w:rsidP="00EE0687">
      <w:pPr>
        <w:pStyle w:val="Paragraphedeliste"/>
        <w:numPr>
          <w:ilvl w:val="0"/>
          <w:numId w:val="8"/>
        </w:numPr>
        <w:spacing w:beforeAutospacing="1" w:after="100" w:afterAutospacing="1"/>
        <w:rPr>
          <w:rFonts w:cstheme="minorHAnsi"/>
        </w:rPr>
      </w:pPr>
      <w:r>
        <w:rPr>
          <w:rFonts w:cstheme="minorHAnsi"/>
        </w:rPr>
        <w:t>T</w:t>
      </w:r>
      <w:r w:rsidR="00237A5A" w:rsidRPr="00A847B7">
        <w:rPr>
          <w:rFonts w:cstheme="minorHAnsi"/>
        </w:rPr>
        <w:t>aux applicables en France métropolitaine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959"/>
      </w:tblGrid>
      <w:tr w:rsidR="00237A5A" w:rsidRPr="00A847B7" w14:paraId="4616EF4E" w14:textId="77777777" w:rsidTr="004E00F3">
        <w:tc>
          <w:tcPr>
            <w:tcW w:w="5103" w:type="dxa"/>
            <w:shd w:val="clear" w:color="auto" w:fill="297FD5" w:themeFill="accent3"/>
          </w:tcPr>
          <w:p w14:paraId="4BD73B2B" w14:textId="77777777" w:rsidR="00237A5A" w:rsidRPr="00A847B7" w:rsidRDefault="00237A5A" w:rsidP="001D01C2">
            <w:pPr>
              <w:jc w:val="center"/>
              <w:rPr>
                <w:b/>
                <w:bCs/>
                <w:color w:val="FFFFFF" w:themeColor="background1"/>
                <w:sz w:val="24"/>
                <w:szCs w:val="24"/>
              </w:rPr>
            </w:pPr>
            <w:r w:rsidRPr="00A847B7">
              <w:rPr>
                <w:b/>
                <w:bCs/>
                <w:color w:val="FFFFFF" w:themeColor="background1"/>
                <w:sz w:val="24"/>
                <w:szCs w:val="24"/>
              </w:rPr>
              <w:t>Base mensuelle de prélèvement</w:t>
            </w:r>
          </w:p>
        </w:tc>
        <w:tc>
          <w:tcPr>
            <w:tcW w:w="3959" w:type="dxa"/>
            <w:shd w:val="clear" w:color="auto" w:fill="297FD5" w:themeFill="accent3"/>
          </w:tcPr>
          <w:p w14:paraId="1B05BC56" w14:textId="77777777" w:rsidR="00237A5A" w:rsidRPr="00A847B7" w:rsidRDefault="00237A5A" w:rsidP="001D01C2">
            <w:pPr>
              <w:jc w:val="center"/>
              <w:rPr>
                <w:b/>
                <w:bCs/>
                <w:color w:val="FFFFFF" w:themeColor="background1"/>
                <w:sz w:val="24"/>
                <w:szCs w:val="24"/>
              </w:rPr>
            </w:pPr>
            <w:r w:rsidRPr="00A847B7">
              <w:rPr>
                <w:b/>
                <w:bCs/>
                <w:color w:val="FFFFFF" w:themeColor="background1"/>
                <w:sz w:val="24"/>
                <w:szCs w:val="24"/>
              </w:rPr>
              <w:t>Taux de prélèvement</w:t>
            </w:r>
          </w:p>
        </w:tc>
      </w:tr>
      <w:tr w:rsidR="00237A5A" w:rsidRPr="00A847B7" w14:paraId="3D7C0B56" w14:textId="77777777" w:rsidTr="004E00F3">
        <w:tc>
          <w:tcPr>
            <w:tcW w:w="5103" w:type="dxa"/>
            <w:shd w:val="clear" w:color="auto" w:fill="auto"/>
          </w:tcPr>
          <w:p w14:paraId="78E768C9" w14:textId="4B2A4D90" w:rsidR="00237A5A" w:rsidRPr="00A847B7" w:rsidRDefault="00237A5A" w:rsidP="001D01C2">
            <w:pPr>
              <w:spacing w:beforeAutospacing="1" w:after="100" w:afterAutospacing="1"/>
              <w:jc w:val="center"/>
              <w:rPr>
                <w:rFonts w:cstheme="minorHAnsi"/>
              </w:rPr>
            </w:pPr>
            <w:r w:rsidRPr="00A847B7">
              <w:rPr>
                <w:rFonts w:cstheme="minorHAnsi"/>
              </w:rPr>
              <w:t xml:space="preserve">&lt; à 1 </w:t>
            </w:r>
            <w:r w:rsidR="007C1BF3" w:rsidRPr="00A847B7">
              <w:rPr>
                <w:rFonts w:cstheme="minorHAnsi"/>
              </w:rPr>
              <w:t xml:space="preserve">420 </w:t>
            </w:r>
            <w:r w:rsidRPr="00A847B7">
              <w:rPr>
                <w:rFonts w:cstheme="minorHAnsi"/>
              </w:rPr>
              <w:t>€</w:t>
            </w:r>
          </w:p>
        </w:tc>
        <w:tc>
          <w:tcPr>
            <w:tcW w:w="3959" w:type="dxa"/>
            <w:shd w:val="clear" w:color="auto" w:fill="auto"/>
          </w:tcPr>
          <w:p w14:paraId="60ABE4F9" w14:textId="77777777" w:rsidR="00237A5A" w:rsidRPr="00A847B7" w:rsidRDefault="00237A5A" w:rsidP="001D01C2">
            <w:pPr>
              <w:spacing w:beforeAutospacing="1" w:after="100" w:afterAutospacing="1"/>
              <w:jc w:val="center"/>
              <w:rPr>
                <w:rFonts w:cstheme="minorHAnsi"/>
              </w:rPr>
            </w:pPr>
            <w:r w:rsidRPr="00A847B7">
              <w:rPr>
                <w:rFonts w:cstheme="minorHAnsi"/>
              </w:rPr>
              <w:t>0 %</w:t>
            </w:r>
          </w:p>
        </w:tc>
      </w:tr>
      <w:tr w:rsidR="00237A5A" w:rsidRPr="00A847B7" w14:paraId="4EC7165E" w14:textId="77777777" w:rsidTr="004E00F3">
        <w:tc>
          <w:tcPr>
            <w:tcW w:w="5103" w:type="dxa"/>
            <w:shd w:val="clear" w:color="auto" w:fill="auto"/>
          </w:tcPr>
          <w:p w14:paraId="5ACBA4C7" w14:textId="45DE0A7E" w:rsidR="00237A5A" w:rsidRPr="00A847B7" w:rsidRDefault="00237A5A" w:rsidP="001D01C2">
            <w:pPr>
              <w:spacing w:beforeAutospacing="1" w:after="100" w:afterAutospacing="1"/>
              <w:jc w:val="center"/>
              <w:rPr>
                <w:rFonts w:cstheme="minorHAnsi"/>
              </w:rPr>
            </w:pPr>
            <w:r w:rsidRPr="00A847B7">
              <w:rPr>
                <w:rFonts w:cstheme="minorHAnsi"/>
              </w:rPr>
              <w:t xml:space="preserve">Supérieure ou égale à 1 </w:t>
            </w:r>
            <w:r w:rsidR="007C1BF3" w:rsidRPr="00A847B7">
              <w:rPr>
                <w:rFonts w:cstheme="minorHAnsi"/>
              </w:rPr>
              <w:t xml:space="preserve">420 </w:t>
            </w:r>
            <w:r w:rsidRPr="00A847B7">
              <w:rPr>
                <w:rFonts w:cstheme="minorHAnsi"/>
              </w:rPr>
              <w:t>et inférieure à 1 47</w:t>
            </w:r>
            <w:r w:rsidR="007C1BF3" w:rsidRPr="00A847B7">
              <w:rPr>
                <w:rFonts w:cstheme="minorHAnsi"/>
              </w:rPr>
              <w:t>5</w:t>
            </w:r>
            <w:r w:rsidRPr="00A847B7">
              <w:rPr>
                <w:rFonts w:cstheme="minorHAnsi"/>
              </w:rPr>
              <w:t xml:space="preserve"> €</w:t>
            </w:r>
          </w:p>
        </w:tc>
        <w:tc>
          <w:tcPr>
            <w:tcW w:w="3959" w:type="dxa"/>
            <w:shd w:val="clear" w:color="auto" w:fill="auto"/>
          </w:tcPr>
          <w:p w14:paraId="517D4B85" w14:textId="77777777" w:rsidR="00237A5A" w:rsidRPr="00A847B7" w:rsidRDefault="00237A5A" w:rsidP="001D01C2">
            <w:pPr>
              <w:spacing w:beforeAutospacing="1" w:after="100" w:afterAutospacing="1"/>
              <w:jc w:val="center"/>
              <w:rPr>
                <w:rFonts w:cstheme="minorHAnsi"/>
              </w:rPr>
            </w:pPr>
            <w:r w:rsidRPr="00A847B7">
              <w:rPr>
                <w:rFonts w:cstheme="minorHAnsi"/>
              </w:rPr>
              <w:t>0,5 %</w:t>
            </w:r>
          </w:p>
        </w:tc>
      </w:tr>
      <w:tr w:rsidR="00237A5A" w:rsidRPr="00A847B7" w14:paraId="4123388B" w14:textId="77777777" w:rsidTr="004E00F3">
        <w:tc>
          <w:tcPr>
            <w:tcW w:w="5103" w:type="dxa"/>
            <w:shd w:val="clear" w:color="auto" w:fill="auto"/>
          </w:tcPr>
          <w:p w14:paraId="46B1E0F3" w14:textId="6C69C795" w:rsidR="00237A5A" w:rsidRPr="00A847B7" w:rsidRDefault="00237A5A" w:rsidP="001D01C2">
            <w:pPr>
              <w:spacing w:beforeAutospacing="1" w:after="100" w:afterAutospacing="1"/>
              <w:jc w:val="center"/>
              <w:rPr>
                <w:rFonts w:cstheme="minorHAnsi"/>
              </w:rPr>
            </w:pPr>
            <w:r w:rsidRPr="00A847B7">
              <w:rPr>
                <w:rFonts w:cstheme="minorHAnsi"/>
              </w:rPr>
              <w:t xml:space="preserve">Supérieure ou égale à 1 </w:t>
            </w:r>
            <w:r w:rsidR="007C1BF3" w:rsidRPr="00A847B7">
              <w:rPr>
                <w:rFonts w:cstheme="minorHAnsi"/>
              </w:rPr>
              <w:t xml:space="preserve">475 </w:t>
            </w:r>
            <w:r w:rsidRPr="00A847B7">
              <w:rPr>
                <w:rFonts w:cstheme="minorHAnsi"/>
              </w:rPr>
              <w:t>et inférieure à 1 </w:t>
            </w:r>
            <w:r w:rsidR="007C1BF3" w:rsidRPr="00A847B7">
              <w:rPr>
                <w:rFonts w:cstheme="minorHAnsi"/>
              </w:rPr>
              <w:t xml:space="preserve">570 </w:t>
            </w:r>
            <w:r w:rsidRPr="00A847B7">
              <w:rPr>
                <w:rFonts w:cstheme="minorHAnsi"/>
              </w:rPr>
              <w:t>€</w:t>
            </w:r>
          </w:p>
        </w:tc>
        <w:tc>
          <w:tcPr>
            <w:tcW w:w="3959" w:type="dxa"/>
            <w:shd w:val="clear" w:color="auto" w:fill="auto"/>
          </w:tcPr>
          <w:p w14:paraId="310FAB16" w14:textId="77777777" w:rsidR="00237A5A" w:rsidRPr="00A847B7" w:rsidRDefault="00237A5A" w:rsidP="001D01C2">
            <w:pPr>
              <w:spacing w:beforeAutospacing="1" w:after="100" w:afterAutospacing="1"/>
              <w:jc w:val="center"/>
              <w:rPr>
                <w:rFonts w:cstheme="minorHAnsi"/>
              </w:rPr>
            </w:pPr>
            <w:r w:rsidRPr="00A847B7">
              <w:rPr>
                <w:rFonts w:cstheme="minorHAnsi"/>
              </w:rPr>
              <w:t>1,3 %</w:t>
            </w:r>
          </w:p>
        </w:tc>
      </w:tr>
      <w:tr w:rsidR="00237A5A" w:rsidRPr="00A847B7" w14:paraId="444F9A95" w14:textId="77777777" w:rsidTr="004E00F3">
        <w:tc>
          <w:tcPr>
            <w:tcW w:w="5103" w:type="dxa"/>
            <w:shd w:val="clear" w:color="auto" w:fill="auto"/>
          </w:tcPr>
          <w:p w14:paraId="7F3D0642" w14:textId="62EFB23B" w:rsidR="00237A5A" w:rsidRPr="00A847B7" w:rsidRDefault="00237A5A" w:rsidP="001D01C2">
            <w:pPr>
              <w:spacing w:beforeAutospacing="1" w:after="100" w:afterAutospacing="1"/>
              <w:jc w:val="center"/>
              <w:rPr>
                <w:rFonts w:cstheme="minorHAnsi"/>
              </w:rPr>
            </w:pPr>
            <w:r w:rsidRPr="00A847B7">
              <w:rPr>
                <w:rFonts w:cstheme="minorHAnsi"/>
              </w:rPr>
              <w:t>Supérieure ou égale à 1 5</w:t>
            </w:r>
            <w:r w:rsidR="007C1BF3" w:rsidRPr="00A847B7">
              <w:rPr>
                <w:rFonts w:cstheme="minorHAnsi"/>
              </w:rPr>
              <w:t>70</w:t>
            </w:r>
            <w:r w:rsidRPr="00A847B7">
              <w:rPr>
                <w:rFonts w:cstheme="minorHAnsi"/>
              </w:rPr>
              <w:t xml:space="preserve"> et inférieure à 1 67</w:t>
            </w:r>
            <w:r w:rsidR="007C1BF3" w:rsidRPr="00A847B7">
              <w:rPr>
                <w:rFonts w:cstheme="minorHAnsi"/>
              </w:rPr>
              <w:t>6</w:t>
            </w:r>
            <w:r w:rsidRPr="00A847B7">
              <w:rPr>
                <w:rFonts w:cstheme="minorHAnsi"/>
              </w:rPr>
              <w:t xml:space="preserve"> €</w:t>
            </w:r>
          </w:p>
        </w:tc>
        <w:tc>
          <w:tcPr>
            <w:tcW w:w="3959" w:type="dxa"/>
            <w:shd w:val="clear" w:color="auto" w:fill="auto"/>
          </w:tcPr>
          <w:p w14:paraId="6326030B" w14:textId="77777777" w:rsidR="00237A5A" w:rsidRPr="00A847B7" w:rsidRDefault="00237A5A" w:rsidP="001D01C2">
            <w:pPr>
              <w:spacing w:beforeAutospacing="1" w:after="100" w:afterAutospacing="1"/>
              <w:jc w:val="center"/>
              <w:rPr>
                <w:rFonts w:cstheme="minorHAnsi"/>
              </w:rPr>
            </w:pPr>
            <w:r w:rsidRPr="00A847B7">
              <w:rPr>
                <w:rFonts w:cstheme="minorHAnsi"/>
              </w:rPr>
              <w:t>2,1 %</w:t>
            </w:r>
          </w:p>
        </w:tc>
      </w:tr>
      <w:tr w:rsidR="00237A5A" w:rsidRPr="00A847B7" w14:paraId="58DC07EB" w14:textId="77777777" w:rsidTr="004E00F3">
        <w:tc>
          <w:tcPr>
            <w:tcW w:w="5103" w:type="dxa"/>
            <w:shd w:val="clear" w:color="auto" w:fill="auto"/>
          </w:tcPr>
          <w:p w14:paraId="3CEA1AF3" w14:textId="1CBE9F66" w:rsidR="00237A5A" w:rsidRPr="00A847B7" w:rsidRDefault="00237A5A" w:rsidP="001D01C2">
            <w:pPr>
              <w:spacing w:beforeAutospacing="1" w:after="100" w:afterAutospacing="1"/>
              <w:jc w:val="center"/>
              <w:rPr>
                <w:rFonts w:cstheme="minorHAnsi"/>
              </w:rPr>
            </w:pPr>
            <w:r w:rsidRPr="00A847B7">
              <w:rPr>
                <w:rFonts w:cstheme="minorHAnsi"/>
              </w:rPr>
              <w:t>Supérieure ou égale à 1 67</w:t>
            </w:r>
            <w:r w:rsidR="007C1BF3" w:rsidRPr="00A847B7">
              <w:rPr>
                <w:rFonts w:cstheme="minorHAnsi"/>
              </w:rPr>
              <w:t>6</w:t>
            </w:r>
            <w:r w:rsidRPr="00A847B7">
              <w:rPr>
                <w:rFonts w:cstheme="minorHAnsi"/>
              </w:rPr>
              <w:t xml:space="preserve"> et inférieure à 1 7</w:t>
            </w:r>
            <w:r w:rsidR="002B02CB" w:rsidRPr="00A847B7">
              <w:rPr>
                <w:rFonts w:cstheme="minorHAnsi"/>
              </w:rPr>
              <w:t>91</w:t>
            </w:r>
            <w:r w:rsidRPr="00A847B7">
              <w:rPr>
                <w:rFonts w:cstheme="minorHAnsi"/>
              </w:rPr>
              <w:t xml:space="preserve"> €</w:t>
            </w:r>
          </w:p>
        </w:tc>
        <w:tc>
          <w:tcPr>
            <w:tcW w:w="3959" w:type="dxa"/>
            <w:shd w:val="clear" w:color="auto" w:fill="auto"/>
          </w:tcPr>
          <w:p w14:paraId="7C18A76D" w14:textId="77777777" w:rsidR="00237A5A" w:rsidRPr="00A847B7" w:rsidRDefault="00237A5A" w:rsidP="001D01C2">
            <w:pPr>
              <w:spacing w:beforeAutospacing="1" w:after="100" w:afterAutospacing="1"/>
              <w:jc w:val="center"/>
              <w:rPr>
                <w:rFonts w:cstheme="minorHAnsi"/>
              </w:rPr>
            </w:pPr>
            <w:r w:rsidRPr="00A847B7">
              <w:rPr>
                <w:rFonts w:cstheme="minorHAnsi"/>
              </w:rPr>
              <w:t>2,9 %</w:t>
            </w:r>
          </w:p>
        </w:tc>
      </w:tr>
      <w:tr w:rsidR="00237A5A" w:rsidRPr="00A847B7" w14:paraId="4DEEFEA6" w14:textId="77777777" w:rsidTr="004E00F3">
        <w:tc>
          <w:tcPr>
            <w:tcW w:w="5103" w:type="dxa"/>
            <w:shd w:val="clear" w:color="auto" w:fill="auto"/>
          </w:tcPr>
          <w:p w14:paraId="0C289E03" w14:textId="0A1D91F1" w:rsidR="00237A5A" w:rsidRPr="00A847B7" w:rsidRDefault="00237A5A" w:rsidP="001D01C2">
            <w:pPr>
              <w:spacing w:beforeAutospacing="1" w:after="100" w:afterAutospacing="1"/>
              <w:jc w:val="center"/>
              <w:rPr>
                <w:rFonts w:cstheme="minorHAnsi"/>
              </w:rPr>
            </w:pPr>
            <w:r w:rsidRPr="00A847B7">
              <w:rPr>
                <w:rFonts w:cstheme="minorHAnsi"/>
              </w:rPr>
              <w:t>Supérieure ou égale à 1 7</w:t>
            </w:r>
            <w:r w:rsidR="002B02CB" w:rsidRPr="00A847B7">
              <w:rPr>
                <w:rFonts w:cstheme="minorHAnsi"/>
              </w:rPr>
              <w:t>91</w:t>
            </w:r>
            <w:r w:rsidRPr="00A847B7">
              <w:rPr>
                <w:rFonts w:cstheme="minorHAnsi"/>
              </w:rPr>
              <w:t xml:space="preserve"> et inférieure à 1 8</w:t>
            </w:r>
            <w:r w:rsidR="002B02CB" w:rsidRPr="00A847B7">
              <w:rPr>
                <w:rFonts w:cstheme="minorHAnsi"/>
              </w:rPr>
              <w:t>87</w:t>
            </w:r>
            <w:r w:rsidRPr="00A847B7">
              <w:rPr>
                <w:rFonts w:cstheme="minorHAnsi"/>
              </w:rPr>
              <w:t xml:space="preserve"> €</w:t>
            </w:r>
          </w:p>
        </w:tc>
        <w:tc>
          <w:tcPr>
            <w:tcW w:w="3959" w:type="dxa"/>
            <w:shd w:val="clear" w:color="auto" w:fill="auto"/>
          </w:tcPr>
          <w:p w14:paraId="0D429230" w14:textId="77777777" w:rsidR="00237A5A" w:rsidRPr="00A847B7" w:rsidRDefault="00237A5A" w:rsidP="001D01C2">
            <w:pPr>
              <w:spacing w:beforeAutospacing="1" w:after="100" w:afterAutospacing="1"/>
              <w:jc w:val="center"/>
              <w:rPr>
                <w:rFonts w:cstheme="minorHAnsi"/>
              </w:rPr>
            </w:pPr>
            <w:r w:rsidRPr="00A847B7">
              <w:rPr>
                <w:rFonts w:cstheme="minorHAnsi"/>
              </w:rPr>
              <w:t>3,5 %</w:t>
            </w:r>
          </w:p>
        </w:tc>
      </w:tr>
      <w:tr w:rsidR="00237A5A" w:rsidRPr="00A847B7" w14:paraId="1DF680C1" w14:textId="77777777" w:rsidTr="004E00F3">
        <w:tc>
          <w:tcPr>
            <w:tcW w:w="5103" w:type="dxa"/>
            <w:shd w:val="clear" w:color="auto" w:fill="auto"/>
          </w:tcPr>
          <w:p w14:paraId="64ABFD85" w14:textId="323E3FBF" w:rsidR="00237A5A" w:rsidRPr="00A847B7" w:rsidRDefault="00237A5A" w:rsidP="001D01C2">
            <w:pPr>
              <w:spacing w:beforeAutospacing="1" w:after="100" w:afterAutospacing="1"/>
              <w:jc w:val="center"/>
              <w:rPr>
                <w:rFonts w:cstheme="minorHAnsi"/>
              </w:rPr>
            </w:pPr>
            <w:r w:rsidRPr="00A847B7">
              <w:rPr>
                <w:rFonts w:cstheme="minorHAnsi"/>
              </w:rPr>
              <w:t>Supérieure ou égale à 1 88</w:t>
            </w:r>
            <w:r w:rsidR="002B02CB" w:rsidRPr="00A847B7">
              <w:rPr>
                <w:rFonts w:cstheme="minorHAnsi"/>
              </w:rPr>
              <w:t>7</w:t>
            </w:r>
            <w:r w:rsidRPr="00A847B7">
              <w:rPr>
                <w:rFonts w:cstheme="minorHAnsi"/>
              </w:rPr>
              <w:t xml:space="preserve"> et inférieure à 2 0</w:t>
            </w:r>
            <w:r w:rsidR="007E4A27" w:rsidRPr="00A847B7">
              <w:rPr>
                <w:rFonts w:cstheme="minorHAnsi"/>
              </w:rPr>
              <w:t>12</w:t>
            </w:r>
            <w:r w:rsidRPr="00A847B7">
              <w:rPr>
                <w:rFonts w:cstheme="minorHAnsi"/>
              </w:rPr>
              <w:t xml:space="preserve"> €</w:t>
            </w:r>
          </w:p>
        </w:tc>
        <w:tc>
          <w:tcPr>
            <w:tcW w:w="3959" w:type="dxa"/>
            <w:shd w:val="clear" w:color="auto" w:fill="auto"/>
          </w:tcPr>
          <w:p w14:paraId="3529C1A4" w14:textId="77777777" w:rsidR="00237A5A" w:rsidRPr="00A847B7" w:rsidRDefault="00237A5A" w:rsidP="001D01C2">
            <w:pPr>
              <w:spacing w:beforeAutospacing="1" w:after="100" w:afterAutospacing="1"/>
              <w:jc w:val="center"/>
              <w:rPr>
                <w:rFonts w:cstheme="minorHAnsi"/>
              </w:rPr>
            </w:pPr>
            <w:r w:rsidRPr="00A847B7">
              <w:rPr>
                <w:rFonts w:cstheme="minorHAnsi"/>
              </w:rPr>
              <w:t>4,1 %</w:t>
            </w:r>
          </w:p>
        </w:tc>
      </w:tr>
      <w:tr w:rsidR="00237A5A" w:rsidRPr="00A847B7" w14:paraId="78DE1D88" w14:textId="77777777" w:rsidTr="004E00F3">
        <w:tc>
          <w:tcPr>
            <w:tcW w:w="5103" w:type="dxa"/>
            <w:shd w:val="clear" w:color="auto" w:fill="auto"/>
          </w:tcPr>
          <w:p w14:paraId="14B62D3B" w14:textId="07BE82EC" w:rsidR="00237A5A" w:rsidRPr="00A847B7" w:rsidRDefault="00237A5A" w:rsidP="001D01C2">
            <w:pPr>
              <w:spacing w:beforeAutospacing="1" w:after="100" w:afterAutospacing="1"/>
              <w:jc w:val="center"/>
              <w:rPr>
                <w:rFonts w:cstheme="minorHAnsi"/>
              </w:rPr>
            </w:pPr>
            <w:r w:rsidRPr="00A847B7">
              <w:rPr>
                <w:rFonts w:cstheme="minorHAnsi"/>
              </w:rPr>
              <w:t>Supérieure ou égale à 2 0</w:t>
            </w:r>
            <w:r w:rsidR="007E4A27" w:rsidRPr="00A847B7">
              <w:rPr>
                <w:rFonts w:cstheme="minorHAnsi"/>
              </w:rPr>
              <w:t>12</w:t>
            </w:r>
            <w:r w:rsidRPr="00A847B7">
              <w:rPr>
                <w:rFonts w:cstheme="minorHAnsi"/>
              </w:rPr>
              <w:t xml:space="preserve"> et inférieure à 2 3</w:t>
            </w:r>
            <w:r w:rsidR="007E4A27" w:rsidRPr="00A847B7">
              <w:rPr>
                <w:rFonts w:cstheme="minorHAnsi"/>
              </w:rPr>
              <w:t>81</w:t>
            </w:r>
            <w:r w:rsidRPr="00A847B7">
              <w:rPr>
                <w:rFonts w:cstheme="minorHAnsi"/>
              </w:rPr>
              <w:t xml:space="preserve"> €</w:t>
            </w:r>
          </w:p>
        </w:tc>
        <w:tc>
          <w:tcPr>
            <w:tcW w:w="3959" w:type="dxa"/>
            <w:shd w:val="clear" w:color="auto" w:fill="auto"/>
          </w:tcPr>
          <w:p w14:paraId="2BF1DDFE" w14:textId="77777777" w:rsidR="00237A5A" w:rsidRPr="00A847B7" w:rsidRDefault="00237A5A" w:rsidP="001D01C2">
            <w:pPr>
              <w:spacing w:beforeAutospacing="1" w:after="100" w:afterAutospacing="1"/>
              <w:jc w:val="center"/>
              <w:rPr>
                <w:rFonts w:cstheme="minorHAnsi"/>
              </w:rPr>
            </w:pPr>
            <w:r w:rsidRPr="00A847B7">
              <w:rPr>
                <w:rFonts w:cstheme="minorHAnsi"/>
              </w:rPr>
              <w:t>5,3 %</w:t>
            </w:r>
          </w:p>
        </w:tc>
      </w:tr>
      <w:tr w:rsidR="00237A5A" w:rsidRPr="00A847B7" w14:paraId="11856897" w14:textId="77777777" w:rsidTr="004E00F3">
        <w:tc>
          <w:tcPr>
            <w:tcW w:w="5103" w:type="dxa"/>
            <w:shd w:val="clear" w:color="auto" w:fill="auto"/>
          </w:tcPr>
          <w:p w14:paraId="7C1FD673" w14:textId="5529791A" w:rsidR="00237A5A" w:rsidRPr="00A847B7" w:rsidRDefault="00237A5A" w:rsidP="001D01C2">
            <w:pPr>
              <w:spacing w:beforeAutospacing="1" w:after="100" w:afterAutospacing="1"/>
              <w:jc w:val="center"/>
              <w:rPr>
                <w:rFonts w:cstheme="minorHAnsi"/>
              </w:rPr>
            </w:pPr>
            <w:r w:rsidRPr="00A847B7">
              <w:rPr>
                <w:rFonts w:cstheme="minorHAnsi"/>
              </w:rPr>
              <w:t>Supérieure ou égale à 2 3</w:t>
            </w:r>
            <w:r w:rsidR="007E4A27" w:rsidRPr="00A847B7">
              <w:rPr>
                <w:rFonts w:cstheme="minorHAnsi"/>
              </w:rPr>
              <w:t>81</w:t>
            </w:r>
            <w:r w:rsidRPr="00A847B7">
              <w:rPr>
                <w:rFonts w:cstheme="minorHAnsi"/>
              </w:rPr>
              <w:t xml:space="preserve"> et inférieure à 2 72</w:t>
            </w:r>
            <w:r w:rsidR="007E4A27" w:rsidRPr="00A847B7">
              <w:rPr>
                <w:rFonts w:cstheme="minorHAnsi"/>
              </w:rPr>
              <w:t>5</w:t>
            </w:r>
            <w:r w:rsidRPr="00A847B7">
              <w:rPr>
                <w:rFonts w:cstheme="minorHAnsi"/>
              </w:rPr>
              <w:t xml:space="preserve"> €</w:t>
            </w:r>
          </w:p>
        </w:tc>
        <w:tc>
          <w:tcPr>
            <w:tcW w:w="3959" w:type="dxa"/>
            <w:shd w:val="clear" w:color="auto" w:fill="auto"/>
          </w:tcPr>
          <w:p w14:paraId="6C72F748" w14:textId="77777777" w:rsidR="00237A5A" w:rsidRPr="00A847B7" w:rsidRDefault="00237A5A" w:rsidP="001D01C2">
            <w:pPr>
              <w:spacing w:beforeAutospacing="1" w:after="100" w:afterAutospacing="1"/>
              <w:jc w:val="center"/>
              <w:rPr>
                <w:rFonts w:cstheme="minorHAnsi"/>
              </w:rPr>
            </w:pPr>
            <w:r w:rsidRPr="00A847B7">
              <w:rPr>
                <w:rFonts w:cstheme="minorHAnsi"/>
              </w:rPr>
              <w:t>7,5 %</w:t>
            </w:r>
          </w:p>
        </w:tc>
      </w:tr>
      <w:tr w:rsidR="00237A5A" w:rsidRPr="00A847B7" w14:paraId="349AD26D" w14:textId="77777777" w:rsidTr="004E00F3">
        <w:tc>
          <w:tcPr>
            <w:tcW w:w="5103" w:type="dxa"/>
            <w:shd w:val="clear" w:color="auto" w:fill="auto"/>
          </w:tcPr>
          <w:p w14:paraId="460A1DD4" w14:textId="0C6811D1" w:rsidR="00237A5A" w:rsidRPr="00A847B7" w:rsidRDefault="00237A5A" w:rsidP="001D01C2">
            <w:pPr>
              <w:spacing w:beforeAutospacing="1" w:after="100" w:afterAutospacing="1"/>
              <w:jc w:val="center"/>
              <w:rPr>
                <w:rFonts w:cstheme="minorHAnsi"/>
              </w:rPr>
            </w:pPr>
            <w:r w:rsidRPr="00A847B7">
              <w:rPr>
                <w:rFonts w:cstheme="minorHAnsi"/>
              </w:rPr>
              <w:t>Supérieure ou égale à 2 72</w:t>
            </w:r>
            <w:r w:rsidR="007E4A27" w:rsidRPr="00A847B7">
              <w:rPr>
                <w:rFonts w:cstheme="minorHAnsi"/>
              </w:rPr>
              <w:t>5</w:t>
            </w:r>
            <w:r w:rsidRPr="00A847B7">
              <w:rPr>
                <w:rFonts w:cstheme="minorHAnsi"/>
              </w:rPr>
              <w:t xml:space="preserve"> et inférieure à 3 </w:t>
            </w:r>
            <w:r w:rsidR="00EC349E" w:rsidRPr="00A847B7">
              <w:rPr>
                <w:rFonts w:cstheme="minorHAnsi"/>
              </w:rPr>
              <w:t>104</w:t>
            </w:r>
            <w:r w:rsidRPr="00A847B7">
              <w:rPr>
                <w:rFonts w:cstheme="minorHAnsi"/>
              </w:rPr>
              <w:t xml:space="preserve"> €</w:t>
            </w:r>
          </w:p>
        </w:tc>
        <w:tc>
          <w:tcPr>
            <w:tcW w:w="3959" w:type="dxa"/>
            <w:shd w:val="clear" w:color="auto" w:fill="auto"/>
          </w:tcPr>
          <w:p w14:paraId="0D2737F8" w14:textId="77777777" w:rsidR="00237A5A" w:rsidRPr="00A847B7" w:rsidRDefault="00237A5A" w:rsidP="001D01C2">
            <w:pPr>
              <w:spacing w:beforeAutospacing="1" w:after="100" w:afterAutospacing="1"/>
              <w:jc w:val="center"/>
              <w:rPr>
                <w:rFonts w:cstheme="minorHAnsi"/>
              </w:rPr>
            </w:pPr>
            <w:r w:rsidRPr="00A847B7">
              <w:rPr>
                <w:rFonts w:cstheme="minorHAnsi"/>
              </w:rPr>
              <w:t>9,9 %</w:t>
            </w:r>
          </w:p>
        </w:tc>
      </w:tr>
      <w:tr w:rsidR="00237A5A" w:rsidRPr="00A847B7" w14:paraId="2049D5D4" w14:textId="77777777" w:rsidTr="004E00F3">
        <w:tc>
          <w:tcPr>
            <w:tcW w:w="5103" w:type="dxa"/>
            <w:shd w:val="clear" w:color="auto" w:fill="auto"/>
          </w:tcPr>
          <w:p w14:paraId="32877551" w14:textId="46C3AC71" w:rsidR="00237A5A" w:rsidRPr="00A847B7" w:rsidRDefault="00237A5A" w:rsidP="001D01C2">
            <w:pPr>
              <w:spacing w:beforeAutospacing="1" w:after="100" w:afterAutospacing="1"/>
              <w:jc w:val="center"/>
              <w:rPr>
                <w:rFonts w:cstheme="minorHAnsi"/>
              </w:rPr>
            </w:pPr>
            <w:r w:rsidRPr="00A847B7">
              <w:rPr>
                <w:rFonts w:cstheme="minorHAnsi"/>
              </w:rPr>
              <w:t>Supérieure ou égale à 3 </w:t>
            </w:r>
            <w:r w:rsidR="00EC349E" w:rsidRPr="00A847B7">
              <w:rPr>
                <w:rFonts w:cstheme="minorHAnsi"/>
              </w:rPr>
              <w:t xml:space="preserve">104 </w:t>
            </w:r>
            <w:r w:rsidRPr="00A847B7">
              <w:rPr>
                <w:rFonts w:cstheme="minorHAnsi"/>
              </w:rPr>
              <w:t>et inférieure à 3 </w:t>
            </w:r>
            <w:r w:rsidR="00EC349E" w:rsidRPr="00A847B7">
              <w:rPr>
                <w:rFonts w:cstheme="minorHAnsi"/>
              </w:rPr>
              <w:t xml:space="preserve">494 </w:t>
            </w:r>
            <w:r w:rsidRPr="00A847B7">
              <w:rPr>
                <w:rFonts w:cstheme="minorHAnsi"/>
              </w:rPr>
              <w:t>€</w:t>
            </w:r>
          </w:p>
        </w:tc>
        <w:tc>
          <w:tcPr>
            <w:tcW w:w="3959" w:type="dxa"/>
            <w:shd w:val="clear" w:color="auto" w:fill="auto"/>
          </w:tcPr>
          <w:p w14:paraId="11AC767A" w14:textId="77777777" w:rsidR="00237A5A" w:rsidRPr="00A847B7" w:rsidRDefault="00237A5A" w:rsidP="001D01C2">
            <w:pPr>
              <w:spacing w:beforeAutospacing="1" w:after="100" w:afterAutospacing="1"/>
              <w:jc w:val="center"/>
              <w:rPr>
                <w:rFonts w:cstheme="minorHAnsi"/>
              </w:rPr>
            </w:pPr>
            <w:r w:rsidRPr="00A847B7">
              <w:rPr>
                <w:rFonts w:cstheme="minorHAnsi"/>
              </w:rPr>
              <w:t>11,9 %</w:t>
            </w:r>
          </w:p>
        </w:tc>
      </w:tr>
      <w:tr w:rsidR="00237A5A" w:rsidRPr="00A847B7" w14:paraId="0E1D41D7" w14:textId="77777777" w:rsidTr="004E00F3">
        <w:tc>
          <w:tcPr>
            <w:tcW w:w="5103" w:type="dxa"/>
            <w:shd w:val="clear" w:color="auto" w:fill="auto"/>
          </w:tcPr>
          <w:p w14:paraId="4B9CDFA3" w14:textId="3799EFAB" w:rsidR="00237A5A" w:rsidRPr="00A847B7" w:rsidRDefault="00237A5A" w:rsidP="001D01C2">
            <w:pPr>
              <w:spacing w:beforeAutospacing="1" w:after="100" w:afterAutospacing="1"/>
              <w:jc w:val="center"/>
              <w:rPr>
                <w:rFonts w:cstheme="minorHAnsi"/>
              </w:rPr>
            </w:pPr>
            <w:r w:rsidRPr="00A847B7">
              <w:rPr>
                <w:rFonts w:cstheme="minorHAnsi"/>
              </w:rPr>
              <w:t>Supérieure ou égale à 3 </w:t>
            </w:r>
            <w:r w:rsidR="00EC349E" w:rsidRPr="00A847B7">
              <w:rPr>
                <w:rFonts w:cstheme="minorHAnsi"/>
              </w:rPr>
              <w:t xml:space="preserve">494 </w:t>
            </w:r>
            <w:r w:rsidRPr="00A847B7">
              <w:rPr>
                <w:rFonts w:cstheme="minorHAnsi"/>
              </w:rPr>
              <w:t>et inférieure à 4 0</w:t>
            </w:r>
            <w:r w:rsidR="00EC349E" w:rsidRPr="00A847B7">
              <w:rPr>
                <w:rFonts w:cstheme="minorHAnsi"/>
              </w:rPr>
              <w:t>77</w:t>
            </w:r>
            <w:r w:rsidRPr="00A847B7">
              <w:rPr>
                <w:rFonts w:cstheme="minorHAnsi"/>
              </w:rPr>
              <w:t xml:space="preserve"> €</w:t>
            </w:r>
          </w:p>
        </w:tc>
        <w:tc>
          <w:tcPr>
            <w:tcW w:w="3959" w:type="dxa"/>
            <w:shd w:val="clear" w:color="auto" w:fill="auto"/>
          </w:tcPr>
          <w:p w14:paraId="5C3C3DD7" w14:textId="77777777" w:rsidR="00237A5A" w:rsidRPr="00A847B7" w:rsidRDefault="00237A5A" w:rsidP="001D01C2">
            <w:pPr>
              <w:spacing w:beforeAutospacing="1" w:after="100" w:afterAutospacing="1"/>
              <w:jc w:val="center"/>
              <w:rPr>
                <w:rFonts w:cstheme="minorHAnsi"/>
              </w:rPr>
            </w:pPr>
            <w:r w:rsidRPr="00A847B7">
              <w:rPr>
                <w:rFonts w:cstheme="minorHAnsi"/>
              </w:rPr>
              <w:t>13,8 %</w:t>
            </w:r>
          </w:p>
        </w:tc>
      </w:tr>
      <w:tr w:rsidR="00237A5A" w:rsidRPr="00A847B7" w14:paraId="0FAF44FC" w14:textId="77777777" w:rsidTr="004E00F3">
        <w:tc>
          <w:tcPr>
            <w:tcW w:w="5103" w:type="dxa"/>
            <w:shd w:val="clear" w:color="auto" w:fill="auto"/>
          </w:tcPr>
          <w:p w14:paraId="13739BB1" w14:textId="4BBC3330" w:rsidR="00237A5A" w:rsidRPr="00A847B7" w:rsidRDefault="00237A5A" w:rsidP="001D01C2">
            <w:pPr>
              <w:spacing w:beforeAutospacing="1" w:after="100" w:afterAutospacing="1"/>
              <w:jc w:val="center"/>
              <w:rPr>
                <w:rFonts w:cstheme="minorHAnsi"/>
              </w:rPr>
            </w:pPr>
            <w:r w:rsidRPr="00A847B7">
              <w:rPr>
                <w:rFonts w:cstheme="minorHAnsi"/>
              </w:rPr>
              <w:lastRenderedPageBreak/>
              <w:t>Supérieure ou égale à 4 0</w:t>
            </w:r>
            <w:r w:rsidR="00EC349E" w:rsidRPr="00A847B7">
              <w:rPr>
                <w:rFonts w:cstheme="minorHAnsi"/>
              </w:rPr>
              <w:t>77</w:t>
            </w:r>
            <w:r w:rsidRPr="00A847B7">
              <w:rPr>
                <w:rFonts w:cstheme="minorHAnsi"/>
              </w:rPr>
              <w:t xml:space="preserve"> et inférieure à 4 8</w:t>
            </w:r>
            <w:r w:rsidR="0026523A" w:rsidRPr="00A847B7">
              <w:rPr>
                <w:rFonts w:cstheme="minorHAnsi"/>
              </w:rPr>
              <w:t>8</w:t>
            </w:r>
            <w:r w:rsidRPr="00A847B7">
              <w:rPr>
                <w:rFonts w:cstheme="minorHAnsi"/>
              </w:rPr>
              <w:t>8 €</w:t>
            </w:r>
          </w:p>
        </w:tc>
        <w:tc>
          <w:tcPr>
            <w:tcW w:w="3959" w:type="dxa"/>
            <w:shd w:val="clear" w:color="auto" w:fill="auto"/>
          </w:tcPr>
          <w:p w14:paraId="55288CD2" w14:textId="77777777" w:rsidR="00237A5A" w:rsidRPr="00A847B7" w:rsidRDefault="00237A5A" w:rsidP="001D01C2">
            <w:pPr>
              <w:spacing w:beforeAutospacing="1" w:after="100" w:afterAutospacing="1"/>
              <w:jc w:val="center"/>
              <w:rPr>
                <w:rFonts w:cstheme="minorHAnsi"/>
              </w:rPr>
            </w:pPr>
            <w:r w:rsidRPr="00A847B7">
              <w:rPr>
                <w:rFonts w:cstheme="minorHAnsi"/>
              </w:rPr>
              <w:t>15,8 %</w:t>
            </w:r>
          </w:p>
        </w:tc>
      </w:tr>
      <w:tr w:rsidR="00237A5A" w:rsidRPr="00A847B7" w14:paraId="7FC17816" w14:textId="77777777" w:rsidTr="004E00F3">
        <w:tc>
          <w:tcPr>
            <w:tcW w:w="5103" w:type="dxa"/>
            <w:shd w:val="clear" w:color="auto" w:fill="auto"/>
          </w:tcPr>
          <w:p w14:paraId="51F63237" w14:textId="5F052FA1" w:rsidR="00237A5A" w:rsidRPr="00A847B7" w:rsidRDefault="00237A5A" w:rsidP="001D01C2">
            <w:pPr>
              <w:spacing w:beforeAutospacing="1" w:after="100" w:afterAutospacing="1"/>
              <w:jc w:val="center"/>
              <w:rPr>
                <w:rFonts w:cstheme="minorHAnsi"/>
              </w:rPr>
            </w:pPr>
            <w:r w:rsidRPr="00A847B7">
              <w:rPr>
                <w:rFonts w:cstheme="minorHAnsi"/>
              </w:rPr>
              <w:t>Supérieure ou égale à 4 8</w:t>
            </w:r>
            <w:r w:rsidR="0026523A" w:rsidRPr="00A847B7">
              <w:rPr>
                <w:rFonts w:cstheme="minorHAnsi"/>
              </w:rPr>
              <w:t>8</w:t>
            </w:r>
            <w:r w:rsidRPr="00A847B7">
              <w:rPr>
                <w:rFonts w:cstheme="minorHAnsi"/>
              </w:rPr>
              <w:t>8 et inférieure à 6 </w:t>
            </w:r>
            <w:r w:rsidR="0026523A" w:rsidRPr="00A847B7">
              <w:rPr>
                <w:rFonts w:cstheme="minorHAnsi"/>
              </w:rPr>
              <w:t xml:space="preserve">116 </w:t>
            </w:r>
            <w:r w:rsidRPr="00A847B7">
              <w:rPr>
                <w:rFonts w:cstheme="minorHAnsi"/>
              </w:rPr>
              <w:t>€</w:t>
            </w:r>
          </w:p>
        </w:tc>
        <w:tc>
          <w:tcPr>
            <w:tcW w:w="3959" w:type="dxa"/>
            <w:shd w:val="clear" w:color="auto" w:fill="auto"/>
          </w:tcPr>
          <w:p w14:paraId="6CF14A6F" w14:textId="77777777" w:rsidR="00237A5A" w:rsidRPr="00A847B7" w:rsidRDefault="00237A5A" w:rsidP="001D01C2">
            <w:pPr>
              <w:spacing w:beforeAutospacing="1" w:after="100" w:afterAutospacing="1"/>
              <w:jc w:val="center"/>
              <w:rPr>
                <w:rFonts w:cstheme="minorHAnsi"/>
              </w:rPr>
            </w:pPr>
            <w:r w:rsidRPr="00A847B7">
              <w:rPr>
                <w:rFonts w:cstheme="minorHAnsi"/>
              </w:rPr>
              <w:t>17,9 %</w:t>
            </w:r>
          </w:p>
        </w:tc>
      </w:tr>
      <w:tr w:rsidR="00237A5A" w:rsidRPr="00A847B7" w14:paraId="5E909256" w14:textId="77777777" w:rsidTr="004E00F3">
        <w:tc>
          <w:tcPr>
            <w:tcW w:w="5103" w:type="dxa"/>
            <w:shd w:val="clear" w:color="auto" w:fill="auto"/>
          </w:tcPr>
          <w:p w14:paraId="3C28D642" w14:textId="40C1228A" w:rsidR="00237A5A" w:rsidRPr="00A847B7" w:rsidRDefault="00237A5A" w:rsidP="001D01C2">
            <w:pPr>
              <w:spacing w:beforeAutospacing="1" w:after="100" w:afterAutospacing="1"/>
              <w:jc w:val="center"/>
              <w:rPr>
                <w:rFonts w:cstheme="minorHAnsi"/>
              </w:rPr>
            </w:pPr>
            <w:r w:rsidRPr="00A847B7">
              <w:rPr>
                <w:rFonts w:cstheme="minorHAnsi"/>
              </w:rPr>
              <w:t>Supérieure ou égale à 6 </w:t>
            </w:r>
            <w:r w:rsidR="0026523A" w:rsidRPr="00A847B7">
              <w:rPr>
                <w:rFonts w:cstheme="minorHAnsi"/>
              </w:rPr>
              <w:t xml:space="preserve">116 </w:t>
            </w:r>
            <w:r w:rsidRPr="00A847B7">
              <w:rPr>
                <w:rFonts w:cstheme="minorHAnsi"/>
              </w:rPr>
              <w:t>et inférieure à 7 </w:t>
            </w:r>
            <w:r w:rsidR="0026523A" w:rsidRPr="00A847B7">
              <w:rPr>
                <w:rFonts w:cstheme="minorHAnsi"/>
              </w:rPr>
              <w:t xml:space="preserve">640 </w:t>
            </w:r>
            <w:r w:rsidRPr="00A847B7">
              <w:rPr>
                <w:rFonts w:cstheme="minorHAnsi"/>
              </w:rPr>
              <w:t>€</w:t>
            </w:r>
          </w:p>
        </w:tc>
        <w:tc>
          <w:tcPr>
            <w:tcW w:w="3959" w:type="dxa"/>
            <w:shd w:val="clear" w:color="auto" w:fill="auto"/>
          </w:tcPr>
          <w:p w14:paraId="05B07BF8" w14:textId="77777777" w:rsidR="00237A5A" w:rsidRPr="00A847B7" w:rsidRDefault="00237A5A" w:rsidP="001D01C2">
            <w:pPr>
              <w:spacing w:beforeAutospacing="1" w:after="100" w:afterAutospacing="1"/>
              <w:jc w:val="center"/>
              <w:rPr>
                <w:rFonts w:cstheme="minorHAnsi"/>
              </w:rPr>
            </w:pPr>
            <w:r w:rsidRPr="00A847B7">
              <w:rPr>
                <w:rFonts w:cstheme="minorHAnsi"/>
              </w:rPr>
              <w:t>20 %</w:t>
            </w:r>
          </w:p>
        </w:tc>
      </w:tr>
      <w:tr w:rsidR="00237A5A" w:rsidRPr="00A847B7" w14:paraId="4F1C2A37" w14:textId="77777777" w:rsidTr="004E00F3">
        <w:tc>
          <w:tcPr>
            <w:tcW w:w="5103" w:type="dxa"/>
            <w:shd w:val="clear" w:color="auto" w:fill="auto"/>
          </w:tcPr>
          <w:p w14:paraId="6B4AE4C0" w14:textId="21D97AA0" w:rsidR="00237A5A" w:rsidRPr="00A847B7" w:rsidRDefault="00237A5A" w:rsidP="001D01C2">
            <w:pPr>
              <w:spacing w:beforeAutospacing="1" w:after="100" w:afterAutospacing="1"/>
              <w:jc w:val="center"/>
              <w:rPr>
                <w:rFonts w:cstheme="minorHAnsi"/>
              </w:rPr>
            </w:pPr>
            <w:r w:rsidRPr="00A847B7">
              <w:rPr>
                <w:rFonts w:cstheme="minorHAnsi"/>
              </w:rPr>
              <w:t>Supérieure ou égale à 7 6</w:t>
            </w:r>
            <w:r w:rsidR="0026523A" w:rsidRPr="00A847B7">
              <w:rPr>
                <w:rFonts w:cstheme="minorHAnsi"/>
              </w:rPr>
              <w:t>40</w:t>
            </w:r>
            <w:r w:rsidRPr="00A847B7">
              <w:rPr>
                <w:rFonts w:cstheme="minorHAnsi"/>
              </w:rPr>
              <w:t xml:space="preserve"> et inférieure à 10 </w:t>
            </w:r>
            <w:r w:rsidR="0026523A" w:rsidRPr="00A847B7">
              <w:rPr>
                <w:rFonts w:cstheme="minorHAnsi"/>
              </w:rPr>
              <w:t xml:space="preserve">604 </w:t>
            </w:r>
            <w:r w:rsidRPr="00A847B7">
              <w:rPr>
                <w:rFonts w:cstheme="minorHAnsi"/>
              </w:rPr>
              <w:t>€</w:t>
            </w:r>
          </w:p>
        </w:tc>
        <w:tc>
          <w:tcPr>
            <w:tcW w:w="3959" w:type="dxa"/>
            <w:shd w:val="clear" w:color="auto" w:fill="auto"/>
          </w:tcPr>
          <w:p w14:paraId="33368F17" w14:textId="77777777" w:rsidR="00237A5A" w:rsidRPr="00A847B7" w:rsidRDefault="00237A5A" w:rsidP="001D01C2">
            <w:pPr>
              <w:spacing w:beforeAutospacing="1" w:after="100" w:afterAutospacing="1"/>
              <w:jc w:val="center"/>
              <w:rPr>
                <w:rFonts w:cstheme="minorHAnsi"/>
              </w:rPr>
            </w:pPr>
            <w:r w:rsidRPr="00A847B7">
              <w:rPr>
                <w:rFonts w:cstheme="minorHAnsi"/>
              </w:rPr>
              <w:t>24 %</w:t>
            </w:r>
          </w:p>
        </w:tc>
      </w:tr>
      <w:tr w:rsidR="00237A5A" w:rsidRPr="00A847B7" w14:paraId="45D7CECD" w14:textId="77777777" w:rsidTr="004E00F3">
        <w:tc>
          <w:tcPr>
            <w:tcW w:w="5103" w:type="dxa"/>
            <w:shd w:val="clear" w:color="auto" w:fill="auto"/>
          </w:tcPr>
          <w:p w14:paraId="068C570D" w14:textId="31325844" w:rsidR="00237A5A" w:rsidRPr="00A847B7" w:rsidRDefault="00237A5A" w:rsidP="001D01C2">
            <w:pPr>
              <w:spacing w:beforeAutospacing="1" w:after="100" w:afterAutospacing="1"/>
              <w:jc w:val="center"/>
              <w:rPr>
                <w:rFonts w:cstheme="minorHAnsi"/>
              </w:rPr>
            </w:pPr>
            <w:r w:rsidRPr="00A847B7">
              <w:rPr>
                <w:rFonts w:cstheme="minorHAnsi"/>
              </w:rPr>
              <w:t>Supérieure ou égale à 10 </w:t>
            </w:r>
            <w:r w:rsidR="00AF6777" w:rsidRPr="00A847B7">
              <w:rPr>
                <w:rFonts w:cstheme="minorHAnsi"/>
              </w:rPr>
              <w:t>604</w:t>
            </w:r>
            <w:r w:rsidRPr="00A847B7">
              <w:rPr>
                <w:rFonts w:cstheme="minorHAnsi"/>
              </w:rPr>
              <w:t xml:space="preserve"> et inférieure à 14 3</w:t>
            </w:r>
            <w:r w:rsidR="00AF6777" w:rsidRPr="00A847B7">
              <w:rPr>
                <w:rFonts w:cstheme="minorHAnsi"/>
              </w:rPr>
              <w:t>62</w:t>
            </w:r>
            <w:r w:rsidRPr="00A847B7">
              <w:rPr>
                <w:rFonts w:cstheme="minorHAnsi"/>
              </w:rPr>
              <w:t xml:space="preserve"> €</w:t>
            </w:r>
          </w:p>
        </w:tc>
        <w:tc>
          <w:tcPr>
            <w:tcW w:w="3959" w:type="dxa"/>
            <w:shd w:val="clear" w:color="auto" w:fill="auto"/>
          </w:tcPr>
          <w:p w14:paraId="50F443BF" w14:textId="77777777" w:rsidR="00237A5A" w:rsidRPr="00A847B7" w:rsidRDefault="00237A5A" w:rsidP="001D01C2">
            <w:pPr>
              <w:spacing w:beforeAutospacing="1" w:after="100" w:afterAutospacing="1"/>
              <w:jc w:val="center"/>
              <w:rPr>
                <w:rFonts w:cstheme="minorHAnsi"/>
              </w:rPr>
            </w:pPr>
            <w:r w:rsidRPr="00A847B7">
              <w:rPr>
                <w:rFonts w:cstheme="minorHAnsi"/>
              </w:rPr>
              <w:t>28 %</w:t>
            </w:r>
          </w:p>
        </w:tc>
      </w:tr>
      <w:tr w:rsidR="00237A5A" w:rsidRPr="00A847B7" w14:paraId="6735A8E1" w14:textId="77777777" w:rsidTr="004E00F3">
        <w:tc>
          <w:tcPr>
            <w:tcW w:w="5103" w:type="dxa"/>
            <w:shd w:val="clear" w:color="auto" w:fill="auto"/>
          </w:tcPr>
          <w:p w14:paraId="03257534" w14:textId="4D485089" w:rsidR="00237A5A" w:rsidRPr="00A847B7" w:rsidRDefault="00237A5A" w:rsidP="001D01C2">
            <w:pPr>
              <w:spacing w:beforeAutospacing="1" w:after="100" w:afterAutospacing="1"/>
              <w:jc w:val="center"/>
              <w:rPr>
                <w:rFonts w:cstheme="minorHAnsi"/>
              </w:rPr>
            </w:pPr>
            <w:r w:rsidRPr="00A847B7">
              <w:rPr>
                <w:rFonts w:cstheme="minorHAnsi"/>
              </w:rPr>
              <w:t>Supérieure ou égale à 14 </w:t>
            </w:r>
            <w:r w:rsidR="00AF6777" w:rsidRPr="00A847B7">
              <w:rPr>
                <w:rFonts w:cstheme="minorHAnsi"/>
              </w:rPr>
              <w:t xml:space="preserve">362 </w:t>
            </w:r>
            <w:r w:rsidRPr="00A847B7">
              <w:rPr>
                <w:rFonts w:cstheme="minorHAnsi"/>
              </w:rPr>
              <w:t>et inférieure à 22 </w:t>
            </w:r>
            <w:r w:rsidR="00AF6777" w:rsidRPr="00A847B7">
              <w:rPr>
                <w:rFonts w:cstheme="minorHAnsi"/>
              </w:rPr>
              <w:t xml:space="preserve">545 </w:t>
            </w:r>
            <w:r w:rsidRPr="00A847B7">
              <w:rPr>
                <w:rFonts w:cstheme="minorHAnsi"/>
              </w:rPr>
              <w:t>€</w:t>
            </w:r>
          </w:p>
        </w:tc>
        <w:tc>
          <w:tcPr>
            <w:tcW w:w="3959" w:type="dxa"/>
            <w:shd w:val="clear" w:color="auto" w:fill="auto"/>
          </w:tcPr>
          <w:p w14:paraId="4F0E007D" w14:textId="77777777" w:rsidR="00237A5A" w:rsidRPr="00A847B7" w:rsidRDefault="00237A5A" w:rsidP="001D01C2">
            <w:pPr>
              <w:spacing w:beforeAutospacing="1" w:after="100" w:afterAutospacing="1"/>
              <w:jc w:val="center"/>
              <w:rPr>
                <w:rFonts w:cstheme="minorHAnsi"/>
              </w:rPr>
            </w:pPr>
            <w:r w:rsidRPr="00A847B7">
              <w:rPr>
                <w:rFonts w:cstheme="minorHAnsi"/>
              </w:rPr>
              <w:t>33 %</w:t>
            </w:r>
          </w:p>
        </w:tc>
      </w:tr>
      <w:tr w:rsidR="00237A5A" w:rsidRPr="00A847B7" w14:paraId="591E3768" w14:textId="77777777" w:rsidTr="004E00F3">
        <w:tc>
          <w:tcPr>
            <w:tcW w:w="5103" w:type="dxa"/>
            <w:shd w:val="clear" w:color="auto" w:fill="auto"/>
          </w:tcPr>
          <w:p w14:paraId="109CBF0B" w14:textId="2C72B47B" w:rsidR="00237A5A" w:rsidRPr="00A847B7" w:rsidRDefault="00237A5A" w:rsidP="001D01C2">
            <w:pPr>
              <w:spacing w:beforeAutospacing="1" w:after="100" w:afterAutospacing="1"/>
              <w:jc w:val="center"/>
              <w:rPr>
                <w:rFonts w:cstheme="minorHAnsi"/>
              </w:rPr>
            </w:pPr>
            <w:r w:rsidRPr="00A847B7">
              <w:rPr>
                <w:rFonts w:cstheme="minorHAnsi"/>
              </w:rPr>
              <w:t>Supérieure ou égale à 22 </w:t>
            </w:r>
            <w:r w:rsidR="00AF6777" w:rsidRPr="00A847B7">
              <w:rPr>
                <w:rFonts w:cstheme="minorHAnsi"/>
              </w:rPr>
              <w:t>545</w:t>
            </w:r>
            <w:r w:rsidRPr="00A847B7">
              <w:rPr>
                <w:rFonts w:cstheme="minorHAnsi"/>
              </w:rPr>
              <w:t xml:space="preserve">et inférieure à 48 </w:t>
            </w:r>
            <w:r w:rsidR="00D86471" w:rsidRPr="00A847B7">
              <w:rPr>
                <w:rFonts w:cstheme="minorHAnsi"/>
              </w:rPr>
              <w:t xml:space="preserve">292 </w:t>
            </w:r>
            <w:r w:rsidRPr="00A847B7">
              <w:rPr>
                <w:rFonts w:cstheme="minorHAnsi"/>
              </w:rPr>
              <w:t>€</w:t>
            </w:r>
          </w:p>
        </w:tc>
        <w:tc>
          <w:tcPr>
            <w:tcW w:w="3959" w:type="dxa"/>
            <w:shd w:val="clear" w:color="auto" w:fill="auto"/>
          </w:tcPr>
          <w:p w14:paraId="6859D3C6" w14:textId="77777777" w:rsidR="00237A5A" w:rsidRPr="00A847B7" w:rsidRDefault="00237A5A" w:rsidP="001D01C2">
            <w:pPr>
              <w:spacing w:beforeAutospacing="1" w:after="100" w:afterAutospacing="1"/>
              <w:jc w:val="center"/>
              <w:rPr>
                <w:rFonts w:cstheme="minorHAnsi"/>
              </w:rPr>
            </w:pPr>
            <w:r w:rsidRPr="00A847B7">
              <w:rPr>
                <w:rFonts w:cstheme="minorHAnsi"/>
              </w:rPr>
              <w:t>38 %</w:t>
            </w:r>
          </w:p>
        </w:tc>
      </w:tr>
      <w:tr w:rsidR="00237A5A" w:rsidRPr="00A847B7" w14:paraId="1D718051" w14:textId="77777777" w:rsidTr="004E00F3">
        <w:tc>
          <w:tcPr>
            <w:tcW w:w="5103" w:type="dxa"/>
            <w:shd w:val="clear" w:color="auto" w:fill="auto"/>
          </w:tcPr>
          <w:p w14:paraId="774080DF" w14:textId="4782AB2C" w:rsidR="00237A5A" w:rsidRPr="00A847B7" w:rsidRDefault="00237A5A" w:rsidP="001D01C2">
            <w:pPr>
              <w:spacing w:beforeAutospacing="1" w:after="100" w:afterAutospacing="1"/>
              <w:jc w:val="center"/>
              <w:rPr>
                <w:rFonts w:cstheme="minorHAnsi"/>
              </w:rPr>
            </w:pPr>
            <w:r w:rsidRPr="00A847B7">
              <w:rPr>
                <w:rFonts w:cstheme="minorHAnsi"/>
              </w:rPr>
              <w:t xml:space="preserve">≥ à 48 </w:t>
            </w:r>
            <w:r w:rsidR="00D86471" w:rsidRPr="00A847B7">
              <w:rPr>
                <w:rFonts w:cstheme="minorHAnsi"/>
              </w:rPr>
              <w:t xml:space="preserve">292 </w:t>
            </w:r>
            <w:r w:rsidRPr="00A847B7">
              <w:rPr>
                <w:rFonts w:cstheme="minorHAnsi"/>
              </w:rPr>
              <w:t>€</w:t>
            </w:r>
          </w:p>
        </w:tc>
        <w:tc>
          <w:tcPr>
            <w:tcW w:w="3959" w:type="dxa"/>
            <w:shd w:val="clear" w:color="auto" w:fill="auto"/>
          </w:tcPr>
          <w:p w14:paraId="009CE107" w14:textId="77777777" w:rsidR="00237A5A" w:rsidRPr="00A847B7" w:rsidRDefault="00237A5A" w:rsidP="001D01C2">
            <w:pPr>
              <w:spacing w:beforeAutospacing="1" w:after="100" w:afterAutospacing="1"/>
              <w:jc w:val="center"/>
              <w:rPr>
                <w:rFonts w:cstheme="minorHAnsi"/>
              </w:rPr>
            </w:pPr>
            <w:r w:rsidRPr="00A847B7">
              <w:rPr>
                <w:rFonts w:cstheme="minorHAnsi"/>
              </w:rPr>
              <w:t>43 %</w:t>
            </w:r>
          </w:p>
        </w:tc>
      </w:tr>
    </w:tbl>
    <w:p w14:paraId="1111A57E" w14:textId="2413D2F1" w:rsidR="00237A5A" w:rsidRPr="00A847B7" w:rsidRDefault="00890518" w:rsidP="00EE0687">
      <w:pPr>
        <w:pStyle w:val="Paragraphedeliste"/>
        <w:numPr>
          <w:ilvl w:val="0"/>
          <w:numId w:val="8"/>
        </w:numPr>
        <w:spacing w:beforeAutospacing="1" w:after="100" w:afterAutospacing="1"/>
        <w:rPr>
          <w:rFonts w:cstheme="minorHAnsi"/>
        </w:rPr>
      </w:pPr>
      <w:r>
        <w:rPr>
          <w:rFonts w:cstheme="minorHAnsi"/>
        </w:rPr>
        <w:t>T</w:t>
      </w:r>
      <w:r w:rsidR="00237A5A" w:rsidRPr="00A847B7">
        <w:rPr>
          <w:rFonts w:cstheme="minorHAnsi"/>
        </w:rPr>
        <w:t>aux applicables en Guadeloupe, en Martinique et à la Réunion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959"/>
      </w:tblGrid>
      <w:tr w:rsidR="00237A5A" w:rsidRPr="00A847B7" w14:paraId="6177F5C1" w14:textId="77777777" w:rsidTr="00F77061">
        <w:tc>
          <w:tcPr>
            <w:tcW w:w="5103" w:type="dxa"/>
            <w:shd w:val="clear" w:color="auto" w:fill="297FD5" w:themeFill="accent3"/>
          </w:tcPr>
          <w:p w14:paraId="6D0699C4" w14:textId="77777777" w:rsidR="00237A5A" w:rsidRPr="00A847B7" w:rsidRDefault="00237A5A" w:rsidP="001D01C2">
            <w:pPr>
              <w:jc w:val="center"/>
              <w:rPr>
                <w:b/>
                <w:bCs/>
                <w:color w:val="FFFFFF" w:themeColor="background1"/>
                <w:sz w:val="24"/>
                <w:szCs w:val="24"/>
              </w:rPr>
            </w:pPr>
            <w:r w:rsidRPr="00A847B7">
              <w:rPr>
                <w:b/>
                <w:bCs/>
                <w:color w:val="FFFFFF" w:themeColor="background1"/>
                <w:sz w:val="24"/>
                <w:szCs w:val="24"/>
              </w:rPr>
              <w:t>Base mensuelle de prélèvement</w:t>
            </w:r>
          </w:p>
        </w:tc>
        <w:tc>
          <w:tcPr>
            <w:tcW w:w="3959" w:type="dxa"/>
            <w:shd w:val="clear" w:color="auto" w:fill="297FD5" w:themeFill="accent3"/>
          </w:tcPr>
          <w:p w14:paraId="3145E53C" w14:textId="77777777" w:rsidR="00237A5A" w:rsidRPr="00A847B7" w:rsidRDefault="00237A5A" w:rsidP="001D01C2">
            <w:pPr>
              <w:jc w:val="center"/>
              <w:rPr>
                <w:b/>
                <w:bCs/>
                <w:color w:val="FFFFFF" w:themeColor="background1"/>
                <w:sz w:val="24"/>
                <w:szCs w:val="24"/>
              </w:rPr>
            </w:pPr>
            <w:r w:rsidRPr="00A847B7">
              <w:rPr>
                <w:b/>
                <w:bCs/>
                <w:color w:val="FFFFFF" w:themeColor="background1"/>
                <w:sz w:val="24"/>
                <w:szCs w:val="24"/>
              </w:rPr>
              <w:t>Taux de prélèvement</w:t>
            </w:r>
          </w:p>
        </w:tc>
      </w:tr>
      <w:tr w:rsidR="00237A5A" w:rsidRPr="00A847B7" w14:paraId="077ECBB1" w14:textId="77777777" w:rsidTr="00F77061">
        <w:tc>
          <w:tcPr>
            <w:tcW w:w="5103" w:type="dxa"/>
            <w:shd w:val="clear" w:color="auto" w:fill="auto"/>
          </w:tcPr>
          <w:p w14:paraId="521BC77A" w14:textId="7AEDA4AD" w:rsidR="00237A5A" w:rsidRPr="00A847B7" w:rsidRDefault="00237A5A" w:rsidP="001D01C2">
            <w:pPr>
              <w:spacing w:beforeAutospacing="1" w:after="100" w:afterAutospacing="1"/>
              <w:jc w:val="center"/>
              <w:rPr>
                <w:rFonts w:cstheme="minorHAnsi"/>
              </w:rPr>
            </w:pPr>
            <w:r w:rsidRPr="00A847B7">
              <w:rPr>
                <w:rFonts w:cstheme="minorHAnsi"/>
              </w:rPr>
              <w:t xml:space="preserve">&lt; à 1 </w:t>
            </w:r>
            <w:r w:rsidR="008D0145" w:rsidRPr="00A847B7">
              <w:rPr>
                <w:rFonts w:cstheme="minorHAnsi"/>
              </w:rPr>
              <w:t xml:space="preserve">629 </w:t>
            </w:r>
            <w:r w:rsidRPr="00A847B7">
              <w:rPr>
                <w:rFonts w:cstheme="minorHAnsi"/>
              </w:rPr>
              <w:t>€</w:t>
            </w:r>
          </w:p>
        </w:tc>
        <w:tc>
          <w:tcPr>
            <w:tcW w:w="3959" w:type="dxa"/>
            <w:shd w:val="clear" w:color="auto" w:fill="auto"/>
          </w:tcPr>
          <w:p w14:paraId="0EC06F69" w14:textId="77777777" w:rsidR="00237A5A" w:rsidRPr="00A847B7" w:rsidRDefault="00237A5A" w:rsidP="001D01C2">
            <w:pPr>
              <w:spacing w:beforeAutospacing="1" w:after="100" w:afterAutospacing="1"/>
              <w:jc w:val="center"/>
              <w:rPr>
                <w:rFonts w:cstheme="minorHAnsi"/>
              </w:rPr>
            </w:pPr>
            <w:r w:rsidRPr="00A847B7">
              <w:rPr>
                <w:rFonts w:cstheme="minorHAnsi"/>
              </w:rPr>
              <w:t>0 %</w:t>
            </w:r>
          </w:p>
        </w:tc>
      </w:tr>
      <w:tr w:rsidR="00237A5A" w:rsidRPr="00A847B7" w14:paraId="6FD2293D" w14:textId="77777777" w:rsidTr="00F77061">
        <w:tc>
          <w:tcPr>
            <w:tcW w:w="5103" w:type="dxa"/>
            <w:shd w:val="clear" w:color="auto" w:fill="auto"/>
          </w:tcPr>
          <w:p w14:paraId="2658EFC9" w14:textId="1197A6A5" w:rsidR="00237A5A" w:rsidRPr="00A847B7" w:rsidRDefault="00237A5A" w:rsidP="001D01C2">
            <w:pPr>
              <w:spacing w:beforeAutospacing="1" w:after="100" w:afterAutospacing="1"/>
              <w:jc w:val="center"/>
              <w:rPr>
                <w:rFonts w:cstheme="minorHAnsi"/>
              </w:rPr>
            </w:pPr>
            <w:r w:rsidRPr="00A847B7">
              <w:rPr>
                <w:rFonts w:cstheme="minorHAnsi"/>
              </w:rPr>
              <w:t>Supérieure ou égale à 1 62</w:t>
            </w:r>
            <w:r w:rsidR="003E2846" w:rsidRPr="00A847B7">
              <w:rPr>
                <w:rFonts w:cstheme="minorHAnsi"/>
              </w:rPr>
              <w:t>9</w:t>
            </w:r>
            <w:r w:rsidRPr="00A847B7">
              <w:rPr>
                <w:rFonts w:cstheme="minorHAnsi"/>
              </w:rPr>
              <w:t xml:space="preserve"> et inférieure à 1 </w:t>
            </w:r>
            <w:r w:rsidR="003E2846" w:rsidRPr="00A847B7">
              <w:rPr>
                <w:rFonts w:cstheme="minorHAnsi"/>
              </w:rPr>
              <w:t xml:space="preserve">728 </w:t>
            </w:r>
            <w:r w:rsidRPr="00A847B7">
              <w:rPr>
                <w:rFonts w:cstheme="minorHAnsi"/>
              </w:rPr>
              <w:t>€</w:t>
            </w:r>
          </w:p>
        </w:tc>
        <w:tc>
          <w:tcPr>
            <w:tcW w:w="3959" w:type="dxa"/>
            <w:shd w:val="clear" w:color="auto" w:fill="auto"/>
          </w:tcPr>
          <w:p w14:paraId="3CF3CB7C" w14:textId="77777777" w:rsidR="00237A5A" w:rsidRPr="00A847B7" w:rsidRDefault="00237A5A" w:rsidP="001D01C2">
            <w:pPr>
              <w:spacing w:beforeAutospacing="1" w:after="100" w:afterAutospacing="1"/>
              <w:jc w:val="center"/>
              <w:rPr>
                <w:rFonts w:cstheme="minorHAnsi"/>
              </w:rPr>
            </w:pPr>
            <w:r w:rsidRPr="00A847B7">
              <w:rPr>
                <w:rFonts w:cstheme="minorHAnsi"/>
              </w:rPr>
              <w:t>0,5 %</w:t>
            </w:r>
          </w:p>
        </w:tc>
      </w:tr>
      <w:tr w:rsidR="00237A5A" w:rsidRPr="00A847B7" w14:paraId="62BF0C89" w14:textId="77777777" w:rsidTr="00F77061">
        <w:tc>
          <w:tcPr>
            <w:tcW w:w="5103" w:type="dxa"/>
            <w:shd w:val="clear" w:color="auto" w:fill="auto"/>
          </w:tcPr>
          <w:p w14:paraId="6C84F727" w14:textId="2831CAA3" w:rsidR="00237A5A" w:rsidRPr="00A847B7" w:rsidRDefault="00237A5A" w:rsidP="001D01C2">
            <w:pPr>
              <w:spacing w:beforeAutospacing="1" w:after="100" w:afterAutospacing="1"/>
              <w:jc w:val="center"/>
              <w:rPr>
                <w:rFonts w:cstheme="minorHAnsi"/>
              </w:rPr>
            </w:pPr>
            <w:r w:rsidRPr="00A847B7">
              <w:rPr>
                <w:rFonts w:cstheme="minorHAnsi"/>
              </w:rPr>
              <w:t>Supérieure ou égale à 1 72</w:t>
            </w:r>
            <w:r w:rsidR="00E53EDF" w:rsidRPr="00A847B7">
              <w:rPr>
                <w:rFonts w:cstheme="minorHAnsi"/>
              </w:rPr>
              <w:t>8</w:t>
            </w:r>
            <w:r w:rsidRPr="00A847B7">
              <w:rPr>
                <w:rFonts w:cstheme="minorHAnsi"/>
              </w:rPr>
              <w:t xml:space="preserve"> et inférieure à 1 90</w:t>
            </w:r>
            <w:r w:rsidR="00E53EDF" w:rsidRPr="00A847B7">
              <w:rPr>
                <w:rFonts w:cstheme="minorHAnsi"/>
              </w:rPr>
              <w:t>4</w:t>
            </w:r>
            <w:r w:rsidRPr="00A847B7">
              <w:rPr>
                <w:rFonts w:cstheme="minorHAnsi"/>
              </w:rPr>
              <w:t xml:space="preserve"> €</w:t>
            </w:r>
          </w:p>
        </w:tc>
        <w:tc>
          <w:tcPr>
            <w:tcW w:w="3959" w:type="dxa"/>
            <w:shd w:val="clear" w:color="auto" w:fill="auto"/>
          </w:tcPr>
          <w:p w14:paraId="440A85E2" w14:textId="77777777" w:rsidR="00237A5A" w:rsidRPr="00A847B7" w:rsidRDefault="00237A5A" w:rsidP="001D01C2">
            <w:pPr>
              <w:spacing w:beforeAutospacing="1" w:after="100" w:afterAutospacing="1"/>
              <w:jc w:val="center"/>
              <w:rPr>
                <w:rFonts w:cstheme="minorHAnsi"/>
              </w:rPr>
            </w:pPr>
            <w:r w:rsidRPr="00A847B7">
              <w:rPr>
                <w:rFonts w:cstheme="minorHAnsi"/>
              </w:rPr>
              <w:t>1,3 %</w:t>
            </w:r>
          </w:p>
        </w:tc>
      </w:tr>
      <w:tr w:rsidR="00237A5A" w:rsidRPr="00A847B7" w14:paraId="4BD6BA0A" w14:textId="77777777" w:rsidTr="00F77061">
        <w:tc>
          <w:tcPr>
            <w:tcW w:w="5103" w:type="dxa"/>
            <w:shd w:val="clear" w:color="auto" w:fill="auto"/>
          </w:tcPr>
          <w:p w14:paraId="5650D104" w14:textId="3A3A4916" w:rsidR="00237A5A" w:rsidRPr="00A847B7" w:rsidRDefault="00237A5A" w:rsidP="001D01C2">
            <w:pPr>
              <w:spacing w:beforeAutospacing="1" w:after="100" w:afterAutospacing="1"/>
              <w:jc w:val="center"/>
              <w:rPr>
                <w:rFonts w:cstheme="minorHAnsi"/>
              </w:rPr>
            </w:pPr>
            <w:r w:rsidRPr="00A847B7">
              <w:rPr>
                <w:rFonts w:cstheme="minorHAnsi"/>
              </w:rPr>
              <w:t>Supérieure ou égale à 1 </w:t>
            </w:r>
            <w:r w:rsidR="00E53EDF" w:rsidRPr="00A847B7">
              <w:rPr>
                <w:rFonts w:cstheme="minorHAnsi"/>
              </w:rPr>
              <w:t xml:space="preserve">904 </w:t>
            </w:r>
            <w:r w:rsidRPr="00A847B7">
              <w:rPr>
                <w:rFonts w:cstheme="minorHAnsi"/>
              </w:rPr>
              <w:t xml:space="preserve">et inférieure à 2 </w:t>
            </w:r>
            <w:r w:rsidR="00E53EDF" w:rsidRPr="00A847B7">
              <w:rPr>
                <w:rFonts w:cstheme="minorHAnsi"/>
              </w:rPr>
              <w:t xml:space="preserve">079 </w:t>
            </w:r>
            <w:r w:rsidRPr="00A847B7">
              <w:rPr>
                <w:rFonts w:cstheme="minorHAnsi"/>
              </w:rPr>
              <w:t>€</w:t>
            </w:r>
          </w:p>
        </w:tc>
        <w:tc>
          <w:tcPr>
            <w:tcW w:w="3959" w:type="dxa"/>
            <w:shd w:val="clear" w:color="auto" w:fill="auto"/>
          </w:tcPr>
          <w:p w14:paraId="756F59D8" w14:textId="77777777" w:rsidR="00237A5A" w:rsidRPr="00A847B7" w:rsidRDefault="00237A5A" w:rsidP="001D01C2">
            <w:pPr>
              <w:spacing w:beforeAutospacing="1" w:after="100" w:afterAutospacing="1"/>
              <w:jc w:val="center"/>
              <w:rPr>
                <w:rFonts w:cstheme="minorHAnsi"/>
              </w:rPr>
            </w:pPr>
            <w:r w:rsidRPr="00A847B7">
              <w:rPr>
                <w:rFonts w:cstheme="minorHAnsi"/>
              </w:rPr>
              <w:t>2,1 %</w:t>
            </w:r>
          </w:p>
        </w:tc>
      </w:tr>
      <w:tr w:rsidR="00237A5A" w:rsidRPr="00A847B7" w14:paraId="4CD7BF32" w14:textId="77777777" w:rsidTr="00F77061">
        <w:tc>
          <w:tcPr>
            <w:tcW w:w="5103" w:type="dxa"/>
            <w:shd w:val="clear" w:color="auto" w:fill="auto"/>
          </w:tcPr>
          <w:p w14:paraId="07ABF42B" w14:textId="0D1674B5" w:rsidR="00237A5A" w:rsidRPr="00A847B7" w:rsidRDefault="00237A5A" w:rsidP="001D01C2">
            <w:pPr>
              <w:spacing w:beforeAutospacing="1" w:after="100" w:afterAutospacing="1"/>
              <w:jc w:val="center"/>
              <w:rPr>
                <w:rFonts w:cstheme="minorHAnsi"/>
              </w:rPr>
            </w:pPr>
            <w:r w:rsidRPr="00A847B7">
              <w:rPr>
                <w:rFonts w:cstheme="minorHAnsi"/>
              </w:rPr>
              <w:t xml:space="preserve">Supérieure ou égale à 2 </w:t>
            </w:r>
            <w:r w:rsidR="00E53EDF" w:rsidRPr="00A847B7">
              <w:rPr>
                <w:rFonts w:cstheme="minorHAnsi"/>
              </w:rPr>
              <w:t xml:space="preserve">079 </w:t>
            </w:r>
            <w:r w:rsidRPr="00A847B7">
              <w:rPr>
                <w:rFonts w:cstheme="minorHAnsi"/>
              </w:rPr>
              <w:t xml:space="preserve">et inférieure à 2 </w:t>
            </w:r>
            <w:r w:rsidR="00E53EDF" w:rsidRPr="00A847B7">
              <w:rPr>
                <w:rFonts w:cstheme="minorHAnsi"/>
              </w:rPr>
              <w:t xml:space="preserve">296 </w:t>
            </w:r>
            <w:r w:rsidRPr="00A847B7">
              <w:rPr>
                <w:rFonts w:cstheme="minorHAnsi"/>
              </w:rPr>
              <w:t>€</w:t>
            </w:r>
          </w:p>
        </w:tc>
        <w:tc>
          <w:tcPr>
            <w:tcW w:w="3959" w:type="dxa"/>
            <w:shd w:val="clear" w:color="auto" w:fill="auto"/>
          </w:tcPr>
          <w:p w14:paraId="6AC2C3A0" w14:textId="77777777" w:rsidR="00237A5A" w:rsidRPr="00A847B7" w:rsidRDefault="00237A5A" w:rsidP="001D01C2">
            <w:pPr>
              <w:spacing w:beforeAutospacing="1" w:after="100" w:afterAutospacing="1"/>
              <w:jc w:val="center"/>
              <w:rPr>
                <w:rFonts w:cstheme="minorHAnsi"/>
              </w:rPr>
            </w:pPr>
            <w:r w:rsidRPr="00A847B7">
              <w:rPr>
                <w:rFonts w:cstheme="minorHAnsi"/>
              </w:rPr>
              <w:t>2,9 %</w:t>
            </w:r>
          </w:p>
        </w:tc>
      </w:tr>
      <w:tr w:rsidR="00237A5A" w:rsidRPr="00A847B7" w14:paraId="4C06212C" w14:textId="77777777" w:rsidTr="00F77061">
        <w:tc>
          <w:tcPr>
            <w:tcW w:w="5103" w:type="dxa"/>
            <w:shd w:val="clear" w:color="auto" w:fill="auto"/>
          </w:tcPr>
          <w:p w14:paraId="0BCEB47D" w14:textId="4A6909FB" w:rsidR="00237A5A" w:rsidRPr="00A847B7" w:rsidRDefault="00237A5A" w:rsidP="001D01C2">
            <w:pPr>
              <w:spacing w:beforeAutospacing="1" w:after="100" w:afterAutospacing="1"/>
              <w:jc w:val="center"/>
              <w:rPr>
                <w:rFonts w:cstheme="minorHAnsi"/>
              </w:rPr>
            </w:pPr>
            <w:r w:rsidRPr="00A847B7">
              <w:rPr>
                <w:rFonts w:cstheme="minorHAnsi"/>
              </w:rPr>
              <w:t xml:space="preserve">Supérieure ou égale à 2 </w:t>
            </w:r>
            <w:r w:rsidR="00E53EDF" w:rsidRPr="00A847B7">
              <w:rPr>
                <w:rFonts w:cstheme="minorHAnsi"/>
              </w:rPr>
              <w:t xml:space="preserve">296 </w:t>
            </w:r>
            <w:r w:rsidRPr="00A847B7">
              <w:rPr>
                <w:rFonts w:cstheme="minorHAnsi"/>
              </w:rPr>
              <w:t xml:space="preserve">et inférieure à 2 </w:t>
            </w:r>
            <w:r w:rsidR="00E53EDF" w:rsidRPr="00A847B7">
              <w:rPr>
                <w:rFonts w:cstheme="minorHAnsi"/>
              </w:rPr>
              <w:t xml:space="preserve">421 </w:t>
            </w:r>
            <w:r w:rsidRPr="00A847B7">
              <w:rPr>
                <w:rFonts w:cstheme="minorHAnsi"/>
              </w:rPr>
              <w:t>€</w:t>
            </w:r>
          </w:p>
        </w:tc>
        <w:tc>
          <w:tcPr>
            <w:tcW w:w="3959" w:type="dxa"/>
            <w:shd w:val="clear" w:color="auto" w:fill="auto"/>
          </w:tcPr>
          <w:p w14:paraId="13EED24A" w14:textId="77777777" w:rsidR="00237A5A" w:rsidRPr="00A847B7" w:rsidRDefault="00237A5A" w:rsidP="001D01C2">
            <w:pPr>
              <w:spacing w:beforeAutospacing="1" w:after="100" w:afterAutospacing="1"/>
              <w:jc w:val="center"/>
              <w:rPr>
                <w:rFonts w:cstheme="minorHAnsi"/>
              </w:rPr>
            </w:pPr>
            <w:r w:rsidRPr="00A847B7">
              <w:rPr>
                <w:rFonts w:cstheme="minorHAnsi"/>
              </w:rPr>
              <w:t>3,5 %</w:t>
            </w:r>
          </w:p>
        </w:tc>
      </w:tr>
      <w:tr w:rsidR="00237A5A" w:rsidRPr="00A847B7" w14:paraId="5E011412" w14:textId="77777777" w:rsidTr="00F77061">
        <w:tc>
          <w:tcPr>
            <w:tcW w:w="5103" w:type="dxa"/>
            <w:shd w:val="clear" w:color="auto" w:fill="auto"/>
          </w:tcPr>
          <w:p w14:paraId="223368FB" w14:textId="2AD370B7" w:rsidR="00237A5A" w:rsidRPr="00A847B7" w:rsidRDefault="00237A5A" w:rsidP="001D01C2">
            <w:pPr>
              <w:spacing w:beforeAutospacing="1" w:after="100" w:afterAutospacing="1"/>
              <w:jc w:val="center"/>
              <w:rPr>
                <w:rFonts w:cstheme="minorHAnsi"/>
              </w:rPr>
            </w:pPr>
            <w:r w:rsidRPr="00A847B7">
              <w:rPr>
                <w:rFonts w:cstheme="minorHAnsi"/>
              </w:rPr>
              <w:t xml:space="preserve">Supérieure ou égale à 2 </w:t>
            </w:r>
            <w:r w:rsidR="00E53EDF" w:rsidRPr="00A847B7">
              <w:rPr>
                <w:rFonts w:cstheme="minorHAnsi"/>
              </w:rPr>
              <w:t xml:space="preserve">421 </w:t>
            </w:r>
            <w:r w:rsidRPr="00A847B7">
              <w:rPr>
                <w:rFonts w:cstheme="minorHAnsi"/>
              </w:rPr>
              <w:t xml:space="preserve">et inférieure à 2 </w:t>
            </w:r>
            <w:r w:rsidR="00E53EDF" w:rsidRPr="00A847B7">
              <w:rPr>
                <w:rFonts w:cstheme="minorHAnsi"/>
              </w:rPr>
              <w:t xml:space="preserve">505 </w:t>
            </w:r>
            <w:r w:rsidRPr="00A847B7">
              <w:rPr>
                <w:rFonts w:cstheme="minorHAnsi"/>
              </w:rPr>
              <w:t>€</w:t>
            </w:r>
          </w:p>
        </w:tc>
        <w:tc>
          <w:tcPr>
            <w:tcW w:w="3959" w:type="dxa"/>
            <w:shd w:val="clear" w:color="auto" w:fill="auto"/>
          </w:tcPr>
          <w:p w14:paraId="294F306A" w14:textId="77777777" w:rsidR="00237A5A" w:rsidRPr="00A847B7" w:rsidRDefault="00237A5A" w:rsidP="001D01C2">
            <w:pPr>
              <w:spacing w:beforeAutospacing="1" w:after="100" w:afterAutospacing="1"/>
              <w:jc w:val="center"/>
              <w:rPr>
                <w:rFonts w:cstheme="minorHAnsi"/>
              </w:rPr>
            </w:pPr>
            <w:r w:rsidRPr="00A847B7">
              <w:rPr>
                <w:rFonts w:cstheme="minorHAnsi"/>
              </w:rPr>
              <w:t>4,1 %</w:t>
            </w:r>
          </w:p>
        </w:tc>
      </w:tr>
      <w:tr w:rsidR="00237A5A" w:rsidRPr="00A847B7" w14:paraId="239E1FA5" w14:textId="77777777" w:rsidTr="00F77061">
        <w:tc>
          <w:tcPr>
            <w:tcW w:w="5103" w:type="dxa"/>
            <w:shd w:val="clear" w:color="auto" w:fill="auto"/>
          </w:tcPr>
          <w:p w14:paraId="6A6BCDE7" w14:textId="12856C85" w:rsidR="00237A5A" w:rsidRPr="00A847B7" w:rsidRDefault="00237A5A" w:rsidP="001D01C2">
            <w:pPr>
              <w:spacing w:beforeAutospacing="1" w:after="100" w:afterAutospacing="1"/>
              <w:jc w:val="center"/>
              <w:rPr>
                <w:rFonts w:cstheme="minorHAnsi"/>
              </w:rPr>
            </w:pPr>
            <w:r w:rsidRPr="00A847B7">
              <w:rPr>
                <w:rFonts w:cstheme="minorHAnsi"/>
              </w:rPr>
              <w:t xml:space="preserve">Supérieure ou égale à 2 </w:t>
            </w:r>
            <w:r w:rsidR="00E53EDF" w:rsidRPr="00A847B7">
              <w:rPr>
                <w:rFonts w:cstheme="minorHAnsi"/>
              </w:rPr>
              <w:t xml:space="preserve">505 </w:t>
            </w:r>
            <w:r w:rsidRPr="00A847B7">
              <w:rPr>
                <w:rFonts w:cstheme="minorHAnsi"/>
              </w:rPr>
              <w:t xml:space="preserve">et inférieure à 2 </w:t>
            </w:r>
            <w:r w:rsidR="00E53EDF" w:rsidRPr="00A847B7">
              <w:rPr>
                <w:rFonts w:cstheme="minorHAnsi"/>
              </w:rPr>
              <w:t xml:space="preserve">755 </w:t>
            </w:r>
            <w:r w:rsidRPr="00A847B7">
              <w:rPr>
                <w:rFonts w:cstheme="minorHAnsi"/>
              </w:rPr>
              <w:t>€</w:t>
            </w:r>
          </w:p>
        </w:tc>
        <w:tc>
          <w:tcPr>
            <w:tcW w:w="3959" w:type="dxa"/>
            <w:shd w:val="clear" w:color="auto" w:fill="auto"/>
          </w:tcPr>
          <w:p w14:paraId="44C70F2E" w14:textId="77777777" w:rsidR="00237A5A" w:rsidRPr="00A847B7" w:rsidRDefault="00237A5A" w:rsidP="001D01C2">
            <w:pPr>
              <w:spacing w:beforeAutospacing="1" w:after="100" w:afterAutospacing="1"/>
              <w:jc w:val="center"/>
              <w:rPr>
                <w:rFonts w:cstheme="minorHAnsi"/>
              </w:rPr>
            </w:pPr>
            <w:r w:rsidRPr="00A847B7">
              <w:rPr>
                <w:rFonts w:cstheme="minorHAnsi"/>
              </w:rPr>
              <w:t>5,3 %</w:t>
            </w:r>
          </w:p>
        </w:tc>
      </w:tr>
      <w:tr w:rsidR="00237A5A" w:rsidRPr="00A847B7" w14:paraId="7DF27AE4" w14:textId="77777777" w:rsidTr="00F77061">
        <w:tc>
          <w:tcPr>
            <w:tcW w:w="5103" w:type="dxa"/>
            <w:shd w:val="clear" w:color="auto" w:fill="auto"/>
          </w:tcPr>
          <w:p w14:paraId="0430BECF" w14:textId="6FE1E9F7" w:rsidR="00237A5A" w:rsidRPr="00A847B7" w:rsidRDefault="00237A5A" w:rsidP="001D01C2">
            <w:pPr>
              <w:spacing w:beforeAutospacing="1" w:after="100" w:afterAutospacing="1"/>
              <w:jc w:val="center"/>
              <w:rPr>
                <w:rFonts w:cstheme="minorHAnsi"/>
              </w:rPr>
            </w:pPr>
            <w:r w:rsidRPr="00A847B7">
              <w:rPr>
                <w:rFonts w:cstheme="minorHAnsi"/>
              </w:rPr>
              <w:t xml:space="preserve">Supérieure ou égale à 2 </w:t>
            </w:r>
            <w:r w:rsidR="00E53EDF" w:rsidRPr="00A847B7">
              <w:rPr>
                <w:rFonts w:cstheme="minorHAnsi"/>
              </w:rPr>
              <w:t xml:space="preserve">755 </w:t>
            </w:r>
            <w:r w:rsidRPr="00A847B7">
              <w:rPr>
                <w:rFonts w:cstheme="minorHAnsi"/>
              </w:rPr>
              <w:t xml:space="preserve">et inférieure à 3 </w:t>
            </w:r>
            <w:r w:rsidR="00E53EDF" w:rsidRPr="00A847B7">
              <w:rPr>
                <w:rFonts w:cstheme="minorHAnsi"/>
              </w:rPr>
              <w:t xml:space="preserve">406 </w:t>
            </w:r>
            <w:r w:rsidRPr="00A847B7">
              <w:rPr>
                <w:rFonts w:cstheme="minorHAnsi"/>
              </w:rPr>
              <w:t>€</w:t>
            </w:r>
          </w:p>
        </w:tc>
        <w:tc>
          <w:tcPr>
            <w:tcW w:w="3959" w:type="dxa"/>
            <w:shd w:val="clear" w:color="auto" w:fill="auto"/>
          </w:tcPr>
          <w:p w14:paraId="5D14B1B6" w14:textId="77777777" w:rsidR="00237A5A" w:rsidRPr="00A847B7" w:rsidRDefault="00237A5A" w:rsidP="001D01C2">
            <w:pPr>
              <w:spacing w:beforeAutospacing="1" w:after="100" w:afterAutospacing="1"/>
              <w:jc w:val="center"/>
              <w:rPr>
                <w:rFonts w:cstheme="minorHAnsi"/>
              </w:rPr>
            </w:pPr>
            <w:r w:rsidRPr="00A847B7">
              <w:rPr>
                <w:rFonts w:cstheme="minorHAnsi"/>
              </w:rPr>
              <w:t>7,5 %</w:t>
            </w:r>
          </w:p>
        </w:tc>
      </w:tr>
      <w:tr w:rsidR="00237A5A" w:rsidRPr="00A847B7" w14:paraId="606A0A19" w14:textId="77777777" w:rsidTr="00F77061">
        <w:tc>
          <w:tcPr>
            <w:tcW w:w="5103" w:type="dxa"/>
            <w:shd w:val="clear" w:color="auto" w:fill="auto"/>
          </w:tcPr>
          <w:p w14:paraId="5A616C9F" w14:textId="5D7E153F" w:rsidR="00237A5A" w:rsidRPr="00A847B7" w:rsidRDefault="00237A5A" w:rsidP="001D01C2">
            <w:pPr>
              <w:spacing w:beforeAutospacing="1" w:after="100" w:afterAutospacing="1"/>
              <w:jc w:val="center"/>
              <w:rPr>
                <w:rFonts w:cstheme="minorHAnsi"/>
              </w:rPr>
            </w:pPr>
            <w:r w:rsidRPr="00A847B7">
              <w:rPr>
                <w:rFonts w:cstheme="minorHAnsi"/>
              </w:rPr>
              <w:t xml:space="preserve">Supérieure ou égale à 3 </w:t>
            </w:r>
            <w:r w:rsidR="00E53EDF" w:rsidRPr="00A847B7">
              <w:rPr>
                <w:rFonts w:cstheme="minorHAnsi"/>
              </w:rPr>
              <w:t xml:space="preserve">406 </w:t>
            </w:r>
            <w:r w:rsidRPr="00A847B7">
              <w:rPr>
                <w:rFonts w:cstheme="minorHAnsi"/>
              </w:rPr>
              <w:t xml:space="preserve">et inférieure à 4 </w:t>
            </w:r>
            <w:r w:rsidR="00E53EDF" w:rsidRPr="00A847B7">
              <w:rPr>
                <w:rFonts w:cstheme="minorHAnsi"/>
              </w:rPr>
              <w:t xml:space="preserve">359 </w:t>
            </w:r>
            <w:r w:rsidRPr="00A847B7">
              <w:rPr>
                <w:rFonts w:cstheme="minorHAnsi"/>
              </w:rPr>
              <w:t>€</w:t>
            </w:r>
          </w:p>
        </w:tc>
        <w:tc>
          <w:tcPr>
            <w:tcW w:w="3959" w:type="dxa"/>
            <w:shd w:val="clear" w:color="auto" w:fill="auto"/>
          </w:tcPr>
          <w:p w14:paraId="6690E9E6" w14:textId="77777777" w:rsidR="00237A5A" w:rsidRPr="00A847B7" w:rsidRDefault="00237A5A" w:rsidP="001D01C2">
            <w:pPr>
              <w:spacing w:beforeAutospacing="1" w:after="100" w:afterAutospacing="1"/>
              <w:jc w:val="center"/>
              <w:rPr>
                <w:rFonts w:cstheme="minorHAnsi"/>
              </w:rPr>
            </w:pPr>
            <w:r w:rsidRPr="00A847B7">
              <w:rPr>
                <w:rFonts w:cstheme="minorHAnsi"/>
              </w:rPr>
              <w:t>9,9 %</w:t>
            </w:r>
          </w:p>
        </w:tc>
      </w:tr>
      <w:tr w:rsidR="00237A5A" w:rsidRPr="00A847B7" w14:paraId="356358E7" w14:textId="77777777" w:rsidTr="00F77061">
        <w:tc>
          <w:tcPr>
            <w:tcW w:w="5103" w:type="dxa"/>
            <w:shd w:val="clear" w:color="auto" w:fill="auto"/>
          </w:tcPr>
          <w:p w14:paraId="5F125059" w14:textId="6D4C473E" w:rsidR="00237A5A" w:rsidRPr="00A847B7" w:rsidRDefault="00237A5A" w:rsidP="001D01C2">
            <w:pPr>
              <w:spacing w:beforeAutospacing="1" w:after="100" w:afterAutospacing="1"/>
              <w:jc w:val="center"/>
              <w:rPr>
                <w:rFonts w:cstheme="minorHAnsi"/>
              </w:rPr>
            </w:pPr>
            <w:r w:rsidRPr="00A847B7">
              <w:rPr>
                <w:rFonts w:cstheme="minorHAnsi"/>
              </w:rPr>
              <w:t xml:space="preserve">Supérieure ou égale à 4 </w:t>
            </w:r>
            <w:r w:rsidR="00E53EDF" w:rsidRPr="00A847B7">
              <w:rPr>
                <w:rFonts w:cstheme="minorHAnsi"/>
              </w:rPr>
              <w:t xml:space="preserve">359 </w:t>
            </w:r>
            <w:r w:rsidRPr="00A847B7">
              <w:rPr>
                <w:rFonts w:cstheme="minorHAnsi"/>
              </w:rPr>
              <w:t xml:space="preserve">et inférieure à 4 </w:t>
            </w:r>
            <w:r w:rsidR="00E53EDF" w:rsidRPr="00A847B7">
              <w:rPr>
                <w:rFonts w:cstheme="minorHAnsi"/>
              </w:rPr>
              <w:t xml:space="preserve">952 </w:t>
            </w:r>
            <w:r w:rsidRPr="00A847B7">
              <w:rPr>
                <w:rFonts w:cstheme="minorHAnsi"/>
              </w:rPr>
              <w:t>€</w:t>
            </w:r>
          </w:p>
        </w:tc>
        <w:tc>
          <w:tcPr>
            <w:tcW w:w="3959" w:type="dxa"/>
            <w:shd w:val="clear" w:color="auto" w:fill="auto"/>
          </w:tcPr>
          <w:p w14:paraId="5CA15C6B" w14:textId="77777777" w:rsidR="00237A5A" w:rsidRPr="00A847B7" w:rsidRDefault="00237A5A" w:rsidP="001D01C2">
            <w:pPr>
              <w:spacing w:beforeAutospacing="1" w:after="100" w:afterAutospacing="1"/>
              <w:jc w:val="center"/>
              <w:rPr>
                <w:rFonts w:cstheme="minorHAnsi"/>
              </w:rPr>
            </w:pPr>
            <w:r w:rsidRPr="00A847B7">
              <w:rPr>
                <w:rFonts w:cstheme="minorHAnsi"/>
              </w:rPr>
              <w:t>11,9 %</w:t>
            </w:r>
          </w:p>
        </w:tc>
      </w:tr>
      <w:tr w:rsidR="00237A5A" w:rsidRPr="00A847B7" w14:paraId="1F2890BC" w14:textId="77777777" w:rsidTr="00F77061">
        <w:tc>
          <w:tcPr>
            <w:tcW w:w="5103" w:type="dxa"/>
            <w:shd w:val="clear" w:color="auto" w:fill="auto"/>
          </w:tcPr>
          <w:p w14:paraId="3F565C33" w14:textId="5B2D76A9" w:rsidR="00237A5A" w:rsidRPr="00A847B7" w:rsidRDefault="00237A5A" w:rsidP="001D01C2">
            <w:pPr>
              <w:spacing w:beforeAutospacing="1" w:after="100" w:afterAutospacing="1"/>
              <w:jc w:val="center"/>
              <w:rPr>
                <w:rFonts w:cstheme="minorHAnsi"/>
              </w:rPr>
            </w:pPr>
            <w:r w:rsidRPr="00A847B7">
              <w:rPr>
                <w:rFonts w:cstheme="minorHAnsi"/>
              </w:rPr>
              <w:t xml:space="preserve">Supérieure ou égale à 4 </w:t>
            </w:r>
            <w:r w:rsidR="00E53EDF" w:rsidRPr="00A847B7">
              <w:rPr>
                <w:rFonts w:cstheme="minorHAnsi"/>
              </w:rPr>
              <w:t xml:space="preserve">952 </w:t>
            </w:r>
            <w:r w:rsidRPr="00A847B7">
              <w:rPr>
                <w:rFonts w:cstheme="minorHAnsi"/>
              </w:rPr>
              <w:t xml:space="preserve">et inférieure à 5 </w:t>
            </w:r>
            <w:r w:rsidR="00E53EDF" w:rsidRPr="00A847B7">
              <w:rPr>
                <w:rFonts w:cstheme="minorHAnsi"/>
              </w:rPr>
              <w:t xml:space="preserve">736 </w:t>
            </w:r>
            <w:r w:rsidRPr="00A847B7">
              <w:rPr>
                <w:rFonts w:cstheme="minorHAnsi"/>
              </w:rPr>
              <w:t>€</w:t>
            </w:r>
          </w:p>
        </w:tc>
        <w:tc>
          <w:tcPr>
            <w:tcW w:w="3959" w:type="dxa"/>
            <w:shd w:val="clear" w:color="auto" w:fill="auto"/>
          </w:tcPr>
          <w:p w14:paraId="6F1BF8E6" w14:textId="77777777" w:rsidR="00237A5A" w:rsidRPr="00A847B7" w:rsidRDefault="00237A5A" w:rsidP="001D01C2">
            <w:pPr>
              <w:spacing w:beforeAutospacing="1" w:after="100" w:afterAutospacing="1"/>
              <w:jc w:val="center"/>
              <w:rPr>
                <w:rFonts w:cstheme="minorHAnsi"/>
              </w:rPr>
            </w:pPr>
            <w:r w:rsidRPr="00A847B7">
              <w:rPr>
                <w:rFonts w:cstheme="minorHAnsi"/>
              </w:rPr>
              <w:t>13,8 %</w:t>
            </w:r>
          </w:p>
        </w:tc>
      </w:tr>
      <w:tr w:rsidR="00237A5A" w:rsidRPr="00A847B7" w14:paraId="620DAD2C" w14:textId="77777777" w:rsidTr="00F77061">
        <w:tc>
          <w:tcPr>
            <w:tcW w:w="5103" w:type="dxa"/>
            <w:shd w:val="clear" w:color="auto" w:fill="auto"/>
          </w:tcPr>
          <w:p w14:paraId="72453577" w14:textId="52D97552" w:rsidR="00237A5A" w:rsidRPr="00A847B7" w:rsidRDefault="00237A5A" w:rsidP="001D01C2">
            <w:pPr>
              <w:spacing w:beforeAutospacing="1" w:after="100" w:afterAutospacing="1"/>
              <w:jc w:val="center"/>
              <w:rPr>
                <w:rFonts w:cstheme="minorHAnsi"/>
              </w:rPr>
            </w:pPr>
            <w:r w:rsidRPr="00A847B7">
              <w:rPr>
                <w:rFonts w:cstheme="minorHAnsi"/>
              </w:rPr>
              <w:t xml:space="preserve">Supérieure ou égale à 5 </w:t>
            </w:r>
            <w:r w:rsidR="00E53EDF" w:rsidRPr="00A847B7">
              <w:rPr>
                <w:rFonts w:cstheme="minorHAnsi"/>
              </w:rPr>
              <w:t xml:space="preserve">736 </w:t>
            </w:r>
            <w:r w:rsidRPr="00A847B7">
              <w:rPr>
                <w:rFonts w:cstheme="minorHAnsi"/>
              </w:rPr>
              <w:t xml:space="preserve">et inférieure à 6 </w:t>
            </w:r>
            <w:r w:rsidR="00E53EDF" w:rsidRPr="00A847B7">
              <w:rPr>
                <w:rFonts w:cstheme="minorHAnsi"/>
              </w:rPr>
              <w:t xml:space="preserve">872 </w:t>
            </w:r>
            <w:r w:rsidRPr="00A847B7">
              <w:rPr>
                <w:rFonts w:cstheme="minorHAnsi"/>
              </w:rPr>
              <w:t>€</w:t>
            </w:r>
          </w:p>
        </w:tc>
        <w:tc>
          <w:tcPr>
            <w:tcW w:w="3959" w:type="dxa"/>
            <w:shd w:val="clear" w:color="auto" w:fill="auto"/>
          </w:tcPr>
          <w:p w14:paraId="642106C5" w14:textId="77777777" w:rsidR="00237A5A" w:rsidRPr="00A847B7" w:rsidRDefault="00237A5A" w:rsidP="001D01C2">
            <w:pPr>
              <w:spacing w:beforeAutospacing="1" w:after="100" w:afterAutospacing="1"/>
              <w:jc w:val="center"/>
              <w:rPr>
                <w:rFonts w:cstheme="minorHAnsi"/>
              </w:rPr>
            </w:pPr>
            <w:r w:rsidRPr="00A847B7">
              <w:rPr>
                <w:rFonts w:cstheme="minorHAnsi"/>
              </w:rPr>
              <w:t>15,8 %</w:t>
            </w:r>
          </w:p>
        </w:tc>
      </w:tr>
      <w:tr w:rsidR="00237A5A" w:rsidRPr="00A847B7" w14:paraId="3A07149B" w14:textId="77777777" w:rsidTr="00F77061">
        <w:tc>
          <w:tcPr>
            <w:tcW w:w="5103" w:type="dxa"/>
            <w:shd w:val="clear" w:color="auto" w:fill="auto"/>
          </w:tcPr>
          <w:p w14:paraId="41B9699F" w14:textId="158498E6" w:rsidR="00237A5A" w:rsidRPr="00A847B7" w:rsidRDefault="00237A5A" w:rsidP="001D01C2">
            <w:pPr>
              <w:spacing w:beforeAutospacing="1" w:after="100" w:afterAutospacing="1"/>
              <w:jc w:val="center"/>
              <w:rPr>
                <w:rFonts w:cstheme="minorHAnsi"/>
              </w:rPr>
            </w:pPr>
            <w:r w:rsidRPr="00A847B7">
              <w:rPr>
                <w:rFonts w:cstheme="minorHAnsi"/>
              </w:rPr>
              <w:t xml:space="preserve">Supérieure ou égale à 6 </w:t>
            </w:r>
            <w:r w:rsidR="00E53EDF" w:rsidRPr="00A847B7">
              <w:rPr>
                <w:rFonts w:cstheme="minorHAnsi"/>
              </w:rPr>
              <w:t xml:space="preserve">872 </w:t>
            </w:r>
            <w:r w:rsidRPr="00A847B7">
              <w:rPr>
                <w:rFonts w:cstheme="minorHAnsi"/>
              </w:rPr>
              <w:t xml:space="preserve">et inférieure à 7 </w:t>
            </w:r>
            <w:r w:rsidR="00E53EDF" w:rsidRPr="00A847B7">
              <w:rPr>
                <w:rFonts w:cstheme="minorHAnsi"/>
              </w:rPr>
              <w:t xml:space="preserve">640 </w:t>
            </w:r>
            <w:r w:rsidRPr="00A847B7">
              <w:rPr>
                <w:rFonts w:cstheme="minorHAnsi"/>
              </w:rPr>
              <w:t>€</w:t>
            </w:r>
          </w:p>
        </w:tc>
        <w:tc>
          <w:tcPr>
            <w:tcW w:w="3959" w:type="dxa"/>
            <w:shd w:val="clear" w:color="auto" w:fill="auto"/>
          </w:tcPr>
          <w:p w14:paraId="0115BD2D" w14:textId="77777777" w:rsidR="00237A5A" w:rsidRPr="00A847B7" w:rsidRDefault="00237A5A" w:rsidP="001D01C2">
            <w:pPr>
              <w:spacing w:beforeAutospacing="1" w:after="100" w:afterAutospacing="1"/>
              <w:jc w:val="center"/>
              <w:rPr>
                <w:rFonts w:cstheme="minorHAnsi"/>
              </w:rPr>
            </w:pPr>
            <w:r w:rsidRPr="00A847B7">
              <w:rPr>
                <w:rFonts w:cstheme="minorHAnsi"/>
              </w:rPr>
              <w:t>17,9 %</w:t>
            </w:r>
          </w:p>
        </w:tc>
      </w:tr>
      <w:tr w:rsidR="00237A5A" w:rsidRPr="00A847B7" w14:paraId="7528651A" w14:textId="77777777" w:rsidTr="00F77061">
        <w:tc>
          <w:tcPr>
            <w:tcW w:w="5103" w:type="dxa"/>
            <w:shd w:val="clear" w:color="auto" w:fill="auto"/>
          </w:tcPr>
          <w:p w14:paraId="3CAE4D0F" w14:textId="2F24E1B7" w:rsidR="00237A5A" w:rsidRPr="00A847B7" w:rsidRDefault="00237A5A" w:rsidP="001D01C2">
            <w:pPr>
              <w:spacing w:beforeAutospacing="1" w:after="100" w:afterAutospacing="1"/>
              <w:jc w:val="center"/>
              <w:rPr>
                <w:rFonts w:cstheme="minorHAnsi"/>
              </w:rPr>
            </w:pPr>
            <w:r w:rsidRPr="00A847B7">
              <w:rPr>
                <w:rFonts w:cstheme="minorHAnsi"/>
              </w:rPr>
              <w:t xml:space="preserve">Supérieure ou égale à 7 </w:t>
            </w:r>
            <w:r w:rsidR="00E53EDF" w:rsidRPr="00A847B7">
              <w:rPr>
                <w:rFonts w:cstheme="minorHAnsi"/>
              </w:rPr>
              <w:t xml:space="preserve">640 </w:t>
            </w:r>
            <w:r w:rsidRPr="00A847B7">
              <w:rPr>
                <w:rFonts w:cstheme="minorHAnsi"/>
              </w:rPr>
              <w:t xml:space="preserve">et inférieure à 8 </w:t>
            </w:r>
            <w:r w:rsidR="00C82781" w:rsidRPr="00A847B7">
              <w:rPr>
                <w:rFonts w:cstheme="minorHAnsi"/>
              </w:rPr>
              <w:t xml:space="preserve">684 </w:t>
            </w:r>
            <w:r w:rsidRPr="00A847B7">
              <w:rPr>
                <w:rFonts w:cstheme="minorHAnsi"/>
              </w:rPr>
              <w:t>€</w:t>
            </w:r>
          </w:p>
        </w:tc>
        <w:tc>
          <w:tcPr>
            <w:tcW w:w="3959" w:type="dxa"/>
            <w:shd w:val="clear" w:color="auto" w:fill="auto"/>
          </w:tcPr>
          <w:p w14:paraId="05CF1A16" w14:textId="77777777" w:rsidR="00237A5A" w:rsidRPr="00A847B7" w:rsidRDefault="00237A5A" w:rsidP="001D01C2">
            <w:pPr>
              <w:spacing w:beforeAutospacing="1" w:after="100" w:afterAutospacing="1"/>
              <w:jc w:val="center"/>
              <w:rPr>
                <w:rFonts w:cstheme="minorHAnsi"/>
              </w:rPr>
            </w:pPr>
            <w:r w:rsidRPr="00A847B7">
              <w:rPr>
                <w:rFonts w:cstheme="minorHAnsi"/>
              </w:rPr>
              <w:t>20 %</w:t>
            </w:r>
          </w:p>
        </w:tc>
      </w:tr>
      <w:tr w:rsidR="00237A5A" w:rsidRPr="00A847B7" w14:paraId="3E58615C" w14:textId="77777777" w:rsidTr="00F77061">
        <w:tc>
          <w:tcPr>
            <w:tcW w:w="5103" w:type="dxa"/>
            <w:shd w:val="clear" w:color="auto" w:fill="auto"/>
          </w:tcPr>
          <w:p w14:paraId="29BB8F9B" w14:textId="0D561350" w:rsidR="00237A5A" w:rsidRPr="00A847B7" w:rsidRDefault="00237A5A" w:rsidP="001D01C2">
            <w:pPr>
              <w:spacing w:beforeAutospacing="1" w:after="100" w:afterAutospacing="1"/>
              <w:jc w:val="center"/>
              <w:rPr>
                <w:rFonts w:cstheme="minorHAnsi"/>
              </w:rPr>
            </w:pPr>
            <w:r w:rsidRPr="00A847B7">
              <w:rPr>
                <w:rFonts w:cstheme="minorHAnsi"/>
              </w:rPr>
              <w:t xml:space="preserve">Supérieure ou égale à 8 </w:t>
            </w:r>
            <w:r w:rsidR="00C82781" w:rsidRPr="00A847B7">
              <w:rPr>
                <w:rFonts w:cstheme="minorHAnsi"/>
              </w:rPr>
              <w:t xml:space="preserve">684 </w:t>
            </w:r>
            <w:r w:rsidRPr="00A847B7">
              <w:rPr>
                <w:rFonts w:cstheme="minorHAnsi"/>
              </w:rPr>
              <w:t xml:space="preserve">et inférieure à 11 </w:t>
            </w:r>
            <w:r w:rsidR="00C82781" w:rsidRPr="00A847B7">
              <w:rPr>
                <w:rFonts w:cstheme="minorHAnsi"/>
              </w:rPr>
              <w:t xml:space="preserve">940 </w:t>
            </w:r>
            <w:r w:rsidRPr="00A847B7">
              <w:rPr>
                <w:rFonts w:cstheme="minorHAnsi"/>
              </w:rPr>
              <w:t>€</w:t>
            </w:r>
          </w:p>
        </w:tc>
        <w:tc>
          <w:tcPr>
            <w:tcW w:w="3959" w:type="dxa"/>
            <w:shd w:val="clear" w:color="auto" w:fill="auto"/>
          </w:tcPr>
          <w:p w14:paraId="1B80FC36" w14:textId="77777777" w:rsidR="00237A5A" w:rsidRPr="00A847B7" w:rsidRDefault="00237A5A" w:rsidP="001D01C2">
            <w:pPr>
              <w:spacing w:beforeAutospacing="1" w:after="100" w:afterAutospacing="1"/>
              <w:jc w:val="center"/>
              <w:rPr>
                <w:rFonts w:cstheme="minorHAnsi"/>
              </w:rPr>
            </w:pPr>
            <w:r w:rsidRPr="00A847B7">
              <w:rPr>
                <w:rFonts w:cstheme="minorHAnsi"/>
              </w:rPr>
              <w:t>24 %</w:t>
            </w:r>
          </w:p>
        </w:tc>
      </w:tr>
      <w:tr w:rsidR="00237A5A" w:rsidRPr="00A847B7" w14:paraId="3E909AD9" w14:textId="77777777" w:rsidTr="00F77061">
        <w:tc>
          <w:tcPr>
            <w:tcW w:w="5103" w:type="dxa"/>
            <w:shd w:val="clear" w:color="auto" w:fill="auto"/>
          </w:tcPr>
          <w:p w14:paraId="5F9BD3AC" w14:textId="5067C8B3" w:rsidR="00237A5A" w:rsidRPr="00A847B7" w:rsidRDefault="00237A5A" w:rsidP="001D01C2">
            <w:pPr>
              <w:spacing w:beforeAutospacing="1" w:after="100" w:afterAutospacing="1"/>
              <w:jc w:val="center"/>
              <w:rPr>
                <w:rFonts w:cstheme="minorHAnsi"/>
              </w:rPr>
            </w:pPr>
            <w:r w:rsidRPr="00A847B7">
              <w:rPr>
                <w:rFonts w:cstheme="minorHAnsi"/>
              </w:rPr>
              <w:t xml:space="preserve">Supérieure ou égale à 11 </w:t>
            </w:r>
            <w:r w:rsidR="00C82781" w:rsidRPr="00A847B7">
              <w:rPr>
                <w:rFonts w:cstheme="minorHAnsi"/>
              </w:rPr>
              <w:t xml:space="preserve">940 </w:t>
            </w:r>
            <w:r w:rsidRPr="00A847B7">
              <w:rPr>
                <w:rFonts w:cstheme="minorHAnsi"/>
              </w:rPr>
              <w:t xml:space="preserve">et inférieure à 15 </w:t>
            </w:r>
            <w:r w:rsidR="00C82781" w:rsidRPr="00A847B7">
              <w:rPr>
                <w:rFonts w:cstheme="minorHAnsi"/>
              </w:rPr>
              <w:t xml:space="preserve">865 </w:t>
            </w:r>
            <w:r w:rsidRPr="00A847B7">
              <w:rPr>
                <w:rFonts w:cstheme="minorHAnsi"/>
              </w:rPr>
              <w:t>€</w:t>
            </w:r>
          </w:p>
        </w:tc>
        <w:tc>
          <w:tcPr>
            <w:tcW w:w="3959" w:type="dxa"/>
            <w:shd w:val="clear" w:color="auto" w:fill="auto"/>
          </w:tcPr>
          <w:p w14:paraId="781451BC" w14:textId="77777777" w:rsidR="00237A5A" w:rsidRPr="00A847B7" w:rsidRDefault="00237A5A" w:rsidP="001D01C2">
            <w:pPr>
              <w:spacing w:beforeAutospacing="1" w:after="100" w:afterAutospacing="1"/>
              <w:jc w:val="center"/>
              <w:rPr>
                <w:rFonts w:cstheme="minorHAnsi"/>
              </w:rPr>
            </w:pPr>
            <w:r w:rsidRPr="00A847B7">
              <w:rPr>
                <w:rFonts w:cstheme="minorHAnsi"/>
              </w:rPr>
              <w:t>28 %</w:t>
            </w:r>
          </w:p>
        </w:tc>
      </w:tr>
      <w:tr w:rsidR="00237A5A" w:rsidRPr="00A847B7" w14:paraId="351048A4" w14:textId="77777777" w:rsidTr="00F77061">
        <w:tc>
          <w:tcPr>
            <w:tcW w:w="5103" w:type="dxa"/>
            <w:shd w:val="clear" w:color="auto" w:fill="auto"/>
          </w:tcPr>
          <w:p w14:paraId="4C9152EB" w14:textId="53F8DDAF" w:rsidR="00237A5A" w:rsidRPr="00A847B7" w:rsidRDefault="00237A5A" w:rsidP="001D01C2">
            <w:pPr>
              <w:spacing w:beforeAutospacing="1" w:after="100" w:afterAutospacing="1"/>
              <w:jc w:val="center"/>
              <w:rPr>
                <w:rFonts w:cstheme="minorHAnsi"/>
              </w:rPr>
            </w:pPr>
            <w:r w:rsidRPr="00A847B7">
              <w:rPr>
                <w:rFonts w:cstheme="minorHAnsi"/>
              </w:rPr>
              <w:t xml:space="preserve">Supérieure ou égale à 15 </w:t>
            </w:r>
            <w:r w:rsidR="00C82781" w:rsidRPr="00A847B7">
              <w:rPr>
                <w:rFonts w:cstheme="minorHAnsi"/>
              </w:rPr>
              <w:t xml:space="preserve">865 </w:t>
            </w:r>
            <w:r w:rsidRPr="00A847B7">
              <w:rPr>
                <w:rFonts w:cstheme="minorHAnsi"/>
              </w:rPr>
              <w:t xml:space="preserve">et inférieure à 24 </w:t>
            </w:r>
            <w:r w:rsidR="00C82781" w:rsidRPr="00A847B7">
              <w:rPr>
                <w:rFonts w:cstheme="minorHAnsi"/>
              </w:rPr>
              <w:t xml:space="preserve">215 </w:t>
            </w:r>
            <w:r w:rsidRPr="00A847B7">
              <w:rPr>
                <w:rFonts w:cstheme="minorHAnsi"/>
              </w:rPr>
              <w:t>€</w:t>
            </w:r>
          </w:p>
        </w:tc>
        <w:tc>
          <w:tcPr>
            <w:tcW w:w="3959" w:type="dxa"/>
            <w:shd w:val="clear" w:color="auto" w:fill="auto"/>
          </w:tcPr>
          <w:p w14:paraId="7E26E446" w14:textId="77777777" w:rsidR="00237A5A" w:rsidRPr="00A847B7" w:rsidRDefault="00237A5A" w:rsidP="001D01C2">
            <w:pPr>
              <w:spacing w:beforeAutospacing="1" w:after="100" w:afterAutospacing="1"/>
              <w:jc w:val="center"/>
              <w:rPr>
                <w:rFonts w:cstheme="minorHAnsi"/>
              </w:rPr>
            </w:pPr>
            <w:r w:rsidRPr="00A847B7">
              <w:rPr>
                <w:rFonts w:cstheme="minorHAnsi"/>
              </w:rPr>
              <w:t>33 %</w:t>
            </w:r>
          </w:p>
        </w:tc>
      </w:tr>
      <w:tr w:rsidR="00237A5A" w:rsidRPr="00A847B7" w14:paraId="624C3552" w14:textId="77777777" w:rsidTr="00F77061">
        <w:tc>
          <w:tcPr>
            <w:tcW w:w="5103" w:type="dxa"/>
            <w:shd w:val="clear" w:color="auto" w:fill="auto"/>
          </w:tcPr>
          <w:p w14:paraId="4CBF951E" w14:textId="07A40A5A" w:rsidR="00237A5A" w:rsidRPr="00A847B7" w:rsidRDefault="00237A5A" w:rsidP="001D01C2">
            <w:pPr>
              <w:spacing w:beforeAutospacing="1" w:after="100" w:afterAutospacing="1"/>
              <w:jc w:val="center"/>
              <w:rPr>
                <w:rFonts w:cstheme="minorHAnsi"/>
              </w:rPr>
            </w:pPr>
            <w:r w:rsidRPr="00A847B7">
              <w:rPr>
                <w:rFonts w:cstheme="minorHAnsi"/>
              </w:rPr>
              <w:t xml:space="preserve">Supérieure ou égale à 24 </w:t>
            </w:r>
            <w:r w:rsidR="00C82781" w:rsidRPr="00A847B7">
              <w:rPr>
                <w:rFonts w:cstheme="minorHAnsi"/>
              </w:rPr>
              <w:t>215</w:t>
            </w:r>
            <w:r w:rsidRPr="00A847B7">
              <w:rPr>
                <w:rFonts w:cstheme="minorHAnsi"/>
              </w:rPr>
              <w:t xml:space="preserve"> et inférieure à 52 </w:t>
            </w:r>
            <w:r w:rsidR="00C82781" w:rsidRPr="00A847B7">
              <w:rPr>
                <w:rFonts w:cstheme="minorHAnsi"/>
              </w:rPr>
              <w:t xml:space="preserve">930 </w:t>
            </w:r>
            <w:r w:rsidRPr="00A847B7">
              <w:rPr>
                <w:rFonts w:cstheme="minorHAnsi"/>
              </w:rPr>
              <w:t>€</w:t>
            </w:r>
          </w:p>
        </w:tc>
        <w:tc>
          <w:tcPr>
            <w:tcW w:w="3959" w:type="dxa"/>
            <w:shd w:val="clear" w:color="auto" w:fill="auto"/>
          </w:tcPr>
          <w:p w14:paraId="6CC87C0F" w14:textId="77777777" w:rsidR="00237A5A" w:rsidRPr="00A847B7" w:rsidRDefault="00237A5A" w:rsidP="001D01C2">
            <w:pPr>
              <w:spacing w:beforeAutospacing="1" w:after="100" w:afterAutospacing="1"/>
              <w:jc w:val="center"/>
              <w:rPr>
                <w:rFonts w:cstheme="minorHAnsi"/>
              </w:rPr>
            </w:pPr>
            <w:r w:rsidRPr="00A847B7">
              <w:rPr>
                <w:rFonts w:cstheme="minorHAnsi"/>
              </w:rPr>
              <w:t>38 %</w:t>
            </w:r>
          </w:p>
        </w:tc>
      </w:tr>
      <w:tr w:rsidR="00237A5A" w:rsidRPr="00A847B7" w14:paraId="22DB3B55" w14:textId="77777777" w:rsidTr="00F77061">
        <w:tc>
          <w:tcPr>
            <w:tcW w:w="5103" w:type="dxa"/>
            <w:shd w:val="clear" w:color="auto" w:fill="auto"/>
          </w:tcPr>
          <w:p w14:paraId="20A67DF5" w14:textId="3B2DC2F6" w:rsidR="00237A5A" w:rsidRPr="00A847B7" w:rsidRDefault="00237A5A" w:rsidP="001D01C2">
            <w:pPr>
              <w:spacing w:beforeAutospacing="1" w:after="100" w:afterAutospacing="1"/>
              <w:jc w:val="center"/>
              <w:rPr>
                <w:rFonts w:cstheme="minorHAnsi"/>
              </w:rPr>
            </w:pPr>
            <w:r w:rsidRPr="00A847B7">
              <w:rPr>
                <w:rFonts w:cstheme="minorHAnsi"/>
              </w:rPr>
              <w:t xml:space="preserve">≥ à 52 </w:t>
            </w:r>
            <w:r w:rsidR="00C82781" w:rsidRPr="00A847B7">
              <w:rPr>
                <w:rFonts w:cstheme="minorHAnsi"/>
              </w:rPr>
              <w:t xml:space="preserve">930 </w:t>
            </w:r>
            <w:r w:rsidRPr="00A847B7">
              <w:rPr>
                <w:rFonts w:cstheme="minorHAnsi"/>
              </w:rPr>
              <w:t>€</w:t>
            </w:r>
          </w:p>
        </w:tc>
        <w:tc>
          <w:tcPr>
            <w:tcW w:w="3959" w:type="dxa"/>
            <w:shd w:val="clear" w:color="auto" w:fill="auto"/>
          </w:tcPr>
          <w:p w14:paraId="2E3ADA73" w14:textId="77777777" w:rsidR="00237A5A" w:rsidRPr="00A847B7" w:rsidRDefault="00237A5A" w:rsidP="001D01C2">
            <w:pPr>
              <w:spacing w:beforeAutospacing="1" w:after="100" w:afterAutospacing="1"/>
              <w:jc w:val="center"/>
              <w:rPr>
                <w:rFonts w:cstheme="minorHAnsi"/>
              </w:rPr>
            </w:pPr>
            <w:r w:rsidRPr="00A847B7">
              <w:rPr>
                <w:rFonts w:cstheme="minorHAnsi"/>
              </w:rPr>
              <w:t>43 %</w:t>
            </w:r>
          </w:p>
        </w:tc>
      </w:tr>
    </w:tbl>
    <w:p w14:paraId="77A597DB" w14:textId="116C9594" w:rsidR="00237A5A" w:rsidRPr="00A847B7" w:rsidRDefault="00890518" w:rsidP="00EE0687">
      <w:pPr>
        <w:pStyle w:val="Paragraphedeliste"/>
        <w:numPr>
          <w:ilvl w:val="0"/>
          <w:numId w:val="8"/>
        </w:numPr>
        <w:spacing w:beforeAutospacing="1" w:after="100" w:afterAutospacing="1"/>
        <w:rPr>
          <w:rFonts w:cstheme="minorHAnsi"/>
        </w:rPr>
      </w:pPr>
      <w:r>
        <w:rPr>
          <w:rFonts w:cstheme="minorHAnsi"/>
        </w:rPr>
        <w:t>T</w:t>
      </w:r>
      <w:r w:rsidR="00237A5A" w:rsidRPr="00A847B7">
        <w:rPr>
          <w:rFonts w:cstheme="minorHAnsi"/>
        </w:rPr>
        <w:t>aux applicables en Guyane et à Mayotte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392"/>
      </w:tblGrid>
      <w:tr w:rsidR="00237A5A" w:rsidRPr="00A847B7" w14:paraId="14D66DA0" w14:textId="77777777" w:rsidTr="00F77061">
        <w:tc>
          <w:tcPr>
            <w:tcW w:w="5670" w:type="dxa"/>
            <w:shd w:val="clear" w:color="auto" w:fill="297FD5" w:themeFill="accent3"/>
          </w:tcPr>
          <w:p w14:paraId="26BFB06F" w14:textId="77777777" w:rsidR="00237A5A" w:rsidRPr="00A847B7" w:rsidRDefault="00237A5A" w:rsidP="001D01C2">
            <w:pPr>
              <w:jc w:val="center"/>
              <w:rPr>
                <w:b/>
                <w:bCs/>
                <w:color w:val="FFFFFF" w:themeColor="background1"/>
                <w:sz w:val="24"/>
                <w:szCs w:val="24"/>
              </w:rPr>
            </w:pPr>
            <w:r w:rsidRPr="00A847B7">
              <w:rPr>
                <w:b/>
                <w:bCs/>
                <w:color w:val="FFFFFF" w:themeColor="background1"/>
                <w:sz w:val="24"/>
                <w:szCs w:val="24"/>
              </w:rPr>
              <w:t>Base mensuelle de prélèvement</w:t>
            </w:r>
          </w:p>
        </w:tc>
        <w:tc>
          <w:tcPr>
            <w:tcW w:w="3392" w:type="dxa"/>
            <w:shd w:val="clear" w:color="auto" w:fill="297FD5" w:themeFill="accent3"/>
          </w:tcPr>
          <w:p w14:paraId="22E0602D" w14:textId="77777777" w:rsidR="00237A5A" w:rsidRPr="00A847B7" w:rsidRDefault="00237A5A" w:rsidP="001D01C2">
            <w:pPr>
              <w:jc w:val="center"/>
              <w:rPr>
                <w:b/>
                <w:bCs/>
                <w:color w:val="FFFFFF" w:themeColor="background1"/>
                <w:sz w:val="24"/>
                <w:szCs w:val="24"/>
              </w:rPr>
            </w:pPr>
            <w:r w:rsidRPr="00A847B7">
              <w:rPr>
                <w:b/>
                <w:bCs/>
                <w:color w:val="FFFFFF" w:themeColor="background1"/>
                <w:sz w:val="24"/>
                <w:szCs w:val="24"/>
              </w:rPr>
              <w:t>Taux de prélèvement</w:t>
            </w:r>
          </w:p>
        </w:tc>
      </w:tr>
      <w:tr w:rsidR="00237A5A" w:rsidRPr="00A847B7" w14:paraId="4ACAE7F3" w14:textId="77777777" w:rsidTr="00F77061">
        <w:tc>
          <w:tcPr>
            <w:tcW w:w="5670" w:type="dxa"/>
            <w:shd w:val="clear" w:color="auto" w:fill="auto"/>
          </w:tcPr>
          <w:p w14:paraId="01384D59" w14:textId="659D2DE8" w:rsidR="00237A5A" w:rsidRPr="00A847B7" w:rsidRDefault="00237A5A" w:rsidP="001D01C2">
            <w:pPr>
              <w:spacing w:beforeAutospacing="1" w:after="100" w:afterAutospacing="1"/>
              <w:jc w:val="center"/>
              <w:rPr>
                <w:rFonts w:cstheme="minorHAnsi"/>
              </w:rPr>
            </w:pPr>
            <w:r w:rsidRPr="00A847B7">
              <w:rPr>
                <w:rFonts w:cstheme="minorHAnsi"/>
              </w:rPr>
              <w:t xml:space="preserve">&lt; à 1 </w:t>
            </w:r>
            <w:r w:rsidR="00BA47BA" w:rsidRPr="00A847B7">
              <w:rPr>
                <w:rFonts w:cstheme="minorHAnsi"/>
              </w:rPr>
              <w:t xml:space="preserve">745 </w:t>
            </w:r>
            <w:r w:rsidRPr="00A847B7">
              <w:rPr>
                <w:rFonts w:cstheme="minorHAnsi"/>
              </w:rPr>
              <w:t>€</w:t>
            </w:r>
          </w:p>
        </w:tc>
        <w:tc>
          <w:tcPr>
            <w:tcW w:w="3392" w:type="dxa"/>
            <w:shd w:val="clear" w:color="auto" w:fill="auto"/>
          </w:tcPr>
          <w:p w14:paraId="67FC07FA" w14:textId="77777777" w:rsidR="00237A5A" w:rsidRPr="00A847B7" w:rsidRDefault="00237A5A" w:rsidP="001D01C2">
            <w:pPr>
              <w:spacing w:beforeAutospacing="1" w:after="100" w:afterAutospacing="1"/>
              <w:jc w:val="center"/>
              <w:rPr>
                <w:rFonts w:cstheme="minorHAnsi"/>
              </w:rPr>
            </w:pPr>
            <w:r w:rsidRPr="00A847B7">
              <w:rPr>
                <w:rFonts w:cstheme="minorHAnsi"/>
              </w:rPr>
              <w:t>0 %</w:t>
            </w:r>
          </w:p>
        </w:tc>
      </w:tr>
      <w:tr w:rsidR="00237A5A" w:rsidRPr="00A847B7" w14:paraId="4503386D" w14:textId="77777777" w:rsidTr="00F77061">
        <w:tc>
          <w:tcPr>
            <w:tcW w:w="5670" w:type="dxa"/>
            <w:shd w:val="clear" w:color="auto" w:fill="auto"/>
          </w:tcPr>
          <w:p w14:paraId="65312A52" w14:textId="77051D4B" w:rsidR="00237A5A" w:rsidRPr="00A847B7" w:rsidRDefault="00237A5A" w:rsidP="001D01C2">
            <w:pPr>
              <w:spacing w:beforeAutospacing="1" w:after="100" w:afterAutospacing="1"/>
              <w:jc w:val="center"/>
              <w:rPr>
                <w:rFonts w:cstheme="minorHAnsi"/>
              </w:rPr>
            </w:pPr>
            <w:r w:rsidRPr="00A847B7">
              <w:rPr>
                <w:rFonts w:cstheme="minorHAnsi"/>
              </w:rPr>
              <w:t xml:space="preserve">Supérieure ou égale à 1 </w:t>
            </w:r>
            <w:r w:rsidR="00BA47BA" w:rsidRPr="00A847B7">
              <w:rPr>
                <w:rFonts w:cstheme="minorHAnsi"/>
              </w:rPr>
              <w:t xml:space="preserve">745 </w:t>
            </w:r>
            <w:r w:rsidRPr="00A847B7">
              <w:rPr>
                <w:rFonts w:cstheme="minorHAnsi"/>
              </w:rPr>
              <w:t xml:space="preserve">et inférieure à 1 </w:t>
            </w:r>
            <w:r w:rsidR="00BA47BA" w:rsidRPr="00A847B7">
              <w:rPr>
                <w:rFonts w:cstheme="minorHAnsi"/>
              </w:rPr>
              <w:t xml:space="preserve">887 </w:t>
            </w:r>
            <w:r w:rsidRPr="00A847B7">
              <w:rPr>
                <w:rFonts w:cstheme="minorHAnsi"/>
              </w:rPr>
              <w:t>€</w:t>
            </w:r>
          </w:p>
        </w:tc>
        <w:tc>
          <w:tcPr>
            <w:tcW w:w="3392" w:type="dxa"/>
            <w:shd w:val="clear" w:color="auto" w:fill="auto"/>
          </w:tcPr>
          <w:p w14:paraId="2A316BD9" w14:textId="77777777" w:rsidR="00237A5A" w:rsidRPr="00A847B7" w:rsidRDefault="00237A5A" w:rsidP="001D01C2">
            <w:pPr>
              <w:spacing w:beforeAutospacing="1" w:after="100" w:afterAutospacing="1"/>
              <w:jc w:val="center"/>
              <w:rPr>
                <w:rFonts w:cstheme="minorHAnsi"/>
              </w:rPr>
            </w:pPr>
            <w:r w:rsidRPr="00A847B7">
              <w:rPr>
                <w:rFonts w:cstheme="minorHAnsi"/>
              </w:rPr>
              <w:t>0,5 %</w:t>
            </w:r>
          </w:p>
        </w:tc>
      </w:tr>
      <w:tr w:rsidR="00237A5A" w:rsidRPr="00A847B7" w14:paraId="3551E1C4" w14:textId="77777777" w:rsidTr="00F77061">
        <w:tc>
          <w:tcPr>
            <w:tcW w:w="5670" w:type="dxa"/>
            <w:shd w:val="clear" w:color="auto" w:fill="auto"/>
          </w:tcPr>
          <w:p w14:paraId="27988A36" w14:textId="69F0C9BB" w:rsidR="00237A5A" w:rsidRPr="00A847B7" w:rsidRDefault="00237A5A" w:rsidP="001D01C2">
            <w:pPr>
              <w:spacing w:beforeAutospacing="1" w:after="100" w:afterAutospacing="1"/>
              <w:jc w:val="center"/>
              <w:rPr>
                <w:rFonts w:cstheme="minorHAnsi"/>
              </w:rPr>
            </w:pPr>
            <w:r w:rsidRPr="00A847B7">
              <w:rPr>
                <w:rFonts w:cstheme="minorHAnsi"/>
              </w:rPr>
              <w:t xml:space="preserve">Supérieure ou égale à 1 </w:t>
            </w:r>
            <w:r w:rsidR="00BA47BA" w:rsidRPr="00A847B7">
              <w:rPr>
                <w:rFonts w:cstheme="minorHAnsi"/>
              </w:rPr>
              <w:t xml:space="preserve">887 </w:t>
            </w:r>
            <w:r w:rsidRPr="00A847B7">
              <w:rPr>
                <w:rFonts w:cstheme="minorHAnsi"/>
              </w:rPr>
              <w:t xml:space="preserve">et inférieure à 2 </w:t>
            </w:r>
            <w:r w:rsidR="00BA47BA" w:rsidRPr="00A847B7">
              <w:rPr>
                <w:rFonts w:cstheme="minorHAnsi"/>
              </w:rPr>
              <w:t xml:space="preserve">104 </w:t>
            </w:r>
            <w:r w:rsidRPr="00A847B7">
              <w:rPr>
                <w:rFonts w:cstheme="minorHAnsi"/>
              </w:rPr>
              <w:t>€</w:t>
            </w:r>
          </w:p>
        </w:tc>
        <w:tc>
          <w:tcPr>
            <w:tcW w:w="3392" w:type="dxa"/>
            <w:shd w:val="clear" w:color="auto" w:fill="auto"/>
          </w:tcPr>
          <w:p w14:paraId="21FB0094" w14:textId="77777777" w:rsidR="00237A5A" w:rsidRPr="00A847B7" w:rsidRDefault="00237A5A" w:rsidP="001D01C2">
            <w:pPr>
              <w:spacing w:beforeAutospacing="1" w:after="100" w:afterAutospacing="1"/>
              <w:jc w:val="center"/>
              <w:rPr>
                <w:rFonts w:cstheme="minorHAnsi"/>
              </w:rPr>
            </w:pPr>
            <w:r w:rsidRPr="00A847B7">
              <w:rPr>
                <w:rFonts w:cstheme="minorHAnsi"/>
              </w:rPr>
              <w:t>1,3 %</w:t>
            </w:r>
          </w:p>
        </w:tc>
      </w:tr>
      <w:tr w:rsidR="00237A5A" w:rsidRPr="00A847B7" w14:paraId="7DEF433A" w14:textId="77777777" w:rsidTr="00F77061">
        <w:tc>
          <w:tcPr>
            <w:tcW w:w="5670" w:type="dxa"/>
            <w:shd w:val="clear" w:color="auto" w:fill="auto"/>
          </w:tcPr>
          <w:p w14:paraId="214EF84B" w14:textId="751FDF9F" w:rsidR="00237A5A" w:rsidRPr="00A847B7" w:rsidRDefault="00237A5A" w:rsidP="001D01C2">
            <w:pPr>
              <w:spacing w:beforeAutospacing="1" w:after="100" w:afterAutospacing="1"/>
              <w:jc w:val="center"/>
              <w:rPr>
                <w:rFonts w:cstheme="minorHAnsi"/>
              </w:rPr>
            </w:pPr>
            <w:r w:rsidRPr="00A847B7">
              <w:rPr>
                <w:rFonts w:cstheme="minorHAnsi"/>
              </w:rPr>
              <w:t xml:space="preserve">Supérieure ou égale à 2 </w:t>
            </w:r>
            <w:r w:rsidR="00BA47BA" w:rsidRPr="00A847B7">
              <w:rPr>
                <w:rFonts w:cstheme="minorHAnsi"/>
              </w:rPr>
              <w:t xml:space="preserve">104 </w:t>
            </w:r>
            <w:r w:rsidRPr="00A847B7">
              <w:rPr>
                <w:rFonts w:cstheme="minorHAnsi"/>
              </w:rPr>
              <w:t xml:space="preserve">et inférieure à 2 </w:t>
            </w:r>
            <w:r w:rsidR="00BA47BA" w:rsidRPr="00A847B7">
              <w:rPr>
                <w:rFonts w:cstheme="minorHAnsi"/>
              </w:rPr>
              <w:t xml:space="preserve">371 </w:t>
            </w:r>
            <w:r w:rsidRPr="00A847B7">
              <w:rPr>
                <w:rFonts w:cstheme="minorHAnsi"/>
              </w:rPr>
              <w:t>€</w:t>
            </w:r>
          </w:p>
        </w:tc>
        <w:tc>
          <w:tcPr>
            <w:tcW w:w="3392" w:type="dxa"/>
            <w:shd w:val="clear" w:color="auto" w:fill="auto"/>
          </w:tcPr>
          <w:p w14:paraId="6D9811C9" w14:textId="77777777" w:rsidR="00237A5A" w:rsidRPr="00A847B7" w:rsidRDefault="00237A5A" w:rsidP="001D01C2">
            <w:pPr>
              <w:spacing w:beforeAutospacing="1" w:after="100" w:afterAutospacing="1"/>
              <w:jc w:val="center"/>
              <w:rPr>
                <w:rFonts w:cstheme="minorHAnsi"/>
              </w:rPr>
            </w:pPr>
            <w:r w:rsidRPr="00A847B7">
              <w:rPr>
                <w:rFonts w:cstheme="minorHAnsi"/>
              </w:rPr>
              <w:t>2,1 %</w:t>
            </w:r>
          </w:p>
        </w:tc>
      </w:tr>
      <w:tr w:rsidR="00237A5A" w:rsidRPr="00A847B7" w14:paraId="20E4F225" w14:textId="77777777" w:rsidTr="00F77061">
        <w:tc>
          <w:tcPr>
            <w:tcW w:w="5670" w:type="dxa"/>
            <w:shd w:val="clear" w:color="auto" w:fill="auto"/>
          </w:tcPr>
          <w:p w14:paraId="5EF307F9" w14:textId="4DE0EFA7" w:rsidR="00237A5A" w:rsidRPr="00A847B7" w:rsidRDefault="00237A5A" w:rsidP="001D01C2">
            <w:pPr>
              <w:spacing w:beforeAutospacing="1" w:after="100" w:afterAutospacing="1"/>
              <w:jc w:val="center"/>
              <w:rPr>
                <w:rFonts w:cstheme="minorHAnsi"/>
              </w:rPr>
            </w:pPr>
            <w:r w:rsidRPr="00A847B7">
              <w:rPr>
                <w:rFonts w:cstheme="minorHAnsi"/>
              </w:rPr>
              <w:t xml:space="preserve">Supérieure ou égale à 2 </w:t>
            </w:r>
            <w:r w:rsidR="00BA47BA" w:rsidRPr="00A847B7">
              <w:rPr>
                <w:rFonts w:cstheme="minorHAnsi"/>
              </w:rPr>
              <w:t xml:space="preserve">371 </w:t>
            </w:r>
            <w:r w:rsidRPr="00A847B7">
              <w:rPr>
                <w:rFonts w:cstheme="minorHAnsi"/>
              </w:rPr>
              <w:t xml:space="preserve">et inférieure à 2 </w:t>
            </w:r>
            <w:r w:rsidR="00BA47BA" w:rsidRPr="00A847B7">
              <w:rPr>
                <w:rFonts w:cstheme="minorHAnsi"/>
              </w:rPr>
              <w:t xml:space="preserve">463 </w:t>
            </w:r>
            <w:r w:rsidRPr="00A847B7">
              <w:rPr>
                <w:rFonts w:cstheme="minorHAnsi"/>
              </w:rPr>
              <w:t>€</w:t>
            </w:r>
          </w:p>
        </w:tc>
        <w:tc>
          <w:tcPr>
            <w:tcW w:w="3392" w:type="dxa"/>
            <w:shd w:val="clear" w:color="auto" w:fill="auto"/>
          </w:tcPr>
          <w:p w14:paraId="2C85B7B2" w14:textId="77777777" w:rsidR="00237A5A" w:rsidRPr="00A847B7" w:rsidRDefault="00237A5A" w:rsidP="001D01C2">
            <w:pPr>
              <w:spacing w:beforeAutospacing="1" w:after="100" w:afterAutospacing="1"/>
              <w:jc w:val="center"/>
              <w:rPr>
                <w:rFonts w:cstheme="minorHAnsi"/>
              </w:rPr>
            </w:pPr>
            <w:r w:rsidRPr="00A847B7">
              <w:rPr>
                <w:rFonts w:cstheme="minorHAnsi"/>
              </w:rPr>
              <w:t>2,9 %</w:t>
            </w:r>
          </w:p>
        </w:tc>
      </w:tr>
      <w:tr w:rsidR="00237A5A" w:rsidRPr="00A847B7" w14:paraId="0909D18E" w14:textId="77777777" w:rsidTr="00F77061">
        <w:tc>
          <w:tcPr>
            <w:tcW w:w="5670" w:type="dxa"/>
            <w:shd w:val="clear" w:color="auto" w:fill="auto"/>
          </w:tcPr>
          <w:p w14:paraId="0A2A3E0D" w14:textId="1D767C4F" w:rsidR="00237A5A" w:rsidRPr="00A847B7" w:rsidRDefault="00237A5A" w:rsidP="001D01C2">
            <w:pPr>
              <w:spacing w:beforeAutospacing="1" w:after="100" w:afterAutospacing="1"/>
              <w:jc w:val="center"/>
              <w:rPr>
                <w:rFonts w:cstheme="minorHAnsi"/>
              </w:rPr>
            </w:pPr>
            <w:r w:rsidRPr="00A847B7">
              <w:rPr>
                <w:rFonts w:cstheme="minorHAnsi"/>
              </w:rPr>
              <w:t xml:space="preserve">Supérieure ou égale à 2 </w:t>
            </w:r>
            <w:r w:rsidR="00BA47BA" w:rsidRPr="00A847B7">
              <w:rPr>
                <w:rFonts w:cstheme="minorHAnsi"/>
              </w:rPr>
              <w:t xml:space="preserve">463 </w:t>
            </w:r>
            <w:r w:rsidRPr="00A847B7">
              <w:rPr>
                <w:rFonts w:cstheme="minorHAnsi"/>
              </w:rPr>
              <w:t xml:space="preserve">et inférieure à 2 </w:t>
            </w:r>
            <w:r w:rsidR="00BA47BA" w:rsidRPr="00A847B7">
              <w:rPr>
                <w:rFonts w:cstheme="minorHAnsi"/>
              </w:rPr>
              <w:t xml:space="preserve">547 </w:t>
            </w:r>
            <w:r w:rsidRPr="00A847B7">
              <w:rPr>
                <w:rFonts w:cstheme="minorHAnsi"/>
              </w:rPr>
              <w:t>€</w:t>
            </w:r>
          </w:p>
        </w:tc>
        <w:tc>
          <w:tcPr>
            <w:tcW w:w="3392" w:type="dxa"/>
            <w:shd w:val="clear" w:color="auto" w:fill="auto"/>
          </w:tcPr>
          <w:p w14:paraId="119B2C94" w14:textId="77777777" w:rsidR="00237A5A" w:rsidRPr="00A847B7" w:rsidRDefault="00237A5A" w:rsidP="001D01C2">
            <w:pPr>
              <w:spacing w:beforeAutospacing="1" w:after="100" w:afterAutospacing="1"/>
              <w:jc w:val="center"/>
              <w:rPr>
                <w:rFonts w:cstheme="minorHAnsi"/>
              </w:rPr>
            </w:pPr>
            <w:r w:rsidRPr="00A847B7">
              <w:rPr>
                <w:rFonts w:cstheme="minorHAnsi"/>
              </w:rPr>
              <w:t>3,5 %</w:t>
            </w:r>
          </w:p>
        </w:tc>
      </w:tr>
      <w:tr w:rsidR="00237A5A" w:rsidRPr="00A847B7" w14:paraId="77D01E2D" w14:textId="77777777" w:rsidTr="00F77061">
        <w:tc>
          <w:tcPr>
            <w:tcW w:w="5670" w:type="dxa"/>
            <w:shd w:val="clear" w:color="auto" w:fill="auto"/>
          </w:tcPr>
          <w:p w14:paraId="58B8F95E" w14:textId="36E1EFF6" w:rsidR="00237A5A" w:rsidRPr="00A847B7" w:rsidRDefault="00237A5A" w:rsidP="001D01C2">
            <w:pPr>
              <w:spacing w:beforeAutospacing="1" w:after="100" w:afterAutospacing="1"/>
              <w:jc w:val="center"/>
              <w:rPr>
                <w:rFonts w:cstheme="minorHAnsi"/>
              </w:rPr>
            </w:pPr>
            <w:r w:rsidRPr="00A847B7">
              <w:rPr>
                <w:rFonts w:cstheme="minorHAnsi"/>
              </w:rPr>
              <w:t>Supérieure ou égale à 2 54</w:t>
            </w:r>
            <w:r w:rsidR="00BA47BA" w:rsidRPr="00A847B7">
              <w:rPr>
                <w:rFonts w:cstheme="minorHAnsi"/>
              </w:rPr>
              <w:t>7</w:t>
            </w:r>
            <w:r w:rsidRPr="00A847B7">
              <w:rPr>
                <w:rFonts w:cstheme="minorHAnsi"/>
              </w:rPr>
              <w:t xml:space="preserve"> et inférieure à 2 </w:t>
            </w:r>
            <w:r w:rsidR="00BA47BA" w:rsidRPr="00A847B7">
              <w:rPr>
                <w:rFonts w:cstheme="minorHAnsi"/>
              </w:rPr>
              <w:t xml:space="preserve">630 </w:t>
            </w:r>
            <w:r w:rsidRPr="00A847B7">
              <w:rPr>
                <w:rFonts w:cstheme="minorHAnsi"/>
              </w:rPr>
              <w:t>€</w:t>
            </w:r>
          </w:p>
        </w:tc>
        <w:tc>
          <w:tcPr>
            <w:tcW w:w="3392" w:type="dxa"/>
            <w:shd w:val="clear" w:color="auto" w:fill="auto"/>
          </w:tcPr>
          <w:p w14:paraId="4B43819C" w14:textId="77777777" w:rsidR="00237A5A" w:rsidRPr="00A847B7" w:rsidRDefault="00237A5A" w:rsidP="001D01C2">
            <w:pPr>
              <w:spacing w:beforeAutospacing="1" w:after="100" w:afterAutospacing="1"/>
              <w:jc w:val="center"/>
              <w:rPr>
                <w:rFonts w:cstheme="minorHAnsi"/>
              </w:rPr>
            </w:pPr>
            <w:r w:rsidRPr="00A847B7">
              <w:rPr>
                <w:rFonts w:cstheme="minorHAnsi"/>
              </w:rPr>
              <w:t>4,1 %</w:t>
            </w:r>
          </w:p>
        </w:tc>
      </w:tr>
      <w:tr w:rsidR="00237A5A" w:rsidRPr="00A847B7" w14:paraId="6A1FCB13" w14:textId="77777777" w:rsidTr="00F77061">
        <w:tc>
          <w:tcPr>
            <w:tcW w:w="5670" w:type="dxa"/>
            <w:shd w:val="clear" w:color="auto" w:fill="auto"/>
          </w:tcPr>
          <w:p w14:paraId="0622A2C1" w14:textId="10D89F71" w:rsidR="00237A5A" w:rsidRPr="00A847B7" w:rsidRDefault="00237A5A" w:rsidP="001D01C2">
            <w:pPr>
              <w:spacing w:beforeAutospacing="1" w:after="100" w:afterAutospacing="1"/>
              <w:jc w:val="center"/>
              <w:rPr>
                <w:rFonts w:cstheme="minorHAnsi"/>
              </w:rPr>
            </w:pPr>
            <w:r w:rsidRPr="00A847B7">
              <w:rPr>
                <w:rFonts w:cstheme="minorHAnsi"/>
              </w:rPr>
              <w:t xml:space="preserve">Supérieure ou égale à 2 </w:t>
            </w:r>
            <w:r w:rsidR="00BA47BA" w:rsidRPr="00A847B7">
              <w:rPr>
                <w:rFonts w:cstheme="minorHAnsi"/>
              </w:rPr>
              <w:t xml:space="preserve">630 </w:t>
            </w:r>
            <w:r w:rsidRPr="00A847B7">
              <w:rPr>
                <w:rFonts w:cstheme="minorHAnsi"/>
              </w:rPr>
              <w:t xml:space="preserve">et inférieure à 2 </w:t>
            </w:r>
            <w:r w:rsidR="00BA47BA" w:rsidRPr="00A847B7">
              <w:rPr>
                <w:rFonts w:cstheme="minorHAnsi"/>
              </w:rPr>
              <w:t xml:space="preserve">922 </w:t>
            </w:r>
            <w:r w:rsidRPr="00A847B7">
              <w:rPr>
                <w:rFonts w:cstheme="minorHAnsi"/>
              </w:rPr>
              <w:t>€</w:t>
            </w:r>
          </w:p>
        </w:tc>
        <w:tc>
          <w:tcPr>
            <w:tcW w:w="3392" w:type="dxa"/>
            <w:shd w:val="clear" w:color="auto" w:fill="auto"/>
          </w:tcPr>
          <w:p w14:paraId="79CA8A12" w14:textId="77777777" w:rsidR="00237A5A" w:rsidRPr="00A847B7" w:rsidRDefault="00237A5A" w:rsidP="001D01C2">
            <w:pPr>
              <w:spacing w:beforeAutospacing="1" w:after="100" w:afterAutospacing="1"/>
              <w:jc w:val="center"/>
              <w:rPr>
                <w:rFonts w:cstheme="minorHAnsi"/>
              </w:rPr>
            </w:pPr>
            <w:r w:rsidRPr="00A847B7">
              <w:rPr>
                <w:rFonts w:cstheme="minorHAnsi"/>
              </w:rPr>
              <w:t>5,3 %</w:t>
            </w:r>
          </w:p>
        </w:tc>
      </w:tr>
      <w:tr w:rsidR="00237A5A" w:rsidRPr="00A847B7" w14:paraId="3AB33CF0" w14:textId="77777777" w:rsidTr="00F77061">
        <w:tc>
          <w:tcPr>
            <w:tcW w:w="5670" w:type="dxa"/>
            <w:shd w:val="clear" w:color="auto" w:fill="auto"/>
          </w:tcPr>
          <w:p w14:paraId="60BE7F87" w14:textId="23771D12" w:rsidR="00237A5A" w:rsidRPr="00A847B7" w:rsidRDefault="00237A5A" w:rsidP="001D01C2">
            <w:pPr>
              <w:spacing w:beforeAutospacing="1" w:after="100" w:afterAutospacing="1"/>
              <w:jc w:val="center"/>
              <w:rPr>
                <w:rFonts w:cstheme="minorHAnsi"/>
              </w:rPr>
            </w:pPr>
            <w:r w:rsidRPr="00A847B7">
              <w:rPr>
                <w:rFonts w:cstheme="minorHAnsi"/>
              </w:rPr>
              <w:t xml:space="preserve">Supérieure ou égale à 2 </w:t>
            </w:r>
            <w:r w:rsidR="00BA47BA" w:rsidRPr="00A847B7">
              <w:rPr>
                <w:rFonts w:cstheme="minorHAnsi"/>
              </w:rPr>
              <w:t xml:space="preserve">922 </w:t>
            </w:r>
            <w:r w:rsidRPr="00A847B7">
              <w:rPr>
                <w:rFonts w:cstheme="minorHAnsi"/>
              </w:rPr>
              <w:t xml:space="preserve">et inférieure à 4 </w:t>
            </w:r>
            <w:r w:rsidR="00BA47BA" w:rsidRPr="00A847B7">
              <w:rPr>
                <w:rFonts w:cstheme="minorHAnsi"/>
              </w:rPr>
              <w:t xml:space="preserve">033 </w:t>
            </w:r>
            <w:r w:rsidRPr="00A847B7">
              <w:rPr>
                <w:rFonts w:cstheme="minorHAnsi"/>
              </w:rPr>
              <w:t>€</w:t>
            </w:r>
          </w:p>
        </w:tc>
        <w:tc>
          <w:tcPr>
            <w:tcW w:w="3392" w:type="dxa"/>
            <w:shd w:val="clear" w:color="auto" w:fill="auto"/>
          </w:tcPr>
          <w:p w14:paraId="072F3FE7" w14:textId="77777777" w:rsidR="00237A5A" w:rsidRPr="00A847B7" w:rsidRDefault="00237A5A" w:rsidP="001D01C2">
            <w:pPr>
              <w:spacing w:beforeAutospacing="1" w:after="100" w:afterAutospacing="1"/>
              <w:jc w:val="center"/>
              <w:rPr>
                <w:rFonts w:cstheme="minorHAnsi"/>
              </w:rPr>
            </w:pPr>
            <w:r w:rsidRPr="00A847B7">
              <w:rPr>
                <w:rFonts w:cstheme="minorHAnsi"/>
              </w:rPr>
              <w:t>7,5 %</w:t>
            </w:r>
          </w:p>
        </w:tc>
      </w:tr>
      <w:tr w:rsidR="00237A5A" w:rsidRPr="00A847B7" w14:paraId="5FD6E0B0" w14:textId="77777777" w:rsidTr="00F77061">
        <w:tc>
          <w:tcPr>
            <w:tcW w:w="5670" w:type="dxa"/>
            <w:shd w:val="clear" w:color="auto" w:fill="auto"/>
          </w:tcPr>
          <w:p w14:paraId="093589A0" w14:textId="27504041" w:rsidR="00237A5A" w:rsidRPr="00A847B7" w:rsidRDefault="00237A5A" w:rsidP="001D01C2">
            <w:pPr>
              <w:spacing w:beforeAutospacing="1" w:after="100" w:afterAutospacing="1"/>
              <w:jc w:val="center"/>
              <w:rPr>
                <w:rFonts w:cstheme="minorHAnsi"/>
              </w:rPr>
            </w:pPr>
            <w:r w:rsidRPr="00A847B7">
              <w:rPr>
                <w:rFonts w:cstheme="minorHAnsi"/>
              </w:rPr>
              <w:lastRenderedPageBreak/>
              <w:t xml:space="preserve">Supérieure ou égale à 4 </w:t>
            </w:r>
            <w:r w:rsidR="00BA47BA" w:rsidRPr="00A847B7">
              <w:rPr>
                <w:rFonts w:cstheme="minorHAnsi"/>
              </w:rPr>
              <w:t xml:space="preserve">033 </w:t>
            </w:r>
            <w:r w:rsidRPr="00A847B7">
              <w:rPr>
                <w:rFonts w:cstheme="minorHAnsi"/>
              </w:rPr>
              <w:t xml:space="preserve">et inférieure à 5 </w:t>
            </w:r>
            <w:r w:rsidR="00BA47BA" w:rsidRPr="00A847B7">
              <w:rPr>
                <w:rFonts w:cstheme="minorHAnsi"/>
              </w:rPr>
              <w:t xml:space="preserve">219 </w:t>
            </w:r>
            <w:r w:rsidRPr="00A847B7">
              <w:rPr>
                <w:rFonts w:cstheme="minorHAnsi"/>
              </w:rPr>
              <w:t>€</w:t>
            </w:r>
          </w:p>
        </w:tc>
        <w:tc>
          <w:tcPr>
            <w:tcW w:w="3392" w:type="dxa"/>
            <w:shd w:val="clear" w:color="auto" w:fill="auto"/>
          </w:tcPr>
          <w:p w14:paraId="65ED68B5" w14:textId="77777777" w:rsidR="00237A5A" w:rsidRPr="00A847B7" w:rsidRDefault="00237A5A" w:rsidP="001D01C2">
            <w:pPr>
              <w:spacing w:beforeAutospacing="1" w:after="100" w:afterAutospacing="1"/>
              <w:jc w:val="center"/>
              <w:rPr>
                <w:rFonts w:cstheme="minorHAnsi"/>
              </w:rPr>
            </w:pPr>
            <w:r w:rsidRPr="00A847B7">
              <w:rPr>
                <w:rFonts w:cstheme="minorHAnsi"/>
              </w:rPr>
              <w:t>9,9 %</w:t>
            </w:r>
          </w:p>
        </w:tc>
      </w:tr>
      <w:tr w:rsidR="00237A5A" w:rsidRPr="00A847B7" w14:paraId="059BC7B9" w14:textId="77777777" w:rsidTr="00F77061">
        <w:tc>
          <w:tcPr>
            <w:tcW w:w="5670" w:type="dxa"/>
            <w:shd w:val="clear" w:color="auto" w:fill="auto"/>
          </w:tcPr>
          <w:p w14:paraId="5176A038" w14:textId="253F6585" w:rsidR="00237A5A" w:rsidRPr="00A847B7" w:rsidRDefault="00237A5A" w:rsidP="001D01C2">
            <w:pPr>
              <w:spacing w:beforeAutospacing="1" w:after="100" w:afterAutospacing="1"/>
              <w:jc w:val="center"/>
              <w:rPr>
                <w:rFonts w:cstheme="minorHAnsi"/>
              </w:rPr>
            </w:pPr>
            <w:r w:rsidRPr="00A847B7">
              <w:rPr>
                <w:rFonts w:cstheme="minorHAnsi"/>
              </w:rPr>
              <w:t xml:space="preserve">Supérieure ou égale à 5 </w:t>
            </w:r>
            <w:r w:rsidR="00BA47BA" w:rsidRPr="00A847B7">
              <w:rPr>
                <w:rFonts w:cstheme="minorHAnsi"/>
              </w:rPr>
              <w:t xml:space="preserve">219 </w:t>
            </w:r>
            <w:r w:rsidRPr="00A847B7">
              <w:rPr>
                <w:rFonts w:cstheme="minorHAnsi"/>
              </w:rPr>
              <w:t xml:space="preserve">et inférieure à 5 </w:t>
            </w:r>
            <w:r w:rsidR="00BA47BA" w:rsidRPr="00A847B7">
              <w:rPr>
                <w:rFonts w:cstheme="minorHAnsi"/>
              </w:rPr>
              <w:t xml:space="preserve">887 </w:t>
            </w:r>
            <w:r w:rsidRPr="00A847B7">
              <w:rPr>
                <w:rFonts w:cstheme="minorHAnsi"/>
              </w:rPr>
              <w:t>€</w:t>
            </w:r>
          </w:p>
        </w:tc>
        <w:tc>
          <w:tcPr>
            <w:tcW w:w="3392" w:type="dxa"/>
            <w:shd w:val="clear" w:color="auto" w:fill="auto"/>
          </w:tcPr>
          <w:p w14:paraId="4EED6DD8" w14:textId="77777777" w:rsidR="00237A5A" w:rsidRPr="00A847B7" w:rsidRDefault="00237A5A" w:rsidP="001D01C2">
            <w:pPr>
              <w:spacing w:beforeAutospacing="1" w:after="100" w:afterAutospacing="1"/>
              <w:jc w:val="center"/>
              <w:rPr>
                <w:rFonts w:cstheme="minorHAnsi"/>
              </w:rPr>
            </w:pPr>
            <w:r w:rsidRPr="00A847B7">
              <w:rPr>
                <w:rFonts w:cstheme="minorHAnsi"/>
              </w:rPr>
              <w:t>11,9 %</w:t>
            </w:r>
          </w:p>
        </w:tc>
      </w:tr>
      <w:tr w:rsidR="00237A5A" w:rsidRPr="00A847B7" w14:paraId="3FB2F030" w14:textId="77777777" w:rsidTr="00F77061">
        <w:tc>
          <w:tcPr>
            <w:tcW w:w="5670" w:type="dxa"/>
            <w:shd w:val="clear" w:color="auto" w:fill="auto"/>
          </w:tcPr>
          <w:p w14:paraId="4449A5ED" w14:textId="37B88B19" w:rsidR="00237A5A" w:rsidRPr="00A847B7" w:rsidRDefault="00237A5A" w:rsidP="001D01C2">
            <w:pPr>
              <w:spacing w:beforeAutospacing="1" w:after="100" w:afterAutospacing="1"/>
              <w:jc w:val="center"/>
              <w:rPr>
                <w:rFonts w:cstheme="minorHAnsi"/>
              </w:rPr>
            </w:pPr>
            <w:r w:rsidRPr="00A847B7">
              <w:rPr>
                <w:rFonts w:cstheme="minorHAnsi"/>
              </w:rPr>
              <w:t xml:space="preserve">Supérieure ou égale à 5 </w:t>
            </w:r>
            <w:r w:rsidR="00BA47BA" w:rsidRPr="00A847B7">
              <w:rPr>
                <w:rFonts w:cstheme="minorHAnsi"/>
              </w:rPr>
              <w:t xml:space="preserve">887 </w:t>
            </w:r>
            <w:r w:rsidRPr="00A847B7">
              <w:rPr>
                <w:rFonts w:cstheme="minorHAnsi"/>
              </w:rPr>
              <w:t xml:space="preserve">et inférieure à 6 </w:t>
            </w:r>
            <w:r w:rsidR="00BA47BA" w:rsidRPr="00A847B7">
              <w:rPr>
                <w:rFonts w:cstheme="minorHAnsi"/>
              </w:rPr>
              <w:t xml:space="preserve">830 </w:t>
            </w:r>
            <w:r w:rsidRPr="00A847B7">
              <w:rPr>
                <w:rFonts w:cstheme="minorHAnsi"/>
              </w:rPr>
              <w:t>€</w:t>
            </w:r>
          </w:p>
        </w:tc>
        <w:tc>
          <w:tcPr>
            <w:tcW w:w="3392" w:type="dxa"/>
            <w:shd w:val="clear" w:color="auto" w:fill="auto"/>
          </w:tcPr>
          <w:p w14:paraId="586F44E5" w14:textId="77777777" w:rsidR="00237A5A" w:rsidRPr="00A847B7" w:rsidRDefault="00237A5A" w:rsidP="001D01C2">
            <w:pPr>
              <w:spacing w:beforeAutospacing="1" w:after="100" w:afterAutospacing="1"/>
              <w:jc w:val="center"/>
              <w:rPr>
                <w:rFonts w:cstheme="minorHAnsi"/>
              </w:rPr>
            </w:pPr>
            <w:r w:rsidRPr="00A847B7">
              <w:rPr>
                <w:rFonts w:cstheme="minorHAnsi"/>
              </w:rPr>
              <w:t>13,8 %</w:t>
            </w:r>
          </w:p>
        </w:tc>
      </w:tr>
      <w:tr w:rsidR="00237A5A" w:rsidRPr="00A847B7" w14:paraId="79C59530" w14:textId="77777777" w:rsidTr="00F77061">
        <w:tc>
          <w:tcPr>
            <w:tcW w:w="5670" w:type="dxa"/>
            <w:shd w:val="clear" w:color="auto" w:fill="auto"/>
          </w:tcPr>
          <w:p w14:paraId="4EB549F6" w14:textId="17350DF9" w:rsidR="00237A5A" w:rsidRPr="00A847B7" w:rsidRDefault="00237A5A" w:rsidP="001D01C2">
            <w:pPr>
              <w:spacing w:beforeAutospacing="1" w:after="100" w:afterAutospacing="1"/>
              <w:jc w:val="center"/>
              <w:rPr>
                <w:rFonts w:cstheme="minorHAnsi"/>
              </w:rPr>
            </w:pPr>
            <w:r w:rsidRPr="00A847B7">
              <w:rPr>
                <w:rFonts w:cstheme="minorHAnsi"/>
              </w:rPr>
              <w:t xml:space="preserve">Supérieure ou égale à 6 </w:t>
            </w:r>
            <w:r w:rsidR="00BA47BA" w:rsidRPr="00A847B7">
              <w:rPr>
                <w:rFonts w:cstheme="minorHAnsi"/>
              </w:rPr>
              <w:t xml:space="preserve">830 </w:t>
            </w:r>
            <w:r w:rsidRPr="00A847B7">
              <w:rPr>
                <w:rFonts w:cstheme="minorHAnsi"/>
              </w:rPr>
              <w:t xml:space="preserve">et inférieure à 7 </w:t>
            </w:r>
            <w:r w:rsidR="00BA47BA" w:rsidRPr="00A847B7">
              <w:rPr>
                <w:rFonts w:cstheme="minorHAnsi"/>
              </w:rPr>
              <w:t xml:space="preserve">515 </w:t>
            </w:r>
            <w:r w:rsidRPr="00A847B7">
              <w:rPr>
                <w:rFonts w:cstheme="minorHAnsi"/>
              </w:rPr>
              <w:t>€</w:t>
            </w:r>
          </w:p>
        </w:tc>
        <w:tc>
          <w:tcPr>
            <w:tcW w:w="3392" w:type="dxa"/>
            <w:shd w:val="clear" w:color="auto" w:fill="auto"/>
          </w:tcPr>
          <w:p w14:paraId="1BE34B1F" w14:textId="77777777" w:rsidR="00237A5A" w:rsidRPr="00A847B7" w:rsidRDefault="00237A5A" w:rsidP="001D01C2">
            <w:pPr>
              <w:spacing w:beforeAutospacing="1" w:after="100" w:afterAutospacing="1"/>
              <w:jc w:val="center"/>
              <w:rPr>
                <w:rFonts w:cstheme="minorHAnsi"/>
              </w:rPr>
            </w:pPr>
            <w:r w:rsidRPr="00A847B7">
              <w:rPr>
                <w:rFonts w:cstheme="minorHAnsi"/>
              </w:rPr>
              <w:t>15,8 %</w:t>
            </w:r>
          </w:p>
        </w:tc>
      </w:tr>
      <w:tr w:rsidR="00237A5A" w:rsidRPr="00A847B7" w14:paraId="12393367" w14:textId="77777777" w:rsidTr="00F77061">
        <w:tc>
          <w:tcPr>
            <w:tcW w:w="5670" w:type="dxa"/>
            <w:shd w:val="clear" w:color="auto" w:fill="auto"/>
          </w:tcPr>
          <w:p w14:paraId="2BF943BB" w14:textId="6870AE35" w:rsidR="00237A5A" w:rsidRPr="00A847B7" w:rsidRDefault="00237A5A" w:rsidP="001D01C2">
            <w:pPr>
              <w:spacing w:beforeAutospacing="1" w:after="100" w:afterAutospacing="1"/>
              <w:jc w:val="center"/>
              <w:rPr>
                <w:rFonts w:cstheme="minorHAnsi"/>
              </w:rPr>
            </w:pPr>
            <w:r w:rsidRPr="00A847B7">
              <w:rPr>
                <w:rFonts w:cstheme="minorHAnsi"/>
              </w:rPr>
              <w:t xml:space="preserve">Supérieure ou égale à 7 </w:t>
            </w:r>
            <w:r w:rsidR="00BA47BA" w:rsidRPr="00A847B7">
              <w:rPr>
                <w:rFonts w:cstheme="minorHAnsi"/>
              </w:rPr>
              <w:t xml:space="preserve">515 </w:t>
            </w:r>
            <w:r w:rsidRPr="00A847B7">
              <w:rPr>
                <w:rFonts w:cstheme="minorHAnsi"/>
              </w:rPr>
              <w:t xml:space="preserve">et inférieure à 8 </w:t>
            </w:r>
            <w:r w:rsidR="008676F8" w:rsidRPr="00A847B7">
              <w:rPr>
                <w:rFonts w:cstheme="minorHAnsi"/>
              </w:rPr>
              <w:t xml:space="preserve">325 </w:t>
            </w:r>
            <w:r w:rsidRPr="00A847B7">
              <w:rPr>
                <w:rFonts w:cstheme="minorHAnsi"/>
              </w:rPr>
              <w:t>€</w:t>
            </w:r>
          </w:p>
        </w:tc>
        <w:tc>
          <w:tcPr>
            <w:tcW w:w="3392" w:type="dxa"/>
            <w:shd w:val="clear" w:color="auto" w:fill="auto"/>
          </w:tcPr>
          <w:p w14:paraId="14A828FD" w14:textId="77777777" w:rsidR="00237A5A" w:rsidRPr="00A847B7" w:rsidRDefault="00237A5A" w:rsidP="001D01C2">
            <w:pPr>
              <w:spacing w:beforeAutospacing="1" w:after="100" w:afterAutospacing="1"/>
              <w:jc w:val="center"/>
              <w:rPr>
                <w:rFonts w:cstheme="minorHAnsi"/>
              </w:rPr>
            </w:pPr>
            <w:r w:rsidRPr="00A847B7">
              <w:rPr>
                <w:rFonts w:cstheme="minorHAnsi"/>
              </w:rPr>
              <w:t>17,9 %</w:t>
            </w:r>
          </w:p>
        </w:tc>
      </w:tr>
      <w:tr w:rsidR="00237A5A" w:rsidRPr="00A847B7" w14:paraId="33D7E474" w14:textId="77777777" w:rsidTr="00F77061">
        <w:tc>
          <w:tcPr>
            <w:tcW w:w="5670" w:type="dxa"/>
            <w:shd w:val="clear" w:color="auto" w:fill="auto"/>
          </w:tcPr>
          <w:p w14:paraId="3775A074" w14:textId="0D32AA6D" w:rsidR="00237A5A" w:rsidRPr="00A847B7" w:rsidRDefault="00237A5A" w:rsidP="001D01C2">
            <w:pPr>
              <w:spacing w:beforeAutospacing="1" w:after="100" w:afterAutospacing="1"/>
              <w:jc w:val="center"/>
              <w:rPr>
                <w:rFonts w:cstheme="minorHAnsi"/>
              </w:rPr>
            </w:pPr>
            <w:r w:rsidRPr="00A847B7">
              <w:rPr>
                <w:rFonts w:cstheme="minorHAnsi"/>
              </w:rPr>
              <w:t xml:space="preserve">Supérieure ou égale à 8 </w:t>
            </w:r>
            <w:r w:rsidR="008676F8" w:rsidRPr="00A847B7">
              <w:rPr>
                <w:rFonts w:cstheme="minorHAnsi"/>
              </w:rPr>
              <w:t xml:space="preserve">325 </w:t>
            </w:r>
            <w:r w:rsidRPr="00A847B7">
              <w:rPr>
                <w:rFonts w:cstheme="minorHAnsi"/>
              </w:rPr>
              <w:t xml:space="preserve">et inférieure à 9 </w:t>
            </w:r>
            <w:r w:rsidR="008676F8" w:rsidRPr="00A847B7">
              <w:rPr>
                <w:rFonts w:cstheme="minorHAnsi"/>
              </w:rPr>
              <w:t xml:space="preserve">661 </w:t>
            </w:r>
            <w:r w:rsidRPr="00A847B7">
              <w:rPr>
                <w:rFonts w:cstheme="minorHAnsi"/>
              </w:rPr>
              <w:t>€</w:t>
            </w:r>
          </w:p>
        </w:tc>
        <w:tc>
          <w:tcPr>
            <w:tcW w:w="3392" w:type="dxa"/>
            <w:shd w:val="clear" w:color="auto" w:fill="auto"/>
          </w:tcPr>
          <w:p w14:paraId="36995829" w14:textId="77777777" w:rsidR="00237A5A" w:rsidRPr="00A847B7" w:rsidRDefault="00237A5A" w:rsidP="001D01C2">
            <w:pPr>
              <w:spacing w:beforeAutospacing="1" w:after="100" w:afterAutospacing="1"/>
              <w:jc w:val="center"/>
              <w:rPr>
                <w:rFonts w:cstheme="minorHAnsi"/>
              </w:rPr>
            </w:pPr>
            <w:r w:rsidRPr="00A847B7">
              <w:rPr>
                <w:rFonts w:cstheme="minorHAnsi"/>
              </w:rPr>
              <w:t>20 %</w:t>
            </w:r>
          </w:p>
        </w:tc>
      </w:tr>
      <w:tr w:rsidR="00237A5A" w:rsidRPr="00A847B7" w14:paraId="1A5F7BE0" w14:textId="77777777" w:rsidTr="00F77061">
        <w:tc>
          <w:tcPr>
            <w:tcW w:w="5670" w:type="dxa"/>
            <w:shd w:val="clear" w:color="auto" w:fill="auto"/>
          </w:tcPr>
          <w:p w14:paraId="7C63FB85" w14:textId="5DCE2E7D" w:rsidR="00237A5A" w:rsidRPr="00A847B7" w:rsidRDefault="00237A5A" w:rsidP="001D01C2">
            <w:pPr>
              <w:spacing w:beforeAutospacing="1" w:after="100" w:afterAutospacing="1"/>
              <w:jc w:val="center"/>
              <w:rPr>
                <w:rFonts w:cstheme="minorHAnsi"/>
              </w:rPr>
            </w:pPr>
            <w:r w:rsidRPr="00A847B7">
              <w:rPr>
                <w:rFonts w:cstheme="minorHAnsi"/>
              </w:rPr>
              <w:t xml:space="preserve">Supérieure ou égale à 9 </w:t>
            </w:r>
            <w:r w:rsidR="008676F8" w:rsidRPr="00A847B7">
              <w:rPr>
                <w:rFonts w:cstheme="minorHAnsi"/>
              </w:rPr>
              <w:t xml:space="preserve">661 </w:t>
            </w:r>
            <w:r w:rsidRPr="00A847B7">
              <w:rPr>
                <w:rFonts w:cstheme="minorHAnsi"/>
              </w:rPr>
              <w:t xml:space="preserve">et inférieure à 12 </w:t>
            </w:r>
            <w:r w:rsidR="008676F8" w:rsidRPr="00A847B7">
              <w:rPr>
                <w:rFonts w:cstheme="minorHAnsi"/>
              </w:rPr>
              <w:t xml:space="preserve">997 </w:t>
            </w:r>
            <w:r w:rsidRPr="00A847B7">
              <w:rPr>
                <w:rFonts w:cstheme="minorHAnsi"/>
              </w:rPr>
              <w:t>€</w:t>
            </w:r>
          </w:p>
        </w:tc>
        <w:tc>
          <w:tcPr>
            <w:tcW w:w="3392" w:type="dxa"/>
            <w:shd w:val="clear" w:color="auto" w:fill="auto"/>
          </w:tcPr>
          <w:p w14:paraId="22B5252A" w14:textId="77777777" w:rsidR="00237A5A" w:rsidRPr="00A847B7" w:rsidRDefault="00237A5A" w:rsidP="001D01C2">
            <w:pPr>
              <w:spacing w:beforeAutospacing="1" w:after="100" w:afterAutospacing="1"/>
              <w:jc w:val="center"/>
              <w:rPr>
                <w:rFonts w:cstheme="minorHAnsi"/>
              </w:rPr>
            </w:pPr>
            <w:r w:rsidRPr="00A847B7">
              <w:rPr>
                <w:rFonts w:cstheme="minorHAnsi"/>
              </w:rPr>
              <w:t>24 %</w:t>
            </w:r>
          </w:p>
        </w:tc>
      </w:tr>
      <w:tr w:rsidR="00237A5A" w:rsidRPr="00A847B7" w14:paraId="67940B1E" w14:textId="77777777" w:rsidTr="00F77061">
        <w:tc>
          <w:tcPr>
            <w:tcW w:w="5670" w:type="dxa"/>
            <w:shd w:val="clear" w:color="auto" w:fill="auto"/>
          </w:tcPr>
          <w:p w14:paraId="5C1FFC04" w14:textId="56ED2344" w:rsidR="00237A5A" w:rsidRPr="00A847B7" w:rsidRDefault="00237A5A" w:rsidP="001D01C2">
            <w:pPr>
              <w:spacing w:beforeAutospacing="1" w:after="100" w:afterAutospacing="1"/>
              <w:jc w:val="center"/>
              <w:rPr>
                <w:rFonts w:cstheme="minorHAnsi"/>
              </w:rPr>
            </w:pPr>
            <w:r w:rsidRPr="00A847B7">
              <w:rPr>
                <w:rFonts w:cstheme="minorHAnsi"/>
              </w:rPr>
              <w:t xml:space="preserve">Supérieure ou égale à 12 </w:t>
            </w:r>
            <w:r w:rsidR="008676F8" w:rsidRPr="00A847B7">
              <w:rPr>
                <w:rFonts w:cstheme="minorHAnsi"/>
              </w:rPr>
              <w:t xml:space="preserve">997 </w:t>
            </w:r>
            <w:r w:rsidRPr="00A847B7">
              <w:rPr>
                <w:rFonts w:cstheme="minorHAnsi"/>
              </w:rPr>
              <w:t xml:space="preserve">et inférieure à 16 </w:t>
            </w:r>
            <w:r w:rsidR="008676F8" w:rsidRPr="00A847B7">
              <w:rPr>
                <w:rFonts w:cstheme="minorHAnsi"/>
              </w:rPr>
              <w:t xml:space="preserve">533 </w:t>
            </w:r>
            <w:r w:rsidRPr="00A847B7">
              <w:rPr>
                <w:rFonts w:cstheme="minorHAnsi"/>
              </w:rPr>
              <w:t>€</w:t>
            </w:r>
          </w:p>
        </w:tc>
        <w:tc>
          <w:tcPr>
            <w:tcW w:w="3392" w:type="dxa"/>
            <w:shd w:val="clear" w:color="auto" w:fill="auto"/>
          </w:tcPr>
          <w:p w14:paraId="521415C5" w14:textId="77777777" w:rsidR="00237A5A" w:rsidRPr="00A847B7" w:rsidRDefault="00237A5A" w:rsidP="001D01C2">
            <w:pPr>
              <w:spacing w:beforeAutospacing="1" w:after="100" w:afterAutospacing="1"/>
              <w:jc w:val="center"/>
              <w:rPr>
                <w:rFonts w:cstheme="minorHAnsi"/>
              </w:rPr>
            </w:pPr>
            <w:r w:rsidRPr="00A847B7">
              <w:rPr>
                <w:rFonts w:cstheme="minorHAnsi"/>
              </w:rPr>
              <w:t>28 %</w:t>
            </w:r>
          </w:p>
        </w:tc>
      </w:tr>
      <w:tr w:rsidR="00237A5A" w:rsidRPr="00A847B7" w14:paraId="09BB4AA1" w14:textId="77777777" w:rsidTr="00F77061">
        <w:tc>
          <w:tcPr>
            <w:tcW w:w="5670" w:type="dxa"/>
            <w:shd w:val="clear" w:color="auto" w:fill="auto"/>
          </w:tcPr>
          <w:p w14:paraId="357B74F6" w14:textId="4EB5FB26" w:rsidR="00237A5A" w:rsidRPr="00A847B7" w:rsidRDefault="00237A5A" w:rsidP="001D01C2">
            <w:pPr>
              <w:spacing w:beforeAutospacing="1" w:after="100" w:afterAutospacing="1"/>
              <w:jc w:val="center"/>
              <w:rPr>
                <w:rFonts w:cstheme="minorHAnsi"/>
              </w:rPr>
            </w:pPr>
            <w:r w:rsidRPr="00A847B7">
              <w:rPr>
                <w:rFonts w:cstheme="minorHAnsi"/>
              </w:rPr>
              <w:t xml:space="preserve">Supérieure ou égale à 16 </w:t>
            </w:r>
            <w:r w:rsidR="008676F8" w:rsidRPr="00A847B7">
              <w:rPr>
                <w:rFonts w:cstheme="minorHAnsi"/>
              </w:rPr>
              <w:t xml:space="preserve">533 </w:t>
            </w:r>
            <w:r w:rsidRPr="00A847B7">
              <w:rPr>
                <w:rFonts w:cstheme="minorHAnsi"/>
              </w:rPr>
              <w:t xml:space="preserve">et inférieure à 26 </w:t>
            </w:r>
            <w:r w:rsidR="009A5F5D" w:rsidRPr="00A847B7">
              <w:rPr>
                <w:rFonts w:cstheme="minorHAnsi"/>
              </w:rPr>
              <w:t xml:space="preserve">496 </w:t>
            </w:r>
            <w:r w:rsidRPr="00A847B7">
              <w:rPr>
                <w:rFonts w:cstheme="minorHAnsi"/>
              </w:rPr>
              <w:t>€</w:t>
            </w:r>
          </w:p>
        </w:tc>
        <w:tc>
          <w:tcPr>
            <w:tcW w:w="3392" w:type="dxa"/>
            <w:shd w:val="clear" w:color="auto" w:fill="auto"/>
          </w:tcPr>
          <w:p w14:paraId="5C42CCE5" w14:textId="77777777" w:rsidR="00237A5A" w:rsidRPr="00A847B7" w:rsidRDefault="00237A5A" w:rsidP="001D01C2">
            <w:pPr>
              <w:spacing w:beforeAutospacing="1" w:after="100" w:afterAutospacing="1"/>
              <w:jc w:val="center"/>
              <w:rPr>
                <w:rFonts w:cstheme="minorHAnsi"/>
              </w:rPr>
            </w:pPr>
            <w:r w:rsidRPr="00A847B7">
              <w:rPr>
                <w:rFonts w:cstheme="minorHAnsi"/>
              </w:rPr>
              <w:t>33 %</w:t>
            </w:r>
          </w:p>
        </w:tc>
      </w:tr>
      <w:tr w:rsidR="00237A5A" w:rsidRPr="00A847B7" w14:paraId="603AE890" w14:textId="77777777" w:rsidTr="00F77061">
        <w:tc>
          <w:tcPr>
            <w:tcW w:w="5670" w:type="dxa"/>
            <w:shd w:val="clear" w:color="auto" w:fill="auto"/>
          </w:tcPr>
          <w:p w14:paraId="712AC95E" w14:textId="1F9807E4" w:rsidR="00237A5A" w:rsidRPr="00A847B7" w:rsidRDefault="00237A5A" w:rsidP="001D01C2">
            <w:pPr>
              <w:spacing w:beforeAutospacing="1" w:after="100" w:afterAutospacing="1"/>
              <w:jc w:val="center"/>
              <w:rPr>
                <w:rFonts w:cstheme="minorHAnsi"/>
              </w:rPr>
            </w:pPr>
            <w:r w:rsidRPr="00A847B7">
              <w:rPr>
                <w:rFonts w:cstheme="minorHAnsi"/>
              </w:rPr>
              <w:t xml:space="preserve">Supérieure ou égale à 26 </w:t>
            </w:r>
            <w:r w:rsidR="009A5F5D" w:rsidRPr="00A847B7">
              <w:rPr>
                <w:rFonts w:cstheme="minorHAnsi"/>
              </w:rPr>
              <w:t xml:space="preserve">496 </w:t>
            </w:r>
            <w:r w:rsidRPr="00A847B7">
              <w:rPr>
                <w:rFonts w:cstheme="minorHAnsi"/>
              </w:rPr>
              <w:t xml:space="preserve">et inférieure à 55 </w:t>
            </w:r>
            <w:r w:rsidR="009A5F5D" w:rsidRPr="00A847B7">
              <w:rPr>
                <w:rFonts w:cstheme="minorHAnsi"/>
              </w:rPr>
              <w:t xml:space="preserve">926 </w:t>
            </w:r>
            <w:r w:rsidRPr="00A847B7">
              <w:rPr>
                <w:rFonts w:cstheme="minorHAnsi"/>
              </w:rPr>
              <w:t>€</w:t>
            </w:r>
          </w:p>
        </w:tc>
        <w:tc>
          <w:tcPr>
            <w:tcW w:w="3392" w:type="dxa"/>
            <w:shd w:val="clear" w:color="auto" w:fill="auto"/>
          </w:tcPr>
          <w:p w14:paraId="117C14E9" w14:textId="77777777" w:rsidR="00237A5A" w:rsidRPr="00A847B7" w:rsidRDefault="00237A5A" w:rsidP="001D01C2">
            <w:pPr>
              <w:spacing w:beforeAutospacing="1" w:after="100" w:afterAutospacing="1"/>
              <w:jc w:val="center"/>
              <w:rPr>
                <w:rFonts w:cstheme="minorHAnsi"/>
              </w:rPr>
            </w:pPr>
            <w:r w:rsidRPr="00A847B7">
              <w:rPr>
                <w:rFonts w:cstheme="minorHAnsi"/>
              </w:rPr>
              <w:t>38 %</w:t>
            </w:r>
          </w:p>
        </w:tc>
      </w:tr>
      <w:tr w:rsidR="00237A5A" w:rsidRPr="00A847B7" w14:paraId="272BCFA5" w14:textId="77777777" w:rsidTr="00F77061">
        <w:tc>
          <w:tcPr>
            <w:tcW w:w="5670" w:type="dxa"/>
            <w:shd w:val="clear" w:color="auto" w:fill="auto"/>
          </w:tcPr>
          <w:p w14:paraId="4EF8C5D0" w14:textId="2673670F" w:rsidR="00237A5A" w:rsidRPr="00A847B7" w:rsidRDefault="00237A5A" w:rsidP="001D01C2">
            <w:pPr>
              <w:spacing w:beforeAutospacing="1" w:after="100" w:afterAutospacing="1"/>
              <w:jc w:val="center"/>
              <w:rPr>
                <w:rFonts w:cstheme="minorHAnsi"/>
              </w:rPr>
            </w:pPr>
            <w:r w:rsidRPr="00A847B7">
              <w:rPr>
                <w:rFonts w:cstheme="minorHAnsi"/>
              </w:rPr>
              <w:t xml:space="preserve">≥ à 55 </w:t>
            </w:r>
            <w:r w:rsidR="009A5F5D" w:rsidRPr="00A847B7">
              <w:rPr>
                <w:rFonts w:cstheme="minorHAnsi"/>
              </w:rPr>
              <w:t xml:space="preserve">926 </w:t>
            </w:r>
            <w:r w:rsidRPr="00A847B7">
              <w:rPr>
                <w:rFonts w:cstheme="minorHAnsi"/>
              </w:rPr>
              <w:t>€</w:t>
            </w:r>
          </w:p>
        </w:tc>
        <w:tc>
          <w:tcPr>
            <w:tcW w:w="3392" w:type="dxa"/>
            <w:shd w:val="clear" w:color="auto" w:fill="auto"/>
          </w:tcPr>
          <w:p w14:paraId="38C98CD0" w14:textId="77777777" w:rsidR="00237A5A" w:rsidRPr="00A847B7" w:rsidRDefault="00237A5A" w:rsidP="001D01C2">
            <w:pPr>
              <w:spacing w:beforeAutospacing="1" w:after="100" w:afterAutospacing="1"/>
              <w:jc w:val="center"/>
              <w:rPr>
                <w:rFonts w:cstheme="minorHAnsi"/>
              </w:rPr>
            </w:pPr>
            <w:r w:rsidRPr="00A847B7">
              <w:rPr>
                <w:rFonts w:cstheme="minorHAnsi"/>
              </w:rPr>
              <w:t>43 %</w:t>
            </w:r>
          </w:p>
        </w:tc>
      </w:tr>
    </w:tbl>
    <w:p w14:paraId="2A553492" w14:textId="77777777" w:rsidR="00890518" w:rsidRDefault="00890518" w:rsidP="00237A5A">
      <w:pPr>
        <w:rPr>
          <w:rFonts w:cstheme="minorHAnsi"/>
        </w:rPr>
      </w:pPr>
    </w:p>
    <w:p w14:paraId="56C9BCBD" w14:textId="0DB315BA" w:rsidR="00237A5A" w:rsidRPr="00A847B7" w:rsidRDefault="00237A5A" w:rsidP="00237A5A">
      <w:r w:rsidRPr="00A847B7">
        <w:rPr>
          <w:rFonts w:cstheme="minorHAnsi"/>
        </w:rPr>
        <w:br w:type="page"/>
      </w:r>
    </w:p>
    <w:p w14:paraId="5E256655" w14:textId="77777777" w:rsidR="004414BB" w:rsidRPr="00A847B7" w:rsidRDefault="004414BB" w:rsidP="0070540D"/>
    <w:p w14:paraId="4019EA87" w14:textId="77777777" w:rsidR="00BF2BD6" w:rsidRPr="00A847B7" w:rsidRDefault="00BF2BD6" w:rsidP="00BF2BD6">
      <w:pPr>
        <w:pStyle w:val="Titre2"/>
      </w:pPr>
      <w:bookmarkStart w:id="19" w:name="_Toc30149227"/>
      <w:bookmarkStart w:id="20" w:name="_Toc60780956"/>
      <w:r w:rsidRPr="00A847B7">
        <w:t>Réductions et crédits d’impôt sur le revenu</w:t>
      </w:r>
      <w:bookmarkEnd w:id="19"/>
      <w:bookmarkEnd w:id="20"/>
    </w:p>
    <w:p w14:paraId="1F7E6DDF" w14:textId="77777777" w:rsidR="00A8095A" w:rsidRPr="00A847B7" w:rsidRDefault="00A8095A" w:rsidP="00A8095A"/>
    <w:p w14:paraId="0590048C" w14:textId="12825EF8" w:rsidR="00F71262" w:rsidRPr="00A847B7" w:rsidRDefault="00F71262" w:rsidP="00F71262">
      <w:pPr>
        <w:pStyle w:val="Titre3"/>
      </w:pPr>
      <w:bookmarkStart w:id="21" w:name="_Toc60780957"/>
      <w:r w:rsidRPr="00A847B7">
        <w:t xml:space="preserve">Slide </w:t>
      </w:r>
      <w:r w:rsidR="008164CC">
        <w:t>9</w:t>
      </w:r>
      <w:r w:rsidR="00B320DA" w:rsidRPr="00A847B7">
        <w:t> </w:t>
      </w:r>
      <w:r w:rsidRPr="00A847B7">
        <w:t xml:space="preserve">: </w:t>
      </w:r>
      <w:r w:rsidR="0020069C">
        <w:t>A</w:t>
      </w:r>
      <w:r w:rsidR="00590272" w:rsidRPr="00A847B7">
        <w:t xml:space="preserve">cquisition et pose </w:t>
      </w:r>
      <w:r w:rsidR="00586F3B" w:rsidRPr="00A847B7">
        <w:t>de syst</w:t>
      </w:r>
      <w:r w:rsidR="003C24ED">
        <w:t>è</w:t>
      </w:r>
      <w:r w:rsidR="00586F3B" w:rsidRPr="00A847B7">
        <w:t>me de charge pour v</w:t>
      </w:r>
      <w:r w:rsidR="003C24ED">
        <w:t>é</w:t>
      </w:r>
      <w:r w:rsidR="00586F3B" w:rsidRPr="00A847B7">
        <w:t xml:space="preserve">hicule </w:t>
      </w:r>
      <w:r w:rsidR="00C4362F">
        <w:t>é</w:t>
      </w:r>
      <w:r w:rsidR="00586F3B" w:rsidRPr="00A847B7">
        <w:t>lectrique</w:t>
      </w:r>
      <w:bookmarkEnd w:id="21"/>
    </w:p>
    <w:p w14:paraId="19BC4124" w14:textId="06044A7A" w:rsidR="002471B7" w:rsidRPr="00A847B7" w:rsidRDefault="002471B7" w:rsidP="00694B43">
      <w:r w:rsidRPr="00694B43">
        <w:rPr>
          <w:u w:val="single"/>
        </w:rPr>
        <w:t xml:space="preserve">Source </w:t>
      </w:r>
      <w:r w:rsidRPr="00A847B7">
        <w:t xml:space="preserve">: Loi de Finances pour </w:t>
      </w:r>
      <w:r w:rsidRPr="00A15054">
        <w:t xml:space="preserve">2021, </w:t>
      </w:r>
      <w:r w:rsidRPr="00217E72">
        <w:t xml:space="preserve">article </w:t>
      </w:r>
      <w:r w:rsidR="00A15054" w:rsidRPr="00A15054">
        <w:t>53</w:t>
      </w:r>
    </w:p>
    <w:p w14:paraId="228A566B" w14:textId="514E43D3" w:rsidR="00F71262" w:rsidRPr="00A847B7" w:rsidRDefault="00DA3396" w:rsidP="00F71262">
      <w:pPr>
        <w:spacing w:beforeAutospacing="1" w:after="100" w:afterAutospacing="1"/>
        <w:rPr>
          <w:rFonts w:cstheme="minorHAnsi"/>
        </w:rPr>
      </w:pPr>
      <w:r w:rsidRPr="00A847B7">
        <w:rPr>
          <w:rFonts w:cstheme="minorHAnsi"/>
        </w:rPr>
        <w:t xml:space="preserve">Les particuliers domiciliés en </w:t>
      </w:r>
      <w:r w:rsidR="003763A2" w:rsidRPr="00A847B7">
        <w:rPr>
          <w:rFonts w:cstheme="minorHAnsi"/>
        </w:rPr>
        <w:t>France peuvent bénéficier d’un crédit d’impôt sur le revenu pour les dépenses effectivement supportées, entre le 1</w:t>
      </w:r>
      <w:r w:rsidR="003763A2" w:rsidRPr="00A847B7">
        <w:rPr>
          <w:rFonts w:cstheme="minorHAnsi"/>
          <w:vertAlign w:val="superscript"/>
        </w:rPr>
        <w:t>er</w:t>
      </w:r>
      <w:r w:rsidR="003763A2" w:rsidRPr="00A847B7">
        <w:rPr>
          <w:rFonts w:cstheme="minorHAnsi"/>
        </w:rPr>
        <w:t xml:space="preserve"> janvier 2021 et le 31 décembre 2023</w:t>
      </w:r>
      <w:r w:rsidR="005A3FF4" w:rsidRPr="00A847B7">
        <w:rPr>
          <w:rFonts w:cstheme="minorHAnsi"/>
        </w:rPr>
        <w:t xml:space="preserve">, pour l’achat et la pose d’un système de charge pour véhicule électrique dans </w:t>
      </w:r>
      <w:r w:rsidR="000E137A" w:rsidRPr="00A847B7">
        <w:rPr>
          <w:rFonts w:cstheme="minorHAnsi"/>
        </w:rPr>
        <w:t>leur résidence principale ou secondaire</w:t>
      </w:r>
      <w:r w:rsidR="00AF12C0" w:rsidRPr="00A847B7">
        <w:rPr>
          <w:rFonts w:cstheme="minorHAnsi"/>
        </w:rPr>
        <w:t xml:space="preserve"> (dans la limite d’une résidence secondaire par contribuable)</w:t>
      </w:r>
      <w:r w:rsidR="000E137A" w:rsidRPr="00A847B7">
        <w:rPr>
          <w:rFonts w:cstheme="minorHAnsi"/>
        </w:rPr>
        <w:t>,</w:t>
      </w:r>
      <w:r w:rsidR="005A3FF4" w:rsidRPr="00A847B7">
        <w:rPr>
          <w:rFonts w:cstheme="minorHAnsi"/>
        </w:rPr>
        <w:t xml:space="preserve"> dont ils sont propriétaires, locataires, ou </w:t>
      </w:r>
      <w:r w:rsidR="000E137A" w:rsidRPr="00A847B7">
        <w:rPr>
          <w:rFonts w:cstheme="minorHAnsi"/>
        </w:rPr>
        <w:t>occupants à titre gratuit</w:t>
      </w:r>
      <w:r w:rsidR="00AF12C0" w:rsidRPr="00A847B7">
        <w:rPr>
          <w:rFonts w:cstheme="minorHAnsi"/>
        </w:rPr>
        <w:t>.</w:t>
      </w:r>
    </w:p>
    <w:p w14:paraId="428CC3BA" w14:textId="319071D4" w:rsidR="001527B7" w:rsidRPr="00A847B7" w:rsidRDefault="00425042" w:rsidP="00F71262">
      <w:pPr>
        <w:spacing w:beforeAutospacing="1" w:after="100" w:afterAutospacing="1"/>
        <w:rPr>
          <w:rFonts w:cstheme="minorHAnsi"/>
        </w:rPr>
      </w:pPr>
      <w:r w:rsidRPr="00A847B7">
        <w:rPr>
          <w:rFonts w:cstheme="minorHAnsi"/>
        </w:rPr>
        <w:t>Les caractéristiques techniques des systèmes de charge éligibles s</w:t>
      </w:r>
      <w:r w:rsidR="006845CA" w:rsidRPr="00A847B7">
        <w:rPr>
          <w:rFonts w:cstheme="minorHAnsi"/>
        </w:rPr>
        <w:t>eront précisées par un arrêté (non encore paru à ce jour).</w:t>
      </w:r>
    </w:p>
    <w:p w14:paraId="612B3068" w14:textId="16B3201A" w:rsidR="00AF12C0" w:rsidRPr="00A847B7" w:rsidRDefault="004639E2" w:rsidP="00F71262">
      <w:pPr>
        <w:spacing w:beforeAutospacing="1" w:after="100" w:afterAutospacing="1"/>
        <w:rPr>
          <w:rFonts w:cstheme="minorHAnsi"/>
        </w:rPr>
      </w:pPr>
      <w:r w:rsidRPr="00A847B7">
        <w:rPr>
          <w:rFonts w:cstheme="minorHAnsi"/>
        </w:rPr>
        <w:t>Pour un même logement, cet avantage fis</w:t>
      </w:r>
      <w:r w:rsidR="001941B0" w:rsidRPr="00A847B7">
        <w:rPr>
          <w:rFonts w:cstheme="minorHAnsi"/>
        </w:rPr>
        <w:t>cal est limité à un seul système de charge pour une personne célibataire, veuve ou divorcée, et à 2 systèmes pour un couple soumis à imposition commune.</w:t>
      </w:r>
    </w:p>
    <w:p w14:paraId="375BFEFA" w14:textId="3DFA1DC3" w:rsidR="00546052" w:rsidRPr="00A847B7" w:rsidRDefault="00BD39C5" w:rsidP="00F71262">
      <w:pPr>
        <w:spacing w:beforeAutospacing="1" w:after="100" w:afterAutospacing="1"/>
        <w:rPr>
          <w:rFonts w:cstheme="minorHAnsi"/>
        </w:rPr>
      </w:pPr>
      <w:r w:rsidRPr="00A847B7">
        <w:rPr>
          <w:rFonts w:cstheme="minorHAnsi"/>
        </w:rPr>
        <w:t xml:space="preserve">Le crédit d’impôt est égal à 75 </w:t>
      </w:r>
      <w:r w:rsidR="00A10DFF" w:rsidRPr="00A847B7">
        <w:rPr>
          <w:rFonts w:cstheme="minorHAnsi"/>
        </w:rPr>
        <w:t xml:space="preserve">% </w:t>
      </w:r>
      <w:r w:rsidRPr="00A847B7">
        <w:rPr>
          <w:rFonts w:cstheme="minorHAnsi"/>
        </w:rPr>
        <w:t>du montant des dépenses éligibles, sans pouvoir dépasser 300 € par système de charge</w:t>
      </w:r>
      <w:r w:rsidR="006845CA" w:rsidRPr="00A847B7">
        <w:rPr>
          <w:rFonts w:cstheme="minorHAnsi"/>
        </w:rPr>
        <w:t>, et s’applique pour le calcul de l’impôt dû au titre de l’année du paiement de la dépense</w:t>
      </w:r>
      <w:r w:rsidRPr="00A847B7">
        <w:rPr>
          <w:rFonts w:cstheme="minorHAnsi"/>
        </w:rPr>
        <w:t>.</w:t>
      </w:r>
    </w:p>
    <w:p w14:paraId="2AFDAB45" w14:textId="764E6D26" w:rsidR="00546052" w:rsidRPr="00A847B7" w:rsidRDefault="00546052" w:rsidP="00F71262">
      <w:pPr>
        <w:spacing w:beforeAutospacing="1" w:after="100" w:afterAutospacing="1"/>
        <w:rPr>
          <w:rFonts w:cstheme="minorHAnsi"/>
        </w:rPr>
      </w:pPr>
      <w:r w:rsidRPr="00A847B7">
        <w:rPr>
          <w:rFonts w:cstheme="minorHAnsi"/>
        </w:rPr>
        <w:t xml:space="preserve">Il s’impute </w:t>
      </w:r>
      <w:r w:rsidR="00F347E5" w:rsidRPr="00A847B7">
        <w:rPr>
          <w:rFonts w:cstheme="minorHAnsi"/>
        </w:rPr>
        <w:t xml:space="preserve">sur l’impôt sur le revenu, après imputation de </w:t>
      </w:r>
      <w:r w:rsidR="009321D1" w:rsidRPr="00A847B7">
        <w:rPr>
          <w:rFonts w:cstheme="minorHAnsi"/>
        </w:rPr>
        <w:t>la réduction d’impôt pour dons, de la réduction d’impôt accordée aux adhérents de centres de gest</w:t>
      </w:r>
      <w:r w:rsidR="00603C37" w:rsidRPr="00A847B7">
        <w:rPr>
          <w:rFonts w:cstheme="minorHAnsi"/>
        </w:rPr>
        <w:t>ion ou d’associations agréés, des crédits d’impôts et des prélèvements ou retenues non libératoires.</w:t>
      </w:r>
    </w:p>
    <w:p w14:paraId="39BE33EE" w14:textId="13E1D960" w:rsidR="00603C37" w:rsidRPr="00A847B7" w:rsidRDefault="00603C37" w:rsidP="00F71262">
      <w:pPr>
        <w:spacing w:beforeAutospacing="1" w:after="100" w:afterAutospacing="1"/>
        <w:rPr>
          <w:rFonts w:cstheme="minorHAnsi"/>
        </w:rPr>
      </w:pPr>
      <w:r w:rsidRPr="00A847B7">
        <w:rPr>
          <w:rFonts w:cstheme="minorHAnsi"/>
        </w:rPr>
        <w:t>S’il excèd</w:t>
      </w:r>
      <w:r w:rsidR="004C5F74" w:rsidRPr="00A847B7">
        <w:rPr>
          <w:rFonts w:cstheme="minorHAnsi"/>
        </w:rPr>
        <w:t xml:space="preserve">e l’impôt dû, cet excédent sera </w:t>
      </w:r>
      <w:r w:rsidR="00A16815" w:rsidRPr="00A847B7">
        <w:rPr>
          <w:rFonts w:cstheme="minorHAnsi"/>
        </w:rPr>
        <w:t>restitué</w:t>
      </w:r>
      <w:r w:rsidR="004C5F74" w:rsidRPr="00A847B7">
        <w:rPr>
          <w:rFonts w:cstheme="minorHAnsi"/>
        </w:rPr>
        <w:t>.</w:t>
      </w:r>
    </w:p>
    <w:p w14:paraId="13D1DEC3" w14:textId="73E905EB" w:rsidR="00A10DFF" w:rsidRPr="00A847B7" w:rsidRDefault="00A10DFF" w:rsidP="00F71262">
      <w:pPr>
        <w:spacing w:beforeAutospacing="1" w:after="100" w:afterAutospacing="1"/>
        <w:rPr>
          <w:rFonts w:cstheme="minorHAnsi"/>
        </w:rPr>
      </w:pPr>
      <w:r w:rsidRPr="00A847B7">
        <w:rPr>
          <w:rFonts w:cstheme="minorHAnsi"/>
        </w:rPr>
        <w:t>Les dépenses d’achat et de pose de système de charge n</w:t>
      </w:r>
      <w:r w:rsidR="00960C5A" w:rsidRPr="00A847B7">
        <w:rPr>
          <w:rFonts w:cstheme="minorHAnsi"/>
        </w:rPr>
        <w:t>’ouvrent droit au bénéfice de l’avantage fiscal que si elles sont facturées par l’entreprise :</w:t>
      </w:r>
    </w:p>
    <w:p w14:paraId="4D94ED3A" w14:textId="3155D3A7" w:rsidR="00960C5A" w:rsidRPr="00A847B7" w:rsidRDefault="00960C5A" w:rsidP="00EE0687">
      <w:pPr>
        <w:pStyle w:val="Paragraphedeliste"/>
        <w:numPr>
          <w:ilvl w:val="0"/>
          <w:numId w:val="29"/>
        </w:numPr>
        <w:spacing w:beforeAutospacing="1" w:after="100" w:afterAutospacing="1"/>
        <w:rPr>
          <w:rFonts w:cstheme="minorHAnsi"/>
        </w:rPr>
      </w:pPr>
      <w:r w:rsidRPr="00A847B7">
        <w:rPr>
          <w:rFonts w:cstheme="minorHAnsi"/>
        </w:rPr>
        <w:t>qui procède à la fourniture et à l’installation des systèmes de charge ;</w:t>
      </w:r>
    </w:p>
    <w:p w14:paraId="44A575F9" w14:textId="4F19314A" w:rsidR="00D627D4" w:rsidRPr="00A847B7" w:rsidRDefault="00D627D4" w:rsidP="00EE0687">
      <w:pPr>
        <w:pStyle w:val="Paragraphedeliste"/>
        <w:numPr>
          <w:ilvl w:val="0"/>
          <w:numId w:val="29"/>
        </w:numPr>
        <w:spacing w:beforeAutospacing="1" w:after="100" w:afterAutospacing="1"/>
        <w:rPr>
          <w:rFonts w:cstheme="minorHAnsi"/>
        </w:rPr>
      </w:pPr>
      <w:r w:rsidRPr="00A847B7">
        <w:rPr>
          <w:rFonts w:cstheme="minorHAnsi"/>
        </w:rPr>
        <w:t>ou qui, pour l’installation des systèmes qu’elle fournit ou pour la fourniture et l’installation de ces mêmes systèmes</w:t>
      </w:r>
      <w:r w:rsidR="003635C0" w:rsidRPr="00A847B7">
        <w:rPr>
          <w:rFonts w:cstheme="minorHAnsi"/>
        </w:rPr>
        <w:t>, recourt à une autre entreprise, dans le cadre d’un contrat de sous-traitance.</w:t>
      </w:r>
    </w:p>
    <w:p w14:paraId="6DCA50F0" w14:textId="237A5A43" w:rsidR="00F71262" w:rsidRPr="00A847B7" w:rsidRDefault="00125900" w:rsidP="00A8095A">
      <w:pPr>
        <w:spacing w:beforeAutospacing="1" w:after="100" w:afterAutospacing="1"/>
        <w:rPr>
          <w:rFonts w:cstheme="minorHAnsi"/>
        </w:rPr>
      </w:pPr>
      <w:r w:rsidRPr="00A847B7">
        <w:rPr>
          <w:rFonts w:cstheme="minorHAnsi"/>
        </w:rPr>
        <w:t>Le contribuable souhaitant bénéficier du crédit d’impôt devra être en mesure de fournir à l’administration, su</w:t>
      </w:r>
      <w:r w:rsidR="00950343" w:rsidRPr="00A847B7">
        <w:rPr>
          <w:rFonts w:cstheme="minorHAnsi"/>
        </w:rPr>
        <w:t>r simple demande, la facture du professionnel (autre que la facture d’acompte), indiquant, outre les mentions habituelles</w:t>
      </w:r>
      <w:r w:rsidR="00593735" w:rsidRPr="00A847B7">
        <w:rPr>
          <w:rFonts w:cstheme="minorHAnsi"/>
        </w:rPr>
        <w:t>, les informations suivantes :</w:t>
      </w:r>
    </w:p>
    <w:p w14:paraId="27E57224" w14:textId="3BCCA56A" w:rsidR="00593735" w:rsidRPr="00A847B7" w:rsidRDefault="00593735" w:rsidP="00EE0687">
      <w:pPr>
        <w:pStyle w:val="Paragraphedeliste"/>
        <w:numPr>
          <w:ilvl w:val="0"/>
          <w:numId w:val="30"/>
        </w:numPr>
        <w:spacing w:beforeAutospacing="1" w:after="100" w:afterAutospacing="1"/>
        <w:rPr>
          <w:rFonts w:cstheme="minorHAnsi"/>
        </w:rPr>
      </w:pPr>
      <w:r w:rsidRPr="00A847B7">
        <w:rPr>
          <w:rFonts w:cstheme="minorHAnsi"/>
        </w:rPr>
        <w:t>le lieu de réalisation des travaux ;</w:t>
      </w:r>
    </w:p>
    <w:p w14:paraId="46363F48" w14:textId="1723AE02" w:rsidR="00F8535A" w:rsidRPr="00A847B7" w:rsidRDefault="00593735" w:rsidP="00EE0687">
      <w:pPr>
        <w:pStyle w:val="Paragraphedeliste"/>
        <w:numPr>
          <w:ilvl w:val="0"/>
          <w:numId w:val="30"/>
        </w:numPr>
        <w:spacing w:beforeAutospacing="1" w:after="100" w:afterAutospacing="1"/>
        <w:rPr>
          <w:rFonts w:cstheme="minorHAnsi"/>
        </w:rPr>
      </w:pPr>
      <w:r w:rsidRPr="00A847B7">
        <w:rPr>
          <w:rFonts w:cstheme="minorHAnsi"/>
        </w:rPr>
        <w:t xml:space="preserve">la nature des travaux, la désignation, le montant et, le cas échéant, les caractéristiques techniques </w:t>
      </w:r>
      <w:r w:rsidR="00F8535A" w:rsidRPr="00A847B7">
        <w:rPr>
          <w:rFonts w:cstheme="minorHAnsi"/>
        </w:rPr>
        <w:t>des systèmes de charge.</w:t>
      </w:r>
    </w:p>
    <w:p w14:paraId="4ED74556" w14:textId="59A30D7B" w:rsidR="001E45DE" w:rsidRPr="00A847B7" w:rsidRDefault="001E45DE" w:rsidP="001E45DE">
      <w:pPr>
        <w:spacing w:beforeAutospacing="1" w:after="100" w:afterAutospacing="1"/>
        <w:rPr>
          <w:rFonts w:cstheme="minorHAnsi"/>
        </w:rPr>
      </w:pPr>
      <w:r w:rsidRPr="00A847B7">
        <w:rPr>
          <w:rFonts w:cstheme="minorHAnsi"/>
        </w:rPr>
        <w:lastRenderedPageBreak/>
        <w:t xml:space="preserve">En l’absence </w:t>
      </w:r>
      <w:r w:rsidR="006F1132" w:rsidRPr="00A847B7">
        <w:rPr>
          <w:rFonts w:cstheme="minorHAnsi"/>
        </w:rPr>
        <w:t>de facture, l’administration fiscale pourra, au titre de l’année d’imputation</w:t>
      </w:r>
      <w:r w:rsidR="00E5584D" w:rsidRPr="00A847B7">
        <w:rPr>
          <w:rFonts w:cstheme="minorHAnsi"/>
        </w:rPr>
        <w:t xml:space="preserve"> et dans la limite du crédit d’impôt obtenu, effectuer une reprise égale au montant de l’avantage fiscal </w:t>
      </w:r>
      <w:r w:rsidR="00884DA7" w:rsidRPr="00A847B7">
        <w:rPr>
          <w:rFonts w:cstheme="minorHAnsi"/>
        </w:rPr>
        <w:t>accordé au titre de la dépense non justifiée.</w:t>
      </w:r>
    </w:p>
    <w:p w14:paraId="5F490FE8" w14:textId="5508579E" w:rsidR="00884DA7" w:rsidRPr="00A847B7" w:rsidRDefault="00884DA7" w:rsidP="001E45DE">
      <w:pPr>
        <w:spacing w:beforeAutospacing="1" w:after="100" w:afterAutospacing="1"/>
        <w:rPr>
          <w:rFonts w:cstheme="minorHAnsi"/>
        </w:rPr>
      </w:pPr>
      <w:r w:rsidRPr="00A847B7">
        <w:rPr>
          <w:rFonts w:cstheme="minorHAnsi"/>
        </w:rPr>
        <w:t xml:space="preserve">De même, si le bénéficiaire du crédit d’impôt est remboursé dans un délai de 5 ans de tout ou </w:t>
      </w:r>
      <w:r w:rsidR="00931FF1" w:rsidRPr="00A847B7">
        <w:rPr>
          <w:rFonts w:cstheme="minorHAnsi"/>
        </w:rPr>
        <w:t>partie des dépenses ayant ouvert droit au bénéfice de cet avantage fiscal, l’administration pourra effectuer</w:t>
      </w:r>
      <w:r w:rsidR="00457F0B" w:rsidRPr="00A847B7">
        <w:rPr>
          <w:rFonts w:cstheme="minorHAnsi"/>
        </w:rPr>
        <w:t xml:space="preserve"> une reprise, au titre de l’année d’imputation et dans la limite du crédit d’impôt obtenu, d</w:t>
      </w:r>
      <w:r w:rsidR="00EF61D3" w:rsidRPr="00A847B7">
        <w:rPr>
          <w:rFonts w:cstheme="minorHAnsi"/>
        </w:rPr>
        <w:t xml:space="preserve">’un montant égal à la différence entre le montant de l’avantage fiscal initialement accordé </w:t>
      </w:r>
      <w:r w:rsidR="00855E80" w:rsidRPr="00A847B7">
        <w:rPr>
          <w:rFonts w:cstheme="minorHAnsi"/>
        </w:rPr>
        <w:t>et le montant déterminé sur la base de la dépense finalement supporté</w:t>
      </w:r>
      <w:r w:rsidR="00903137" w:rsidRPr="00A847B7">
        <w:rPr>
          <w:rFonts w:cstheme="minorHAnsi"/>
        </w:rPr>
        <w:t>e</w:t>
      </w:r>
      <w:r w:rsidR="00855E80" w:rsidRPr="00A847B7">
        <w:rPr>
          <w:rFonts w:cstheme="minorHAnsi"/>
        </w:rPr>
        <w:t xml:space="preserve"> par le contribuable.</w:t>
      </w:r>
    </w:p>
    <w:p w14:paraId="11AE1EBF" w14:textId="4D69475D" w:rsidR="00855E80" w:rsidRPr="00A847B7" w:rsidRDefault="008C7C09" w:rsidP="001E45DE">
      <w:pPr>
        <w:spacing w:beforeAutospacing="1" w:after="100" w:afterAutospacing="1"/>
        <w:rPr>
          <w:rFonts w:cstheme="minorHAnsi"/>
        </w:rPr>
      </w:pPr>
      <w:r w:rsidRPr="00A847B7">
        <w:rPr>
          <w:rFonts w:cstheme="minorHAnsi"/>
        </w:rPr>
        <w:t>En revanche, aucune reprise ne sera possible si le remboursement fait suite à un sinistre intervenu après le paiement de la dépense.</w:t>
      </w:r>
    </w:p>
    <w:p w14:paraId="5AE39991" w14:textId="600E858E" w:rsidR="00D93B72" w:rsidRPr="00A847B7" w:rsidRDefault="00D93B72" w:rsidP="001E45DE">
      <w:pPr>
        <w:spacing w:beforeAutospacing="1" w:after="100" w:afterAutospacing="1"/>
        <w:rPr>
          <w:rFonts w:cstheme="minorHAnsi"/>
        </w:rPr>
      </w:pPr>
      <w:r w:rsidRPr="00A847B7">
        <w:rPr>
          <w:rFonts w:cstheme="minorHAnsi"/>
        </w:rPr>
        <w:t xml:space="preserve">Dernier point : pour une même dépense, le contribuable ne peut pas bénéficier du crédit d’impôt et d’une déduction de charges pour la détermination de ses revenus catégoriels. </w:t>
      </w:r>
    </w:p>
    <w:p w14:paraId="5696103F" w14:textId="77777777" w:rsidR="00D42534" w:rsidRPr="00A847B7" w:rsidRDefault="00D42534" w:rsidP="00A8095A">
      <w:pPr>
        <w:spacing w:beforeAutospacing="1" w:after="100" w:afterAutospacing="1"/>
        <w:rPr>
          <w:rFonts w:cstheme="minorHAnsi"/>
        </w:rPr>
      </w:pPr>
    </w:p>
    <w:p w14:paraId="2A68D487" w14:textId="1419B8A2" w:rsidR="007B0F21" w:rsidRPr="00A847B7" w:rsidRDefault="007B0F21" w:rsidP="007B0F21">
      <w:pPr>
        <w:pStyle w:val="Titre3"/>
      </w:pPr>
      <w:bookmarkStart w:id="22" w:name="_Toc60780958"/>
      <w:r w:rsidRPr="00A847B7">
        <w:t xml:space="preserve">Slide </w:t>
      </w:r>
      <w:r w:rsidR="00D36C5B">
        <w:t>10</w:t>
      </w:r>
      <w:r w:rsidRPr="00A847B7">
        <w:t xml:space="preserve"> : </w:t>
      </w:r>
      <w:r>
        <w:t>S</w:t>
      </w:r>
      <w:r w:rsidRPr="00A847B7">
        <w:t>ouscription au capital de PME (réduction Madelin)</w:t>
      </w:r>
      <w:bookmarkEnd w:id="22"/>
    </w:p>
    <w:p w14:paraId="12AE08DA" w14:textId="4DE8657F" w:rsidR="007B0F21" w:rsidRPr="00A847B7" w:rsidRDefault="007B0F21" w:rsidP="00694B43">
      <w:r w:rsidRPr="00694B43">
        <w:rPr>
          <w:u w:val="single"/>
        </w:rPr>
        <w:t xml:space="preserve">Source </w:t>
      </w:r>
      <w:r w:rsidRPr="00A847B7">
        <w:t xml:space="preserve">: Loi de Finances pour 2021, </w:t>
      </w:r>
      <w:r w:rsidRPr="00E26A11">
        <w:t>article</w:t>
      </w:r>
      <w:r>
        <w:t>s</w:t>
      </w:r>
      <w:r w:rsidRPr="00E26A11">
        <w:t xml:space="preserve"> </w:t>
      </w:r>
      <w:r w:rsidRPr="00830691">
        <w:t>110</w:t>
      </w:r>
      <w:r>
        <w:t>, 112 et 113</w:t>
      </w:r>
    </w:p>
    <w:p w14:paraId="12661E0B" w14:textId="23ABAE72" w:rsidR="004F587E" w:rsidRPr="004F587E" w:rsidRDefault="004F587E" w:rsidP="00EE0687">
      <w:pPr>
        <w:pStyle w:val="Paragraphedeliste"/>
        <w:numPr>
          <w:ilvl w:val="0"/>
          <w:numId w:val="313"/>
        </w:numPr>
        <w:spacing w:beforeAutospacing="1" w:after="100" w:afterAutospacing="1"/>
        <w:rPr>
          <w:rFonts w:cstheme="minorHAnsi"/>
          <w:b/>
          <w:bCs/>
          <w:i/>
          <w:iCs/>
          <w:u w:val="single"/>
        </w:rPr>
      </w:pPr>
      <w:r w:rsidRPr="004F587E">
        <w:rPr>
          <w:rFonts w:cstheme="minorHAnsi"/>
          <w:b/>
          <w:bCs/>
          <w:i/>
          <w:iCs/>
          <w:u w:val="single"/>
        </w:rPr>
        <w:t>Cas général</w:t>
      </w:r>
    </w:p>
    <w:p w14:paraId="39964373" w14:textId="324EC19B" w:rsidR="007B0F21" w:rsidRPr="00A847B7" w:rsidRDefault="007B0F21" w:rsidP="007B0F21">
      <w:pPr>
        <w:spacing w:beforeAutospacing="1" w:after="100" w:afterAutospacing="1"/>
        <w:rPr>
          <w:rFonts w:cstheme="minorHAnsi"/>
        </w:rPr>
      </w:pPr>
      <w:r w:rsidRPr="00A847B7">
        <w:rPr>
          <w:rFonts w:cstheme="minorHAnsi"/>
        </w:rPr>
        <w:t>Pour bénéficier de cette réduction d’impôt, le contribuable doit souscrire au capital d’une PME. Cet apport doit être fait en « numéraire ». Concrètement, il doit consister en un dépôt de fonds au profit de la société cible, apport qui viendra former ou augmenter le capital social de cette société.</w:t>
      </w:r>
    </w:p>
    <w:p w14:paraId="54A66BB7" w14:textId="77777777" w:rsidR="007B0F21" w:rsidRPr="00A847B7" w:rsidRDefault="007B0F21" w:rsidP="007B0F21">
      <w:pPr>
        <w:spacing w:beforeAutospacing="1" w:after="100" w:afterAutospacing="1"/>
        <w:rPr>
          <w:rFonts w:cstheme="minorHAnsi"/>
        </w:rPr>
      </w:pPr>
      <w:r w:rsidRPr="00A847B7">
        <w:rPr>
          <w:rFonts w:cstheme="minorHAnsi"/>
        </w:rPr>
        <w:t>En principe, il n’est possible de bénéficier de cette réduction d’impôt qu’au moment de la constitution de la société. Il n’est donc pas possible d’y prétendre à l’occasion d’une augmentation de capital, sauf dans une hypothèse précise : que le contribuable ne soit pas déjà associé ou actionnaire de la société. Cette interdiction ne joue cependant pas en cas d’investissement de suivi, sous réserve du respect des conditions suivantes :</w:t>
      </w:r>
    </w:p>
    <w:p w14:paraId="0F7F3CA0" w14:textId="77777777" w:rsidR="007B0F21" w:rsidRPr="00A847B7" w:rsidRDefault="007B0F21" w:rsidP="00EE0687">
      <w:pPr>
        <w:pStyle w:val="Paragraphedeliste"/>
        <w:numPr>
          <w:ilvl w:val="0"/>
          <w:numId w:val="33"/>
        </w:numPr>
        <w:spacing w:beforeAutospacing="1" w:after="100" w:afterAutospacing="1"/>
        <w:rPr>
          <w:rFonts w:cstheme="minorHAnsi"/>
        </w:rPr>
      </w:pPr>
      <w:r w:rsidRPr="00A847B7">
        <w:rPr>
          <w:rFonts w:cstheme="minorHAnsi"/>
        </w:rPr>
        <w:t>le contribuable a bénéficié de la réduction d’impôt au titre de son 1</w:t>
      </w:r>
      <w:r w:rsidRPr="00A847B7">
        <w:rPr>
          <w:rFonts w:cstheme="minorHAnsi"/>
          <w:vertAlign w:val="superscript"/>
        </w:rPr>
        <w:t>er</w:t>
      </w:r>
      <w:r w:rsidRPr="00A847B7">
        <w:rPr>
          <w:rFonts w:cstheme="minorHAnsi"/>
        </w:rPr>
        <w:t xml:space="preserve"> investissement ;</w:t>
      </w:r>
    </w:p>
    <w:p w14:paraId="1F45843E" w14:textId="77777777" w:rsidR="007B0F21" w:rsidRPr="00A847B7" w:rsidRDefault="007B0F21" w:rsidP="00EE0687">
      <w:pPr>
        <w:pStyle w:val="Paragraphedeliste"/>
        <w:numPr>
          <w:ilvl w:val="0"/>
          <w:numId w:val="33"/>
        </w:numPr>
        <w:spacing w:beforeAutospacing="1" w:after="100" w:afterAutospacing="1"/>
        <w:rPr>
          <w:rFonts w:cstheme="minorHAnsi"/>
        </w:rPr>
      </w:pPr>
      <w:r w:rsidRPr="00A847B7">
        <w:rPr>
          <w:rFonts w:cstheme="minorHAnsi"/>
        </w:rPr>
        <w:t>de possibles investissements de suivi sont prévus dans le plan d’entreprise de la société bénéficiaire (cela signifie concrètement que, dès l’investissement initial, l’investisseur s’est engagé dans une démarche d’investissement de moyen terme permettant de bénéficier de l’avantage fiscal pendant plusieurs cycles d’investissement) ;</w:t>
      </w:r>
    </w:p>
    <w:p w14:paraId="48EF0841" w14:textId="77777777" w:rsidR="007B0F21" w:rsidRPr="00A847B7" w:rsidRDefault="007B0F21" w:rsidP="00EE0687">
      <w:pPr>
        <w:pStyle w:val="Paragraphedeliste"/>
        <w:numPr>
          <w:ilvl w:val="0"/>
          <w:numId w:val="33"/>
        </w:numPr>
        <w:spacing w:beforeAutospacing="1" w:after="100" w:afterAutospacing="1"/>
        <w:rPr>
          <w:rFonts w:cstheme="minorHAnsi"/>
        </w:rPr>
      </w:pPr>
      <w:r w:rsidRPr="00A847B7">
        <w:rPr>
          <w:rFonts w:cstheme="minorHAnsi"/>
        </w:rPr>
        <w:t>la société n’est pas devenue liée à une autre entreprise.</w:t>
      </w:r>
    </w:p>
    <w:p w14:paraId="151C7544" w14:textId="77777777" w:rsidR="007B0F21" w:rsidRPr="00A847B7" w:rsidRDefault="007B0F21" w:rsidP="007B0F21">
      <w:pPr>
        <w:spacing w:beforeAutospacing="1" w:after="100" w:afterAutospacing="1"/>
        <w:rPr>
          <w:rFonts w:cstheme="minorHAnsi"/>
        </w:rPr>
      </w:pPr>
      <w:r w:rsidRPr="00A847B7">
        <w:rPr>
          <w:rFonts w:cstheme="minorHAnsi"/>
        </w:rPr>
        <w:t>La réduction d’impôt est, en principe, égale à 18 % du montant versé retenu dans la limite maximale de 50 000 € (pour les personnes seules) ou 100 000 € (pour les personnes mariées ou pacsées, et soumises à imposition commune).</w:t>
      </w:r>
    </w:p>
    <w:p w14:paraId="7FCB6866" w14:textId="77777777" w:rsidR="007B0F21" w:rsidRPr="00A847B7" w:rsidRDefault="007B0F21" w:rsidP="007B0F21">
      <w:pPr>
        <w:spacing w:beforeAutospacing="1" w:after="100" w:afterAutospacing="1"/>
        <w:rPr>
          <w:rFonts w:cstheme="minorHAnsi"/>
        </w:rPr>
      </w:pPr>
      <w:r w:rsidRPr="00A847B7">
        <w:rPr>
          <w:rFonts w:cstheme="minorHAnsi"/>
        </w:rPr>
        <w:t>Temporairement, le taux de cet avantage fiscal a été porté à 25 % pour les investissements réalisés entre le 10 août 2020 et le 31 décembre 2020.</w:t>
      </w:r>
    </w:p>
    <w:p w14:paraId="397101D3" w14:textId="63DE566C" w:rsidR="007B0F21" w:rsidRPr="00A847B7" w:rsidRDefault="007B0F21" w:rsidP="007B0F21">
      <w:pPr>
        <w:spacing w:beforeAutospacing="1" w:after="100" w:afterAutospacing="1"/>
        <w:rPr>
          <w:rFonts w:cstheme="minorHAnsi"/>
        </w:rPr>
      </w:pPr>
      <w:r w:rsidRPr="00A847B7">
        <w:rPr>
          <w:rFonts w:cstheme="minorHAnsi"/>
        </w:rPr>
        <w:lastRenderedPageBreak/>
        <w:t>La Loi de Finances pour 2021 prévoit d’appliquer ce taux de 25 % aux investissements réalisés à compter d’une date fixée par décret (non encore paru à ce jour) et jusqu’au 31 décembre 2021, sous réserve de la réponse de la Commission européenne quant à la conformité de cette réduction d’impôt à la réglementation européenne.</w:t>
      </w:r>
    </w:p>
    <w:p w14:paraId="56F07E16" w14:textId="77777777" w:rsidR="007B0F21" w:rsidRPr="00A847B7" w:rsidRDefault="007B0F21" w:rsidP="00EE0687">
      <w:pPr>
        <w:pStyle w:val="Paragraphedeliste"/>
        <w:numPr>
          <w:ilvl w:val="0"/>
          <w:numId w:val="9"/>
        </w:numPr>
        <w:spacing w:beforeAutospacing="1" w:after="100" w:afterAutospacing="1"/>
        <w:rPr>
          <w:rFonts w:cstheme="minorHAnsi"/>
        </w:rPr>
      </w:pPr>
      <w:r w:rsidRPr="00A847B7">
        <w:rPr>
          <w:rFonts w:cstheme="minorHAnsi"/>
          <w:b/>
          <w:bCs/>
          <w:i/>
          <w:iCs/>
          <w:u w:val="single"/>
        </w:rPr>
        <w:t>Cas particulier des souscriptions au capital d’une entreprise solidaire d’utilité sociale</w:t>
      </w:r>
    </w:p>
    <w:p w14:paraId="63220202" w14:textId="77777777" w:rsidR="007B0F21" w:rsidRPr="00A847B7" w:rsidRDefault="007B0F21" w:rsidP="007B0F21">
      <w:pPr>
        <w:spacing w:beforeAutospacing="1" w:after="100" w:afterAutospacing="1"/>
        <w:rPr>
          <w:rFonts w:cstheme="minorHAnsi"/>
        </w:rPr>
      </w:pPr>
      <w:r w:rsidRPr="00A847B7">
        <w:rPr>
          <w:rFonts w:cstheme="minorHAnsi"/>
        </w:rPr>
        <w:t>La réduction IR-PME s’applique également en cas de souscription au capital d’une entreprise solidaire d’utilité sociale (ESUS).</w:t>
      </w:r>
    </w:p>
    <w:p w14:paraId="2AB3F5C6" w14:textId="77777777" w:rsidR="007B0F21" w:rsidRPr="00A847B7" w:rsidRDefault="007B0F21" w:rsidP="007B0F21">
      <w:pPr>
        <w:spacing w:beforeAutospacing="1" w:after="100" w:afterAutospacing="1"/>
        <w:rPr>
          <w:rFonts w:cstheme="minorHAnsi"/>
        </w:rPr>
      </w:pPr>
      <w:r w:rsidRPr="00A847B7">
        <w:rPr>
          <w:rFonts w:cstheme="minorHAnsi"/>
        </w:rPr>
        <w:t xml:space="preserve">Pour mémoire, la somme des avantages fiscaux auxquels peut prétendre un même contribuable fait l’objet d’un plafonnement annuel de 10 000 €. </w:t>
      </w:r>
    </w:p>
    <w:p w14:paraId="54E867BF" w14:textId="63A65455" w:rsidR="007B0F21" w:rsidRPr="00A847B7" w:rsidRDefault="007B0F21" w:rsidP="007B0F21">
      <w:pPr>
        <w:spacing w:beforeAutospacing="1" w:after="100" w:afterAutospacing="1"/>
        <w:rPr>
          <w:rFonts w:cstheme="minorHAnsi"/>
        </w:rPr>
      </w:pPr>
      <w:r w:rsidRPr="00A847B7">
        <w:rPr>
          <w:rFonts w:cstheme="minorHAnsi"/>
        </w:rPr>
        <w:t>Les souscriptions au capital d’une ESUS réalisées à compter d’une date fixée par décret (non encore paru à ce jour) sous réserve de la réponse de la Commission européenne quant à la conformité de cette disposition à la réglementation européenne, ou à compter du 1</w:t>
      </w:r>
      <w:r w:rsidRPr="00A847B7">
        <w:rPr>
          <w:rFonts w:cstheme="minorHAnsi"/>
          <w:vertAlign w:val="superscript"/>
        </w:rPr>
        <w:t>er</w:t>
      </w:r>
      <w:r w:rsidRPr="00A847B7">
        <w:rPr>
          <w:rFonts w:cstheme="minorHAnsi"/>
        </w:rPr>
        <w:t xml:space="preserve"> janvier 2021 si la réponse est reçue avant cette date, et jusqu’au 31 décembre 2021 ne seront pas prises en compte dans ce plafond de 10 000 €, dans la limite de 3 000 €.</w:t>
      </w:r>
    </w:p>
    <w:p w14:paraId="72E0FAC7" w14:textId="77777777" w:rsidR="007B0F21" w:rsidRPr="00A847B7" w:rsidRDefault="007B0F21" w:rsidP="007B0F21">
      <w:pPr>
        <w:spacing w:beforeAutospacing="1" w:after="100" w:afterAutospacing="1"/>
        <w:rPr>
          <w:rFonts w:cstheme="minorHAnsi"/>
        </w:rPr>
      </w:pPr>
      <w:r w:rsidRPr="00A847B7">
        <w:rPr>
          <w:rFonts w:cstheme="minorHAnsi"/>
        </w:rPr>
        <w:t>Plus simplement, le montant de cet avantage fiscal ne pourra pas conduire un contribuable à bénéficier d’une diminution de plus de 13 000 € du montant de son impôt sur le revenu.</w:t>
      </w:r>
    </w:p>
    <w:p w14:paraId="22F71194" w14:textId="77777777" w:rsidR="007B0F21" w:rsidRPr="00A847B7" w:rsidRDefault="007B0F21" w:rsidP="00EE0687">
      <w:pPr>
        <w:pStyle w:val="Paragraphedeliste"/>
        <w:numPr>
          <w:ilvl w:val="0"/>
          <w:numId w:val="9"/>
        </w:numPr>
        <w:spacing w:beforeAutospacing="1" w:after="100" w:afterAutospacing="1"/>
        <w:rPr>
          <w:rFonts w:cstheme="minorHAnsi"/>
          <w:b/>
          <w:bCs/>
          <w:i/>
          <w:iCs/>
          <w:u w:val="single"/>
        </w:rPr>
      </w:pPr>
      <w:r w:rsidRPr="00A847B7">
        <w:rPr>
          <w:rFonts w:cstheme="minorHAnsi"/>
          <w:b/>
          <w:bCs/>
          <w:i/>
          <w:iCs/>
          <w:u w:val="single"/>
        </w:rPr>
        <w:t>Cas particulier des souscriptions au capital de fonds d’investissements de proximité (FIP) dans les départements d’Outre-mer (DOM)</w:t>
      </w:r>
    </w:p>
    <w:p w14:paraId="7B6A2DA2" w14:textId="77777777" w:rsidR="007B0F21" w:rsidRPr="00A847B7" w:rsidRDefault="007B0F21" w:rsidP="007B0F21">
      <w:pPr>
        <w:spacing w:beforeAutospacing="1" w:after="100" w:afterAutospacing="1"/>
        <w:rPr>
          <w:rFonts w:cstheme="minorHAnsi"/>
        </w:rPr>
      </w:pPr>
      <w:r w:rsidRPr="00A847B7">
        <w:rPr>
          <w:rFonts w:cstheme="minorHAnsi"/>
        </w:rPr>
        <w:t>La réduction IR-PME s’applique également en cas de souscription de parts de certains fonds d’investissements de proximité dans les départements d’Outre-mer (FIP-DOM).</w:t>
      </w:r>
    </w:p>
    <w:p w14:paraId="33659C02" w14:textId="77777777" w:rsidR="007B0F21" w:rsidRPr="00A847B7" w:rsidRDefault="007B0F21" w:rsidP="007B0F21">
      <w:pPr>
        <w:spacing w:beforeAutospacing="1" w:after="100" w:afterAutospacing="1"/>
        <w:rPr>
          <w:rFonts w:cstheme="minorHAnsi"/>
        </w:rPr>
      </w:pPr>
      <w:r w:rsidRPr="00A847B7">
        <w:rPr>
          <w:rFonts w:cstheme="minorHAnsi"/>
        </w:rPr>
        <w:t>Actuellement, le montant de cet avantage fiscal est fixé à 30 % des versements effectués au titre de la souscription en numéraire, de parts de FIP dont l’actif est constitué pour 70 % au moins de titres financiers, parts de société à responsabilité limitée et avances en compte courant émises par des sociétés :</w:t>
      </w:r>
    </w:p>
    <w:p w14:paraId="5C1ED1D1" w14:textId="7EFE3EAE" w:rsidR="007B0F21" w:rsidRPr="00A847B7" w:rsidRDefault="007B0F21" w:rsidP="00EE0687">
      <w:pPr>
        <w:pStyle w:val="Paragraphedeliste"/>
        <w:numPr>
          <w:ilvl w:val="0"/>
          <w:numId w:val="34"/>
        </w:numPr>
        <w:spacing w:beforeAutospacing="1" w:after="100" w:afterAutospacing="1"/>
        <w:rPr>
          <w:rFonts w:cstheme="minorHAnsi"/>
        </w:rPr>
      </w:pPr>
      <w:r w:rsidRPr="00A847B7">
        <w:rPr>
          <w:rFonts w:cstheme="minorHAnsi"/>
        </w:rPr>
        <w:t>qui exercent leurs activités exclusivement dans des établissements situés dans les départements d'</w:t>
      </w:r>
      <w:r>
        <w:rPr>
          <w:rFonts w:cstheme="minorHAnsi"/>
        </w:rPr>
        <w:t>O</w:t>
      </w:r>
      <w:r w:rsidRPr="00A847B7">
        <w:rPr>
          <w:rFonts w:cstheme="minorHAnsi"/>
        </w:rPr>
        <w:t>utre-mer, Saint-Barthélemy, Saint-Martin, Saint-Pierre-et-Miquelon, en Nouvelle-Calédonie, en Polynésie française et dans les îles Wallis et Futuna ;</w:t>
      </w:r>
    </w:p>
    <w:p w14:paraId="256417A5" w14:textId="77777777" w:rsidR="007B0F21" w:rsidRPr="00A847B7" w:rsidRDefault="007B0F21" w:rsidP="00EE0687">
      <w:pPr>
        <w:pStyle w:val="Paragraphedeliste"/>
        <w:numPr>
          <w:ilvl w:val="0"/>
          <w:numId w:val="34"/>
        </w:numPr>
        <w:spacing w:beforeAutospacing="1" w:after="100" w:afterAutospacing="1"/>
        <w:rPr>
          <w:rFonts w:cstheme="minorHAnsi"/>
        </w:rPr>
      </w:pPr>
      <w:r w:rsidRPr="00A847B7">
        <w:rPr>
          <w:rFonts w:cstheme="minorHAnsi"/>
        </w:rPr>
        <w:t>et dans les secteurs agricole, commercial, industriel ou artisanal.</w:t>
      </w:r>
    </w:p>
    <w:p w14:paraId="0BEBCAD1" w14:textId="2F0FD606" w:rsidR="007B0F21" w:rsidRPr="00A847B7" w:rsidRDefault="007B0F21" w:rsidP="007B0F21">
      <w:pPr>
        <w:spacing w:beforeAutospacing="1" w:after="100" w:afterAutospacing="1"/>
        <w:rPr>
          <w:rFonts w:cstheme="minorHAnsi"/>
        </w:rPr>
      </w:pPr>
      <w:r w:rsidRPr="00A847B7">
        <w:rPr>
          <w:rFonts w:cstheme="minorHAnsi"/>
        </w:rPr>
        <w:t xml:space="preserve">La Loi de Finances pour 2021 supprime cette dernière condition pour les versements réalisés à compter d’une date fixée par </w:t>
      </w:r>
      <w:r w:rsidR="00871525">
        <w:rPr>
          <w:rFonts w:cstheme="minorHAnsi"/>
        </w:rPr>
        <w:t>d</w:t>
      </w:r>
      <w:r w:rsidRPr="00A847B7">
        <w:rPr>
          <w:rFonts w:cstheme="minorHAnsi"/>
        </w:rPr>
        <w:t>écret (non encore paru à ce jour) sous réserve de la réponse de la Commission européenne quant à la conformité de cette disposition à la réglementation européenne, ou à compter du 1</w:t>
      </w:r>
      <w:r w:rsidRPr="00A847B7">
        <w:rPr>
          <w:rFonts w:cstheme="minorHAnsi"/>
          <w:vertAlign w:val="superscript"/>
        </w:rPr>
        <w:t>er</w:t>
      </w:r>
      <w:r w:rsidRPr="00A847B7">
        <w:rPr>
          <w:rFonts w:cstheme="minorHAnsi"/>
        </w:rPr>
        <w:t xml:space="preserve"> janvier 2021 si la réponse est reçue avant cette date.</w:t>
      </w:r>
    </w:p>
    <w:p w14:paraId="6FD07E67" w14:textId="77777777" w:rsidR="007B0F21" w:rsidRPr="00A847B7" w:rsidRDefault="007B0F21" w:rsidP="007B0F21">
      <w:pPr>
        <w:spacing w:beforeAutospacing="1" w:after="100" w:afterAutospacing="1"/>
        <w:rPr>
          <w:rFonts w:cstheme="minorHAnsi"/>
        </w:rPr>
      </w:pPr>
    </w:p>
    <w:p w14:paraId="6CFF7FF3" w14:textId="2A8E4914" w:rsidR="007B0F21" w:rsidRPr="00A847B7" w:rsidRDefault="007B0F21" w:rsidP="007B0F21">
      <w:pPr>
        <w:pStyle w:val="Titre3"/>
      </w:pPr>
      <w:bookmarkStart w:id="23" w:name="_Toc60780959"/>
      <w:r w:rsidRPr="00A847B7">
        <w:t xml:space="preserve">Slide </w:t>
      </w:r>
      <w:r w:rsidR="00CE2D60">
        <w:t>11</w:t>
      </w:r>
      <w:r w:rsidRPr="00A847B7">
        <w:t xml:space="preserve"> : </w:t>
      </w:r>
      <w:r>
        <w:t>S</w:t>
      </w:r>
      <w:r w:rsidRPr="00A847B7">
        <w:t>ouscription au capital d’une “</w:t>
      </w:r>
      <w:r w:rsidRPr="00D43E85">
        <w:t xml:space="preserve"> </w:t>
      </w:r>
      <w:r w:rsidRPr="00A847B7">
        <w:t>soci</w:t>
      </w:r>
      <w:r>
        <w:t>été</w:t>
      </w:r>
      <w:r w:rsidRPr="00A847B7">
        <w:t xml:space="preserve"> fonci</w:t>
      </w:r>
      <w:r>
        <w:t>è</w:t>
      </w:r>
      <w:r w:rsidRPr="00A847B7">
        <w:t>re solidaire”</w:t>
      </w:r>
      <w:bookmarkEnd w:id="23"/>
    </w:p>
    <w:p w14:paraId="20DC7EB9" w14:textId="71FA1583" w:rsidR="007B0F21" w:rsidRPr="00A847B7" w:rsidRDefault="007B0F21" w:rsidP="004F587E">
      <w:r w:rsidRPr="004F587E">
        <w:rPr>
          <w:u w:val="single"/>
        </w:rPr>
        <w:t xml:space="preserve">Source </w:t>
      </w:r>
      <w:r w:rsidRPr="00A847B7">
        <w:t xml:space="preserve">: Loi de Finances pour 2021, </w:t>
      </w:r>
      <w:r w:rsidRPr="00140B05">
        <w:t>article</w:t>
      </w:r>
      <w:r>
        <w:t>s</w:t>
      </w:r>
      <w:r w:rsidRPr="00140B05">
        <w:t xml:space="preserve"> </w:t>
      </w:r>
      <w:r w:rsidRPr="00D534CE">
        <w:t>111</w:t>
      </w:r>
      <w:r>
        <w:t xml:space="preserve"> et 112</w:t>
      </w:r>
    </w:p>
    <w:p w14:paraId="45F632FC" w14:textId="77777777" w:rsidR="007B0F21" w:rsidRPr="00A847B7" w:rsidRDefault="007B0F21" w:rsidP="007B0F21">
      <w:pPr>
        <w:spacing w:beforeAutospacing="1" w:after="100" w:afterAutospacing="1"/>
        <w:rPr>
          <w:rFonts w:cstheme="minorHAnsi"/>
        </w:rPr>
      </w:pPr>
      <w:r w:rsidRPr="00A847B7">
        <w:rPr>
          <w:rFonts w:cstheme="minorHAnsi"/>
        </w:rPr>
        <w:lastRenderedPageBreak/>
        <w:t>Depuis le 1</w:t>
      </w:r>
      <w:r w:rsidRPr="00A847B7">
        <w:rPr>
          <w:rFonts w:cstheme="minorHAnsi"/>
          <w:vertAlign w:val="superscript"/>
        </w:rPr>
        <w:t>er</w:t>
      </w:r>
      <w:r w:rsidRPr="00A847B7">
        <w:rPr>
          <w:rFonts w:cstheme="minorHAnsi"/>
        </w:rPr>
        <w:t xml:space="preserve"> janvier 2020, les contribuables qui font le choix d’investir en numéraire dans une « société foncière solidaire », peuvent bénéficier d’une réduction d’impôt sur le revenu, sous réserve de respecter de nombreuses conditions.</w:t>
      </w:r>
    </w:p>
    <w:p w14:paraId="110EB4BB" w14:textId="77777777" w:rsidR="007B0F21" w:rsidRPr="00A847B7" w:rsidRDefault="007B0F21" w:rsidP="007B0F21">
      <w:pPr>
        <w:spacing w:beforeAutospacing="1" w:after="100" w:afterAutospacing="1"/>
        <w:rPr>
          <w:rFonts w:cstheme="minorHAnsi"/>
        </w:rPr>
      </w:pPr>
      <w:r w:rsidRPr="00A847B7">
        <w:rPr>
          <w:rFonts w:cstheme="minorHAnsi"/>
        </w:rPr>
        <w:t>La réduction d’impôt est, en principe, égale à 18 % du montant versé retenu dans la limite maximale de 50 000 € (pour les personnes seules) ou 100 000 € (pour les personnes mariées ou pacsées, et soumises à imposition commune).</w:t>
      </w:r>
    </w:p>
    <w:p w14:paraId="7C3832D6" w14:textId="77777777" w:rsidR="007B0F21" w:rsidRPr="00A847B7" w:rsidRDefault="007B0F21" w:rsidP="007B0F21">
      <w:pPr>
        <w:spacing w:beforeAutospacing="1" w:after="100" w:afterAutospacing="1"/>
        <w:rPr>
          <w:rFonts w:cstheme="minorHAnsi"/>
        </w:rPr>
      </w:pPr>
      <w:r w:rsidRPr="00A847B7">
        <w:rPr>
          <w:rFonts w:cstheme="minorHAnsi"/>
        </w:rPr>
        <w:t>Temporairement, pour les versements effectués jusqu'au 31 décembre 2020, le taux de la réduction d'impôt a été fixé à 25 %.</w:t>
      </w:r>
    </w:p>
    <w:p w14:paraId="130331D5" w14:textId="77777777" w:rsidR="007B0F21" w:rsidRPr="00A847B7" w:rsidRDefault="007B0F21" w:rsidP="007B0F21">
      <w:pPr>
        <w:spacing w:beforeAutospacing="1" w:after="100" w:afterAutospacing="1"/>
        <w:rPr>
          <w:rFonts w:cstheme="minorHAnsi"/>
        </w:rPr>
      </w:pPr>
      <w:r w:rsidRPr="00A847B7">
        <w:rPr>
          <w:rFonts w:cstheme="minorHAnsi"/>
        </w:rPr>
        <w:t>La Loi de Finances pour 2021 proroge d’une année l’application de ce taux de 25 % : il s’appliquera donc aux investissements réalisés jusqu’au 31 décembre 2021.</w:t>
      </w:r>
    </w:p>
    <w:p w14:paraId="7C9B760B" w14:textId="77777777" w:rsidR="007B0F21" w:rsidRPr="00A847B7" w:rsidRDefault="007B0F21" w:rsidP="007B0F21">
      <w:pPr>
        <w:spacing w:beforeAutospacing="1" w:after="100" w:afterAutospacing="1"/>
        <w:rPr>
          <w:rFonts w:cstheme="minorHAnsi"/>
        </w:rPr>
      </w:pPr>
      <w:r w:rsidRPr="00A847B7">
        <w:rPr>
          <w:rFonts w:cstheme="minorHAnsi"/>
        </w:rPr>
        <w:t xml:space="preserve">Pour mémoire, la somme des avantages fiscaux auxquels peut prétendre un même contribuable fait l’objet d’un plafonnement annuel de 10 000 €. </w:t>
      </w:r>
    </w:p>
    <w:p w14:paraId="730C70A4" w14:textId="77777777" w:rsidR="007B0F21" w:rsidRPr="00A847B7" w:rsidRDefault="007B0F21" w:rsidP="007B0F21">
      <w:pPr>
        <w:spacing w:beforeAutospacing="1" w:after="100" w:afterAutospacing="1"/>
        <w:rPr>
          <w:rFonts w:cstheme="minorHAnsi"/>
        </w:rPr>
      </w:pPr>
      <w:r w:rsidRPr="00A847B7">
        <w:rPr>
          <w:rFonts w:cstheme="minorHAnsi"/>
        </w:rPr>
        <w:t>Les souscriptions au capital d’une « société foncière solidaire » réalisées entre le 1</w:t>
      </w:r>
      <w:r w:rsidRPr="00A847B7">
        <w:rPr>
          <w:rFonts w:cstheme="minorHAnsi"/>
          <w:vertAlign w:val="superscript"/>
        </w:rPr>
        <w:t>er</w:t>
      </w:r>
      <w:r w:rsidRPr="00A847B7">
        <w:rPr>
          <w:rFonts w:cstheme="minorHAnsi"/>
        </w:rPr>
        <w:t xml:space="preserve"> janvier 2021 et le 31 décembre 2021 ne seront pas prise</w:t>
      </w:r>
      <w:r>
        <w:rPr>
          <w:rFonts w:cstheme="minorHAnsi"/>
        </w:rPr>
        <w:t>s</w:t>
      </w:r>
      <w:r w:rsidRPr="00A847B7">
        <w:rPr>
          <w:rFonts w:cstheme="minorHAnsi"/>
        </w:rPr>
        <w:t xml:space="preserve"> en compte dans ce plafond de 10 000 €, dans la limite de 3 000 €.</w:t>
      </w:r>
    </w:p>
    <w:p w14:paraId="3F4A2C1A" w14:textId="77777777" w:rsidR="007B0F21" w:rsidRPr="00A847B7" w:rsidRDefault="007B0F21" w:rsidP="007B0F21">
      <w:pPr>
        <w:spacing w:beforeAutospacing="1" w:after="100" w:afterAutospacing="1"/>
        <w:rPr>
          <w:rFonts w:cstheme="minorHAnsi"/>
        </w:rPr>
      </w:pPr>
      <w:r w:rsidRPr="00A847B7">
        <w:rPr>
          <w:rFonts w:cstheme="minorHAnsi"/>
        </w:rPr>
        <w:t>Plus simplement, le montant de cet avantage fiscal ne pourra pas conduire un contribuable à bénéficier d’une diminution de plus de 13 000 € du montant de son impôt sur le revenu.</w:t>
      </w:r>
    </w:p>
    <w:p w14:paraId="1B8ACA46" w14:textId="77777777" w:rsidR="007B0F21" w:rsidRPr="00A847B7" w:rsidRDefault="007B0F21" w:rsidP="007B0F21">
      <w:pPr>
        <w:spacing w:beforeAutospacing="1" w:after="100" w:afterAutospacing="1"/>
        <w:rPr>
          <w:rFonts w:cstheme="minorHAnsi"/>
        </w:rPr>
      </w:pPr>
    </w:p>
    <w:p w14:paraId="71A15FBC" w14:textId="154DBDBF" w:rsidR="007B0F21" w:rsidRPr="00A847B7" w:rsidRDefault="007B0F21" w:rsidP="007B0F21">
      <w:pPr>
        <w:pStyle w:val="Titre3"/>
      </w:pPr>
      <w:bookmarkStart w:id="24" w:name="_Toc60780960"/>
      <w:r w:rsidRPr="00A847B7">
        <w:t xml:space="preserve">Slide </w:t>
      </w:r>
      <w:r w:rsidR="00622A55">
        <w:t>12</w:t>
      </w:r>
      <w:r w:rsidRPr="00A847B7">
        <w:t xml:space="preserve"> : </w:t>
      </w:r>
      <w:r>
        <w:t>S</w:t>
      </w:r>
      <w:r w:rsidRPr="00A847B7">
        <w:t>ouscription au capital d’entreprises de presse</w:t>
      </w:r>
      <w:bookmarkEnd w:id="24"/>
    </w:p>
    <w:p w14:paraId="56E2ABD4" w14:textId="351FFEC6" w:rsidR="007B0F21" w:rsidRPr="00A847B7" w:rsidRDefault="007B0F21" w:rsidP="004F587E">
      <w:r w:rsidRPr="004F587E">
        <w:rPr>
          <w:u w:val="single"/>
        </w:rPr>
        <w:t xml:space="preserve">Source </w:t>
      </w:r>
      <w:r w:rsidRPr="00A847B7">
        <w:t xml:space="preserve">: Loi de Finances pour 2021, </w:t>
      </w:r>
      <w:r w:rsidRPr="00140B05">
        <w:t xml:space="preserve">article </w:t>
      </w:r>
      <w:r w:rsidRPr="00FF2DFD">
        <w:t>114</w:t>
      </w:r>
    </w:p>
    <w:p w14:paraId="50E6B9A8" w14:textId="77777777" w:rsidR="007B0F21" w:rsidRPr="00A847B7" w:rsidRDefault="007B0F21" w:rsidP="004F587E">
      <w:pPr>
        <w:spacing w:beforeAutospacing="1" w:after="100" w:afterAutospacing="1"/>
        <w:rPr>
          <w:rFonts w:cstheme="minorHAnsi"/>
        </w:rPr>
      </w:pPr>
      <w:r w:rsidRPr="00A847B7">
        <w:rPr>
          <w:rFonts w:cstheme="minorHAnsi"/>
        </w:rPr>
        <w:t>Les particuliers qui choisissent d’investir entre le 19 avril 2015 et 31 décembre 2021 dans le capital d’une entreprise de presse peuvent, sous réserve de respecter certaines conditions, bénéficier d’une réduction de leur impôt sur le revenu.</w:t>
      </w:r>
    </w:p>
    <w:p w14:paraId="3E6D5379" w14:textId="77777777" w:rsidR="007B0F21" w:rsidRPr="00A847B7" w:rsidRDefault="007B0F21" w:rsidP="007B0F21">
      <w:pPr>
        <w:spacing w:beforeAutospacing="1" w:after="100" w:afterAutospacing="1"/>
        <w:rPr>
          <w:rFonts w:cstheme="minorHAnsi"/>
        </w:rPr>
      </w:pPr>
      <w:r w:rsidRPr="00A847B7">
        <w:rPr>
          <w:rFonts w:cstheme="minorHAnsi"/>
        </w:rPr>
        <w:t>Le bénéfice de l’avantage fiscal est réservé aux particuliers, qui résident en France, et qui investissent en numéraire dans une entreprise de presse imposée au titre de l’impôt sur les sociétés (IS), de plein droit ou sur option, dans les conditions de droit commun. Ces entreprises se regroupent en 3 catégories :</w:t>
      </w:r>
    </w:p>
    <w:p w14:paraId="032822F3" w14:textId="77777777" w:rsidR="007B0F21" w:rsidRPr="00A847B7" w:rsidRDefault="007B0F21" w:rsidP="00EE0687">
      <w:pPr>
        <w:pStyle w:val="Paragraphedeliste"/>
        <w:numPr>
          <w:ilvl w:val="0"/>
          <w:numId w:val="35"/>
        </w:numPr>
        <w:spacing w:beforeAutospacing="1" w:after="100" w:afterAutospacing="1"/>
        <w:rPr>
          <w:rFonts w:cstheme="minorHAnsi"/>
        </w:rPr>
      </w:pPr>
      <w:r w:rsidRPr="00A847B7">
        <w:rPr>
          <w:rFonts w:cstheme="minorHAnsi"/>
        </w:rPr>
        <w:t>entreprises exploitant soit un journal quotidien, soit une publication de périodicité au maximum mensuelle consacrée pour une large part à l’information politique et générale, soit un service de presse en ligne consacré également, pour une large part, à l’information politique et générale ;</w:t>
      </w:r>
    </w:p>
    <w:p w14:paraId="35D17D86" w14:textId="77777777" w:rsidR="007B0F21" w:rsidRPr="00A847B7" w:rsidRDefault="007B0F21" w:rsidP="00EE0687">
      <w:pPr>
        <w:pStyle w:val="Paragraphedeliste"/>
        <w:numPr>
          <w:ilvl w:val="0"/>
          <w:numId w:val="35"/>
        </w:numPr>
        <w:spacing w:beforeAutospacing="1" w:after="100" w:afterAutospacing="1"/>
        <w:rPr>
          <w:rFonts w:cstheme="minorHAnsi"/>
        </w:rPr>
      </w:pPr>
      <w:r w:rsidRPr="00A847B7">
        <w:rPr>
          <w:rFonts w:cstheme="minorHAnsi"/>
        </w:rPr>
        <w:t xml:space="preserve">entreprises exploitant des publications de périodicité longue, c’est-à-dire des publications mensuelles plus qu’hebdomadaires et </w:t>
      </w:r>
      <w:proofErr w:type="gramStart"/>
      <w:r w:rsidRPr="00A847B7">
        <w:rPr>
          <w:rFonts w:cstheme="minorHAnsi"/>
        </w:rPr>
        <w:t>au maximum trimestrielles</w:t>
      </w:r>
      <w:proofErr w:type="gramEnd"/>
      <w:r w:rsidRPr="00A847B7">
        <w:rPr>
          <w:rFonts w:cstheme="minorHAnsi"/>
        </w:rPr>
        <w:t>, présentant un caractère d’information politique et générale ;</w:t>
      </w:r>
    </w:p>
    <w:p w14:paraId="40C94ED4" w14:textId="77777777" w:rsidR="007B0F21" w:rsidRPr="00A847B7" w:rsidRDefault="007B0F21" w:rsidP="00EE0687">
      <w:pPr>
        <w:pStyle w:val="Paragraphedeliste"/>
        <w:numPr>
          <w:ilvl w:val="0"/>
          <w:numId w:val="35"/>
        </w:numPr>
        <w:spacing w:beforeAutospacing="1" w:after="100" w:afterAutospacing="1"/>
        <w:rPr>
          <w:rFonts w:cstheme="minorHAnsi"/>
        </w:rPr>
      </w:pPr>
      <w:r w:rsidRPr="00A847B7">
        <w:rPr>
          <w:rFonts w:cstheme="minorHAnsi"/>
        </w:rPr>
        <w:t>sociétés « d’amis » ou de « lecteurs », sous réserve du respect des deux conditions suivantes :</w:t>
      </w:r>
    </w:p>
    <w:p w14:paraId="05E200FF" w14:textId="77777777" w:rsidR="007B0F21" w:rsidRPr="00A847B7" w:rsidRDefault="007B0F21" w:rsidP="00EE0687">
      <w:pPr>
        <w:pStyle w:val="Paragraphedeliste"/>
        <w:numPr>
          <w:ilvl w:val="1"/>
          <w:numId w:val="26"/>
        </w:numPr>
        <w:spacing w:beforeAutospacing="1" w:after="100" w:afterAutospacing="1"/>
        <w:rPr>
          <w:rFonts w:cstheme="minorHAnsi"/>
        </w:rPr>
      </w:pPr>
      <w:r w:rsidRPr="00A847B7">
        <w:rPr>
          <w:rFonts w:cstheme="minorHAnsi"/>
        </w:rPr>
        <w:t>avoir exclusivement des particuliers pour actionnaires ou associés ;</w:t>
      </w:r>
    </w:p>
    <w:p w14:paraId="4A4CF248" w14:textId="77777777" w:rsidR="007B0F21" w:rsidRPr="00A847B7" w:rsidRDefault="007B0F21" w:rsidP="00EE0687">
      <w:pPr>
        <w:pStyle w:val="Paragraphedeliste"/>
        <w:numPr>
          <w:ilvl w:val="1"/>
          <w:numId w:val="26"/>
        </w:numPr>
        <w:spacing w:beforeAutospacing="1" w:after="100" w:afterAutospacing="1"/>
        <w:rPr>
          <w:rFonts w:cstheme="minorHAnsi"/>
        </w:rPr>
      </w:pPr>
      <w:r w:rsidRPr="00A847B7">
        <w:rPr>
          <w:rFonts w:cstheme="minorHAnsi"/>
        </w:rPr>
        <w:t>avoir pour objet exclusif la détention de titres d’entreprises de presse répondant aux conditions pour bénéficier de la réduction d’impôt.</w:t>
      </w:r>
    </w:p>
    <w:p w14:paraId="04F77E1D" w14:textId="77777777" w:rsidR="007B0F21" w:rsidRPr="00A847B7" w:rsidRDefault="007B0F21" w:rsidP="007B0F21">
      <w:pPr>
        <w:spacing w:beforeAutospacing="1" w:after="100" w:afterAutospacing="1"/>
        <w:rPr>
          <w:rFonts w:cstheme="minorHAnsi"/>
        </w:rPr>
      </w:pPr>
      <w:r w:rsidRPr="00A847B7">
        <w:rPr>
          <w:rFonts w:cstheme="minorHAnsi"/>
        </w:rPr>
        <w:lastRenderedPageBreak/>
        <w:t>Concernant les entreprises exploitant des publications de périodicité longue et les sociétés « d’amis » ou de « lecteurs », seules les souscriptions effectuées depuis le 16 novembre 2016 ouvrent droit à l’avantage fiscal.</w:t>
      </w:r>
    </w:p>
    <w:p w14:paraId="25ADDCBA" w14:textId="77777777" w:rsidR="007B0F21" w:rsidRPr="00A847B7" w:rsidRDefault="007B0F21" w:rsidP="007B0F21">
      <w:pPr>
        <w:spacing w:beforeAutospacing="1" w:after="100" w:afterAutospacing="1"/>
        <w:rPr>
          <w:rFonts w:cstheme="minorHAnsi"/>
        </w:rPr>
      </w:pPr>
      <w:r w:rsidRPr="00A847B7">
        <w:rPr>
          <w:rFonts w:cstheme="minorHAnsi"/>
        </w:rPr>
        <w:t>Le bénéfice de la réduction d’impôt est subordonné au respect d’un engagement de conservation des titres jusqu’au 31 décembre de la 5</w:t>
      </w:r>
      <w:r w:rsidRPr="00A847B7">
        <w:rPr>
          <w:rFonts w:cstheme="minorHAnsi"/>
          <w:vertAlign w:val="superscript"/>
        </w:rPr>
        <w:t>ème</w:t>
      </w:r>
      <w:r w:rsidRPr="00A847B7">
        <w:rPr>
          <w:rFonts w:cstheme="minorHAnsi"/>
        </w:rPr>
        <w:t xml:space="preserve"> année suivant celle de leur achat.</w:t>
      </w:r>
    </w:p>
    <w:p w14:paraId="19F99C45" w14:textId="77777777" w:rsidR="007B0F21" w:rsidRPr="00A847B7" w:rsidRDefault="007B0F21" w:rsidP="007B0F21">
      <w:pPr>
        <w:spacing w:beforeAutospacing="1" w:after="100" w:afterAutospacing="1"/>
        <w:rPr>
          <w:rFonts w:cstheme="minorHAnsi"/>
        </w:rPr>
      </w:pPr>
      <w:r w:rsidRPr="00A847B7">
        <w:rPr>
          <w:rFonts w:cstheme="minorHAnsi"/>
        </w:rPr>
        <w:t>Le taux de droit commun de la réduction d’impôt est fixé à 30%. Pour les investissements réalisés dans une entreprise ayant le statut « d’entreprise solidaire de presse d’information », le taux est fixé à 50 %.</w:t>
      </w:r>
    </w:p>
    <w:p w14:paraId="17ECCE99" w14:textId="77777777" w:rsidR="007B0F21" w:rsidRPr="00A847B7" w:rsidRDefault="007B0F21" w:rsidP="007B0F21">
      <w:pPr>
        <w:spacing w:beforeAutospacing="1" w:after="100" w:afterAutospacing="1"/>
        <w:rPr>
          <w:rFonts w:cstheme="minorHAnsi"/>
        </w:rPr>
      </w:pPr>
      <w:r w:rsidRPr="00A847B7">
        <w:rPr>
          <w:rFonts w:cstheme="minorHAnsi"/>
        </w:rPr>
        <w:t xml:space="preserve">Depuis le 16 novembre 2016, les versements éligibles au bénéfice de la réduction d’impôt sont plafonnés à hauteur de : </w:t>
      </w:r>
    </w:p>
    <w:p w14:paraId="72BE7AA7" w14:textId="277DB18C" w:rsidR="007B0F21" w:rsidRPr="00A847B7" w:rsidRDefault="007B0F21" w:rsidP="00EE0687">
      <w:pPr>
        <w:pStyle w:val="Paragraphedeliste"/>
        <w:numPr>
          <w:ilvl w:val="0"/>
          <w:numId w:val="36"/>
        </w:numPr>
        <w:spacing w:beforeAutospacing="1" w:after="100" w:afterAutospacing="1"/>
        <w:rPr>
          <w:rFonts w:cstheme="minorHAnsi"/>
        </w:rPr>
      </w:pPr>
      <w:r w:rsidRPr="00A847B7">
        <w:rPr>
          <w:rFonts w:cstheme="minorHAnsi"/>
        </w:rPr>
        <w:t>5</w:t>
      </w:r>
      <w:r>
        <w:rPr>
          <w:rFonts w:cstheme="minorHAnsi"/>
        </w:rPr>
        <w:t xml:space="preserve"> </w:t>
      </w:r>
      <w:r w:rsidRPr="00A847B7">
        <w:rPr>
          <w:rFonts w:cstheme="minorHAnsi"/>
        </w:rPr>
        <w:t>000 € par an pour les particuliers célibataires, divorcés ou veufs ;</w:t>
      </w:r>
    </w:p>
    <w:p w14:paraId="107445EB" w14:textId="77777777" w:rsidR="007B0F21" w:rsidRPr="00A847B7" w:rsidRDefault="007B0F21" w:rsidP="00EE0687">
      <w:pPr>
        <w:pStyle w:val="Paragraphedeliste"/>
        <w:numPr>
          <w:ilvl w:val="0"/>
          <w:numId w:val="36"/>
        </w:numPr>
        <w:spacing w:beforeAutospacing="1" w:after="100" w:afterAutospacing="1"/>
        <w:rPr>
          <w:rFonts w:cstheme="minorHAnsi"/>
        </w:rPr>
      </w:pPr>
      <w:r w:rsidRPr="00A847B7">
        <w:rPr>
          <w:rFonts w:cstheme="minorHAnsi"/>
        </w:rPr>
        <w:t>10 000 € par an pour les particuliers mariés ou liés par un PACS et soumis à imposition commune.</w:t>
      </w:r>
    </w:p>
    <w:p w14:paraId="57AAF58D" w14:textId="77777777" w:rsidR="007B0F21" w:rsidRPr="00A847B7" w:rsidRDefault="007B0F21" w:rsidP="007B0F21">
      <w:pPr>
        <w:spacing w:beforeAutospacing="1" w:after="100" w:afterAutospacing="1"/>
        <w:rPr>
          <w:rFonts w:cstheme="minorHAnsi"/>
        </w:rPr>
      </w:pPr>
      <w:r w:rsidRPr="00A847B7">
        <w:rPr>
          <w:rFonts w:cstheme="minorHAnsi"/>
        </w:rPr>
        <w:t>Pour les investissements réalisés à compter du 1</w:t>
      </w:r>
      <w:r w:rsidRPr="00A847B7">
        <w:rPr>
          <w:rFonts w:cstheme="minorHAnsi"/>
          <w:vertAlign w:val="superscript"/>
        </w:rPr>
        <w:t>er</w:t>
      </w:r>
      <w:r w:rsidRPr="00A847B7">
        <w:rPr>
          <w:rFonts w:cstheme="minorHAnsi"/>
        </w:rPr>
        <w:t xml:space="preserve"> janvier 2021, ces plafonds sont fixés de la manière suivante : </w:t>
      </w:r>
    </w:p>
    <w:p w14:paraId="549B105E" w14:textId="77777777" w:rsidR="007B0F21" w:rsidRPr="00A847B7" w:rsidRDefault="007B0F21" w:rsidP="00EE0687">
      <w:pPr>
        <w:pStyle w:val="Paragraphedeliste"/>
        <w:numPr>
          <w:ilvl w:val="0"/>
          <w:numId w:val="36"/>
        </w:numPr>
        <w:spacing w:beforeAutospacing="1" w:after="100" w:afterAutospacing="1"/>
        <w:rPr>
          <w:rFonts w:cstheme="minorHAnsi"/>
        </w:rPr>
      </w:pPr>
      <w:r w:rsidRPr="00A847B7">
        <w:rPr>
          <w:rFonts w:cstheme="minorHAnsi"/>
        </w:rPr>
        <w:t>10 000 € par an pour les particuliers célibataires, divorcés ou veufs ;</w:t>
      </w:r>
    </w:p>
    <w:p w14:paraId="5BCFC070" w14:textId="77777777" w:rsidR="007B0F21" w:rsidRPr="00A847B7" w:rsidRDefault="007B0F21" w:rsidP="00EE0687">
      <w:pPr>
        <w:pStyle w:val="Paragraphedeliste"/>
        <w:numPr>
          <w:ilvl w:val="0"/>
          <w:numId w:val="36"/>
        </w:numPr>
        <w:spacing w:beforeAutospacing="1" w:after="100" w:afterAutospacing="1"/>
        <w:rPr>
          <w:rFonts w:cstheme="minorHAnsi"/>
        </w:rPr>
      </w:pPr>
      <w:r w:rsidRPr="00A847B7">
        <w:rPr>
          <w:rFonts w:cstheme="minorHAnsi"/>
        </w:rPr>
        <w:t>20 000 € par an pour les particuliers mariés ou liés par un PACS et soumis à imposition commune.</w:t>
      </w:r>
    </w:p>
    <w:p w14:paraId="4C165DCE" w14:textId="77777777" w:rsidR="007B0F21" w:rsidRPr="00A847B7" w:rsidRDefault="007B0F21" w:rsidP="007B0F21">
      <w:pPr>
        <w:spacing w:beforeAutospacing="1" w:after="100" w:afterAutospacing="1"/>
        <w:rPr>
          <w:rFonts w:cstheme="minorHAnsi"/>
        </w:rPr>
      </w:pPr>
      <w:r w:rsidRPr="00A847B7">
        <w:rPr>
          <w:rFonts w:cstheme="minorHAnsi"/>
        </w:rPr>
        <w:t>La réduction d’impôt pour souscription au capital d’une entreprise de presse ne s’applique pas :</w:t>
      </w:r>
    </w:p>
    <w:p w14:paraId="11198EDE" w14:textId="77777777" w:rsidR="007B0F21" w:rsidRPr="00A847B7" w:rsidRDefault="007B0F21" w:rsidP="00EE0687">
      <w:pPr>
        <w:pStyle w:val="Paragraphedeliste"/>
        <w:numPr>
          <w:ilvl w:val="0"/>
          <w:numId w:val="37"/>
        </w:numPr>
        <w:spacing w:beforeAutospacing="1" w:after="100" w:afterAutospacing="1"/>
        <w:rPr>
          <w:rFonts w:cstheme="minorHAnsi"/>
        </w:rPr>
      </w:pPr>
      <w:r w:rsidRPr="00A847B7">
        <w:rPr>
          <w:rFonts w:cstheme="minorHAnsi"/>
        </w:rPr>
        <w:t>aux titres figurant dans un plan d'épargne en actions ;</w:t>
      </w:r>
    </w:p>
    <w:p w14:paraId="1C8A84C3" w14:textId="77777777" w:rsidR="007B0F21" w:rsidRPr="00A847B7" w:rsidRDefault="007B0F21" w:rsidP="00EE0687">
      <w:pPr>
        <w:pStyle w:val="Paragraphedeliste"/>
        <w:numPr>
          <w:ilvl w:val="0"/>
          <w:numId w:val="37"/>
        </w:numPr>
        <w:spacing w:beforeAutospacing="1" w:after="100" w:afterAutospacing="1"/>
        <w:rPr>
          <w:rFonts w:cstheme="minorHAnsi"/>
        </w:rPr>
      </w:pPr>
      <w:r w:rsidRPr="00A847B7">
        <w:rPr>
          <w:rFonts w:cstheme="minorHAnsi"/>
        </w:rPr>
        <w:t>aux titres figurant dans un plan d'épargne salariale ;</w:t>
      </w:r>
    </w:p>
    <w:p w14:paraId="0913E377" w14:textId="1C110381" w:rsidR="007B0F21" w:rsidRPr="00A847B7" w:rsidRDefault="007B0F21" w:rsidP="00EE0687">
      <w:pPr>
        <w:pStyle w:val="Paragraphedeliste"/>
        <w:numPr>
          <w:ilvl w:val="0"/>
          <w:numId w:val="37"/>
        </w:numPr>
        <w:spacing w:beforeAutospacing="1" w:after="100" w:afterAutospacing="1"/>
        <w:rPr>
          <w:rFonts w:cstheme="minorHAnsi"/>
        </w:rPr>
      </w:pPr>
      <w:r w:rsidRPr="00A847B7">
        <w:rPr>
          <w:rFonts w:cstheme="minorHAnsi"/>
        </w:rPr>
        <w:t>à la fraction des versements ayant ouvert droit aux réductions d’impôt :</w:t>
      </w:r>
    </w:p>
    <w:p w14:paraId="5B0A0FAA" w14:textId="53C035D1" w:rsidR="007B0F21" w:rsidRPr="00A847B7" w:rsidRDefault="007B0F21" w:rsidP="00EE0687">
      <w:pPr>
        <w:pStyle w:val="Paragraphedeliste"/>
        <w:numPr>
          <w:ilvl w:val="1"/>
          <w:numId w:val="37"/>
        </w:numPr>
        <w:spacing w:beforeAutospacing="1" w:after="100" w:afterAutospacing="1"/>
        <w:rPr>
          <w:rFonts w:cstheme="minorHAnsi"/>
        </w:rPr>
      </w:pPr>
      <w:r w:rsidRPr="00A847B7">
        <w:rPr>
          <w:rFonts w:cstheme="minorHAnsi"/>
        </w:rPr>
        <w:t xml:space="preserve">pour souscription au capital de sociétés qui ont pour objet le financement d'entreprises exerçant leur activité exclusivement </w:t>
      </w:r>
      <w:r>
        <w:rPr>
          <w:rFonts w:cstheme="minorHAnsi"/>
        </w:rPr>
        <w:t>O</w:t>
      </w:r>
      <w:r w:rsidRPr="00A847B7">
        <w:rPr>
          <w:rFonts w:cstheme="minorHAnsi"/>
        </w:rPr>
        <w:t>utre-mer dans le secteur agricole, commercial, industriel ou artisanal, et qui affectent ces financements à l'acquisition et à l'exploitation d'investissements productifs neufs (SOFIOM) ;</w:t>
      </w:r>
    </w:p>
    <w:p w14:paraId="2C07D8E2" w14:textId="0FDD777C" w:rsidR="007B0F21" w:rsidRPr="00A847B7" w:rsidRDefault="007B0F21" w:rsidP="00EE0687">
      <w:pPr>
        <w:pStyle w:val="Paragraphedeliste"/>
        <w:numPr>
          <w:ilvl w:val="1"/>
          <w:numId w:val="37"/>
        </w:numPr>
        <w:spacing w:beforeAutospacing="1" w:after="100" w:afterAutospacing="1"/>
        <w:rPr>
          <w:rFonts w:cstheme="minorHAnsi"/>
        </w:rPr>
      </w:pPr>
      <w:r w:rsidRPr="00A847B7">
        <w:rPr>
          <w:rFonts w:cstheme="minorHAnsi"/>
        </w:rPr>
        <w:t>à raison des investissements productifs neufs réalisés dans les départements d'</w:t>
      </w:r>
      <w:r>
        <w:rPr>
          <w:rFonts w:cstheme="minorHAnsi"/>
        </w:rPr>
        <w:t>O</w:t>
      </w:r>
      <w:r w:rsidRPr="00A847B7">
        <w:rPr>
          <w:rFonts w:cstheme="minorHAnsi"/>
        </w:rPr>
        <w:t>utre-mer, à Saint-Pierre-et-Miquelon, en Nouvelle-Calédonie, en Polynésie française, à Saint-Martin, à Saint-Barthélemy, dans les îles Wallis-et-Futuna et les Terres australes et antarctiques françaises, dans le cadre d'une entreprise exerçant une activité agricole ou une activité industrielle, commerciale ou artisanale ;</w:t>
      </w:r>
    </w:p>
    <w:p w14:paraId="44180DB3" w14:textId="77777777" w:rsidR="007B0F21" w:rsidRPr="00A847B7" w:rsidRDefault="007B0F21" w:rsidP="00EE0687">
      <w:pPr>
        <w:pStyle w:val="Paragraphedeliste"/>
        <w:numPr>
          <w:ilvl w:val="1"/>
          <w:numId w:val="37"/>
        </w:numPr>
        <w:spacing w:beforeAutospacing="1" w:after="100" w:afterAutospacing="1"/>
        <w:rPr>
          <w:rFonts w:cstheme="minorHAnsi"/>
        </w:rPr>
      </w:pPr>
      <w:r w:rsidRPr="00A847B7">
        <w:rPr>
          <w:rFonts w:cstheme="minorHAnsi"/>
        </w:rPr>
        <w:t>pour souscription au capital de PME ;</w:t>
      </w:r>
    </w:p>
    <w:p w14:paraId="69D25D53" w14:textId="77777777" w:rsidR="007B0F21" w:rsidRPr="00A847B7" w:rsidRDefault="007B0F21" w:rsidP="00EE0687">
      <w:pPr>
        <w:pStyle w:val="Paragraphedeliste"/>
        <w:numPr>
          <w:ilvl w:val="1"/>
          <w:numId w:val="37"/>
        </w:numPr>
        <w:spacing w:beforeAutospacing="1" w:after="100" w:afterAutospacing="1"/>
        <w:rPr>
          <w:rFonts w:cstheme="minorHAnsi"/>
        </w:rPr>
      </w:pPr>
      <w:r w:rsidRPr="00A847B7">
        <w:rPr>
          <w:rFonts w:cstheme="minorHAnsi"/>
        </w:rPr>
        <w:t>au titre des emprunts souscrits pour la reprise d’entreprise ;</w:t>
      </w:r>
    </w:p>
    <w:p w14:paraId="46531610" w14:textId="77777777" w:rsidR="007B0F21" w:rsidRPr="00A847B7" w:rsidRDefault="007B0F21" w:rsidP="00EE0687">
      <w:pPr>
        <w:pStyle w:val="Paragraphedeliste"/>
        <w:numPr>
          <w:ilvl w:val="0"/>
          <w:numId w:val="37"/>
        </w:numPr>
        <w:spacing w:beforeAutospacing="1" w:after="100" w:afterAutospacing="1"/>
        <w:rPr>
          <w:rFonts w:cstheme="minorHAnsi"/>
        </w:rPr>
      </w:pPr>
      <w:r w:rsidRPr="00A847B7">
        <w:rPr>
          <w:rFonts w:cstheme="minorHAnsi"/>
        </w:rPr>
        <w:t>à la fraction des versements effectués au titre de souscriptions donnant lieu à une déduction pour intérêts d’emprunt en vue de souscrire au capital de sociétés coopératives de production ou de sociétés nouvelles.</w:t>
      </w:r>
    </w:p>
    <w:p w14:paraId="7C8246A4" w14:textId="77777777" w:rsidR="007B0F21" w:rsidRPr="00A847B7" w:rsidRDefault="007B0F21" w:rsidP="007B0F21">
      <w:pPr>
        <w:spacing w:beforeAutospacing="1" w:after="100" w:afterAutospacing="1"/>
        <w:rPr>
          <w:rFonts w:cstheme="minorHAnsi"/>
        </w:rPr>
      </w:pPr>
      <w:r w:rsidRPr="00A847B7">
        <w:rPr>
          <w:rFonts w:cstheme="minorHAnsi"/>
        </w:rPr>
        <w:t xml:space="preserve">A compter de 2021, </w:t>
      </w:r>
      <w:r>
        <w:rPr>
          <w:rFonts w:cstheme="minorHAnsi"/>
        </w:rPr>
        <w:t>l</w:t>
      </w:r>
      <w:r w:rsidRPr="00A847B7">
        <w:rPr>
          <w:rFonts w:cstheme="minorHAnsi"/>
        </w:rPr>
        <w:t>a réduction d’impôt pour souscription au capital d’une entreprise de presse ne s’appliquera pas :</w:t>
      </w:r>
    </w:p>
    <w:p w14:paraId="2CDCF1D2" w14:textId="77777777" w:rsidR="007B0F21" w:rsidRPr="00A847B7" w:rsidRDefault="007B0F21" w:rsidP="00EE0687">
      <w:pPr>
        <w:pStyle w:val="Paragraphedeliste"/>
        <w:numPr>
          <w:ilvl w:val="0"/>
          <w:numId w:val="37"/>
        </w:numPr>
        <w:spacing w:beforeAutospacing="1" w:after="100" w:afterAutospacing="1"/>
        <w:rPr>
          <w:rFonts w:cstheme="minorHAnsi"/>
        </w:rPr>
      </w:pPr>
      <w:r w:rsidRPr="00A847B7">
        <w:rPr>
          <w:rFonts w:cstheme="minorHAnsi"/>
        </w:rPr>
        <w:t>aux titres figurant dans un plan d'épargne en actions ;</w:t>
      </w:r>
    </w:p>
    <w:p w14:paraId="3335E307" w14:textId="77777777" w:rsidR="007B0F21" w:rsidRPr="00A847B7" w:rsidRDefault="007B0F21" w:rsidP="00EE0687">
      <w:pPr>
        <w:pStyle w:val="Paragraphedeliste"/>
        <w:numPr>
          <w:ilvl w:val="0"/>
          <w:numId w:val="37"/>
        </w:numPr>
        <w:spacing w:beforeAutospacing="1" w:after="100" w:afterAutospacing="1"/>
        <w:rPr>
          <w:rFonts w:cstheme="minorHAnsi"/>
        </w:rPr>
      </w:pPr>
      <w:r w:rsidRPr="00A847B7">
        <w:rPr>
          <w:rFonts w:cstheme="minorHAnsi"/>
        </w:rPr>
        <w:t>aux titres figurant dans un plan d'épargne salariale ;</w:t>
      </w:r>
    </w:p>
    <w:p w14:paraId="35533FF0" w14:textId="3E3D7A62" w:rsidR="007B0F21" w:rsidRPr="00A847B7" w:rsidRDefault="007B0F21" w:rsidP="00EE0687">
      <w:pPr>
        <w:pStyle w:val="Paragraphedeliste"/>
        <w:numPr>
          <w:ilvl w:val="0"/>
          <w:numId w:val="37"/>
        </w:numPr>
        <w:spacing w:beforeAutospacing="1" w:after="100" w:afterAutospacing="1"/>
        <w:rPr>
          <w:rFonts w:cstheme="minorHAnsi"/>
        </w:rPr>
      </w:pPr>
      <w:r w:rsidRPr="00A847B7">
        <w:rPr>
          <w:rFonts w:cstheme="minorHAnsi"/>
        </w:rPr>
        <w:t>à la fraction des versements ayant ouvert droit aux réductions d’impôt :</w:t>
      </w:r>
    </w:p>
    <w:p w14:paraId="55C89D19" w14:textId="77777777" w:rsidR="007B0F21" w:rsidRPr="00A847B7" w:rsidRDefault="007B0F21" w:rsidP="00EE0687">
      <w:pPr>
        <w:pStyle w:val="Paragraphedeliste"/>
        <w:numPr>
          <w:ilvl w:val="1"/>
          <w:numId w:val="37"/>
        </w:numPr>
        <w:spacing w:beforeAutospacing="1" w:after="100" w:afterAutospacing="1"/>
        <w:rPr>
          <w:rFonts w:cstheme="minorHAnsi"/>
        </w:rPr>
      </w:pPr>
      <w:r w:rsidRPr="00A847B7">
        <w:rPr>
          <w:rFonts w:cstheme="minorHAnsi"/>
        </w:rPr>
        <w:t xml:space="preserve">à raison des investissements productifs neufs réalisés dans les départements d'outre-mer, à Saint-Pierre-et-Miquelon, en Nouvelle-Calédonie, en Polynésie française, à Saint-Martin, à Saint-Barthélemy, dans les îles Wallis-et-Futuna et les Terres australes et antarctiques </w:t>
      </w:r>
      <w:r w:rsidRPr="00A847B7">
        <w:rPr>
          <w:rFonts w:cstheme="minorHAnsi"/>
        </w:rPr>
        <w:lastRenderedPageBreak/>
        <w:t>françaises, dans le cadre d'une entreprise exerçant une activité agricole ou une activité industrielle, commerciale ou artisanale ;</w:t>
      </w:r>
    </w:p>
    <w:p w14:paraId="0C3FA9CB" w14:textId="77777777" w:rsidR="007B0F21" w:rsidRPr="00A847B7" w:rsidRDefault="007B0F21" w:rsidP="00EE0687">
      <w:pPr>
        <w:pStyle w:val="Paragraphedeliste"/>
        <w:numPr>
          <w:ilvl w:val="1"/>
          <w:numId w:val="37"/>
        </w:numPr>
        <w:spacing w:beforeAutospacing="1" w:after="100" w:afterAutospacing="1"/>
        <w:rPr>
          <w:rFonts w:cstheme="minorHAnsi"/>
        </w:rPr>
      </w:pPr>
      <w:r w:rsidRPr="00A847B7">
        <w:rPr>
          <w:rFonts w:cstheme="minorHAnsi"/>
        </w:rPr>
        <w:t>pour souscription au capital de PME ;</w:t>
      </w:r>
    </w:p>
    <w:p w14:paraId="01617ED5" w14:textId="77777777" w:rsidR="007B0F21" w:rsidRPr="00A847B7" w:rsidRDefault="007B0F21" w:rsidP="00EE0687">
      <w:pPr>
        <w:pStyle w:val="Paragraphedeliste"/>
        <w:numPr>
          <w:ilvl w:val="1"/>
          <w:numId w:val="37"/>
        </w:numPr>
        <w:spacing w:beforeAutospacing="1" w:after="100" w:afterAutospacing="1"/>
        <w:rPr>
          <w:rFonts w:cstheme="minorHAnsi"/>
        </w:rPr>
      </w:pPr>
      <w:r w:rsidRPr="00A847B7">
        <w:rPr>
          <w:rFonts w:cstheme="minorHAnsi"/>
        </w:rPr>
        <w:t>au titre des emprunts souscrits pour la reprise d’entreprise.</w:t>
      </w:r>
    </w:p>
    <w:p w14:paraId="144B59B1" w14:textId="77777777" w:rsidR="007B0F21" w:rsidRPr="00A847B7" w:rsidRDefault="007B0F21" w:rsidP="007B0F21">
      <w:pPr>
        <w:spacing w:beforeAutospacing="1" w:after="100" w:afterAutospacing="1"/>
        <w:rPr>
          <w:rFonts w:cstheme="minorHAnsi"/>
        </w:rPr>
      </w:pPr>
    </w:p>
    <w:p w14:paraId="06D01B52" w14:textId="01F2BF46" w:rsidR="007B0F21" w:rsidRPr="00A847B7" w:rsidRDefault="007B0F21" w:rsidP="007B0F21">
      <w:pPr>
        <w:pStyle w:val="Titre3"/>
      </w:pPr>
      <w:bookmarkStart w:id="25" w:name="_Toc60780961"/>
      <w:r w:rsidRPr="00A847B7">
        <w:t xml:space="preserve">Slide </w:t>
      </w:r>
      <w:r w:rsidR="008A4681">
        <w:t>13</w:t>
      </w:r>
      <w:r w:rsidRPr="00A847B7">
        <w:t xml:space="preserve"> : </w:t>
      </w:r>
      <w:r>
        <w:t>Dons en faveur des organismes d’aide aux personnes</w:t>
      </w:r>
      <w:bookmarkEnd w:id="25"/>
    </w:p>
    <w:p w14:paraId="78B4D554" w14:textId="470A05B3" w:rsidR="007B0F21" w:rsidRPr="0032638E" w:rsidRDefault="004F587E" w:rsidP="004F587E">
      <w:r w:rsidRPr="004F587E">
        <w:rPr>
          <w:u w:val="single"/>
        </w:rPr>
        <w:t xml:space="preserve">Source </w:t>
      </w:r>
      <w:r w:rsidRPr="00A847B7">
        <w:t>:</w:t>
      </w:r>
      <w:r w:rsidR="007B0F21" w:rsidRPr="00A847B7">
        <w:t xml:space="preserve"> Loi de Finances pour </w:t>
      </w:r>
      <w:r w:rsidR="007B0F21" w:rsidRPr="00AE6DC6">
        <w:t xml:space="preserve">2021, article </w:t>
      </w:r>
      <w:r w:rsidR="007B0F21" w:rsidRPr="00D93968">
        <w:t>187</w:t>
      </w:r>
    </w:p>
    <w:p w14:paraId="4C68EEBA" w14:textId="77777777" w:rsidR="007B0F21" w:rsidRPr="00516365" w:rsidRDefault="007B0F21" w:rsidP="007B0F21">
      <w:pPr>
        <w:spacing w:beforeAutospacing="1" w:after="100" w:afterAutospacing="1"/>
        <w:rPr>
          <w:rFonts w:cstheme="minorHAnsi"/>
        </w:rPr>
      </w:pPr>
      <w:r w:rsidRPr="00184987">
        <w:rPr>
          <w:rFonts w:cstheme="minorHAnsi"/>
        </w:rPr>
        <w:t>L</w:t>
      </w:r>
      <w:r w:rsidRPr="002479A9">
        <w:rPr>
          <w:rFonts w:cstheme="minorHAnsi"/>
        </w:rPr>
        <w:t>e don fait à une association ou un organisme éligible permet de</w:t>
      </w:r>
      <w:r w:rsidRPr="0063317F">
        <w:rPr>
          <w:rFonts w:cstheme="minorHAnsi"/>
        </w:rPr>
        <w:t xml:space="preserve"> bénéficier d’une</w:t>
      </w:r>
      <w:r w:rsidRPr="00516365">
        <w:rPr>
          <w:rFonts w:cstheme="minorHAnsi"/>
        </w:rPr>
        <w:t xml:space="preserve"> réduction d’impôt, dont le montant et les modalités de calcul diffèrent toutefois en fonction de l’organisme bénéficiaire.</w:t>
      </w:r>
    </w:p>
    <w:p w14:paraId="709B2F1B" w14:textId="77777777" w:rsidR="007B0F21" w:rsidRPr="00516365" w:rsidRDefault="007B0F21" w:rsidP="004F587E">
      <w:pPr>
        <w:spacing w:beforeAutospacing="1" w:after="100" w:afterAutospacing="1"/>
        <w:rPr>
          <w:rFonts w:cstheme="minorHAnsi"/>
        </w:rPr>
      </w:pPr>
      <w:r w:rsidRPr="00516365">
        <w:rPr>
          <w:rFonts w:cstheme="minorHAnsi"/>
        </w:rPr>
        <w:t xml:space="preserve">D’une manière générale, la réduction d’impôt est égale à 66 % du montant du versement effectué, versement retenu dans la limite de 20 % </w:t>
      </w:r>
      <w:r>
        <w:rPr>
          <w:rFonts w:cstheme="minorHAnsi"/>
        </w:rPr>
        <w:t>du</w:t>
      </w:r>
      <w:r w:rsidRPr="00516365">
        <w:rPr>
          <w:rFonts w:cstheme="minorHAnsi"/>
        </w:rPr>
        <w:t xml:space="preserve"> revenu imposable</w:t>
      </w:r>
      <w:r>
        <w:rPr>
          <w:rFonts w:cstheme="minorHAnsi"/>
        </w:rPr>
        <w:t>.</w:t>
      </w:r>
    </w:p>
    <w:p w14:paraId="0C6B2156" w14:textId="77777777" w:rsidR="007B0F21" w:rsidRPr="00516365" w:rsidRDefault="007B0F21" w:rsidP="007B0F21">
      <w:pPr>
        <w:spacing w:beforeAutospacing="1" w:after="100" w:afterAutospacing="1"/>
        <w:rPr>
          <w:rFonts w:cstheme="minorHAnsi"/>
        </w:rPr>
      </w:pPr>
      <w:r w:rsidRPr="00516365">
        <w:rPr>
          <w:rFonts w:cstheme="minorHAnsi"/>
        </w:rPr>
        <w:t xml:space="preserve">Mais si </w:t>
      </w:r>
      <w:r>
        <w:rPr>
          <w:rFonts w:cstheme="minorHAnsi"/>
        </w:rPr>
        <w:t>le</w:t>
      </w:r>
      <w:r w:rsidRPr="00516365">
        <w:rPr>
          <w:rFonts w:cstheme="minorHAnsi"/>
        </w:rPr>
        <w:t xml:space="preserve"> don est effectué au profit d’une association sans but lucratif dont l’objet est de fournir des repas ou des soins ou de favoriser le logement au bénéfice de personnes en difficulté, ou au profit d’une association qui exerce des actions concrètes en faveur des victimes de violence</w:t>
      </w:r>
      <w:r>
        <w:rPr>
          <w:rFonts w:cstheme="minorHAnsi"/>
        </w:rPr>
        <w:t>s</w:t>
      </w:r>
      <w:r w:rsidRPr="00516365">
        <w:rPr>
          <w:rFonts w:cstheme="minorHAnsi"/>
        </w:rPr>
        <w:t xml:space="preserve"> domestique</w:t>
      </w:r>
      <w:r>
        <w:rPr>
          <w:rFonts w:cstheme="minorHAnsi"/>
        </w:rPr>
        <w:t>s</w:t>
      </w:r>
      <w:r w:rsidRPr="00516365">
        <w:rPr>
          <w:rFonts w:cstheme="minorHAnsi"/>
        </w:rPr>
        <w:t xml:space="preserve">, qui leur propose un accompagnement ou qui contribue à favoriser leur relogement, la réduction d’impôt sera égale à 75 % du montant du versement effectué, retenu dans la limite de </w:t>
      </w:r>
      <w:r>
        <w:rPr>
          <w:rFonts w:cstheme="minorHAnsi"/>
        </w:rPr>
        <w:t>1 000</w:t>
      </w:r>
      <w:r w:rsidRPr="00516365">
        <w:rPr>
          <w:rFonts w:cstheme="minorHAnsi"/>
        </w:rPr>
        <w:t xml:space="preserve"> € en 2020</w:t>
      </w:r>
      <w:r>
        <w:rPr>
          <w:rFonts w:cstheme="minorHAnsi"/>
        </w:rPr>
        <w:t xml:space="preserve"> (au lieu de 552 €)</w:t>
      </w:r>
      <w:r w:rsidRPr="00516365">
        <w:rPr>
          <w:rFonts w:cstheme="minorHAnsi"/>
        </w:rPr>
        <w:t>.</w:t>
      </w:r>
    </w:p>
    <w:p w14:paraId="04EAA3E8" w14:textId="77777777" w:rsidR="007B0F21" w:rsidRPr="00516365" w:rsidRDefault="007B0F21" w:rsidP="007B0F21">
      <w:pPr>
        <w:spacing w:beforeAutospacing="1" w:after="100" w:afterAutospacing="1"/>
        <w:rPr>
          <w:rFonts w:cstheme="minorHAnsi"/>
        </w:rPr>
      </w:pPr>
      <w:r>
        <w:rPr>
          <w:rFonts w:cstheme="minorHAnsi"/>
        </w:rPr>
        <w:t>La Loi de Finances pour 2021 maintient cette limite de 1 000 € pour 2021.</w:t>
      </w:r>
    </w:p>
    <w:p w14:paraId="5B3589FD" w14:textId="77777777" w:rsidR="007B0F21" w:rsidRPr="00A847B7" w:rsidRDefault="007B0F21" w:rsidP="007B0F21">
      <w:pPr>
        <w:spacing w:beforeAutospacing="1" w:after="100" w:afterAutospacing="1"/>
        <w:rPr>
          <w:rFonts w:cstheme="minorHAnsi"/>
        </w:rPr>
      </w:pPr>
    </w:p>
    <w:p w14:paraId="09E05E99" w14:textId="601F9ACC" w:rsidR="00AA37E2" w:rsidRPr="00A847B7" w:rsidRDefault="00AA37E2" w:rsidP="00AA37E2">
      <w:pPr>
        <w:pStyle w:val="Titre3"/>
      </w:pPr>
      <w:bookmarkStart w:id="26" w:name="_Toc60780962"/>
      <w:r w:rsidRPr="00A847B7">
        <w:t xml:space="preserve">Slide </w:t>
      </w:r>
      <w:r w:rsidR="00125DDE">
        <w:t>14</w:t>
      </w:r>
      <w:r w:rsidR="00964A10" w:rsidRPr="00A847B7">
        <w:t> </w:t>
      </w:r>
      <w:r w:rsidRPr="00A847B7">
        <w:t xml:space="preserve">: </w:t>
      </w:r>
      <w:r w:rsidR="0020069C" w:rsidDel="0061365D">
        <w:t>D</w:t>
      </w:r>
      <w:r w:rsidRPr="00A847B7" w:rsidDel="0061365D">
        <w:t>épenses</w:t>
      </w:r>
      <w:r w:rsidRPr="00A847B7">
        <w:t xml:space="preserve"> en faveur de l’aide aux personnes</w:t>
      </w:r>
      <w:bookmarkEnd w:id="26"/>
    </w:p>
    <w:p w14:paraId="0F0055BE" w14:textId="465200EE" w:rsidR="00AA37E2" w:rsidRPr="00A847B7" w:rsidRDefault="004F587E" w:rsidP="004F587E">
      <w:r w:rsidRPr="004F587E">
        <w:rPr>
          <w:u w:val="single"/>
        </w:rPr>
        <w:t xml:space="preserve">Source </w:t>
      </w:r>
      <w:r w:rsidRPr="00A847B7">
        <w:t>:</w:t>
      </w:r>
      <w:r w:rsidR="00AA37E2" w:rsidRPr="00A847B7">
        <w:t xml:space="preserve"> Loi de Finances pour 2021, </w:t>
      </w:r>
      <w:r w:rsidR="00AA37E2" w:rsidRPr="00140B05">
        <w:t xml:space="preserve">article </w:t>
      </w:r>
      <w:r w:rsidR="00B229DB">
        <w:t>117</w:t>
      </w:r>
    </w:p>
    <w:p w14:paraId="73D8AEC1" w14:textId="3C886651" w:rsidR="00E368D4" w:rsidRPr="00A847B7" w:rsidRDefault="00E368D4" w:rsidP="004F587E">
      <w:pPr>
        <w:spacing w:beforeAutospacing="1" w:after="100" w:afterAutospacing="1"/>
        <w:rPr>
          <w:rFonts w:cstheme="minorHAnsi"/>
        </w:rPr>
      </w:pPr>
      <w:r w:rsidRPr="00A847B7">
        <w:rPr>
          <w:rFonts w:cstheme="minorHAnsi"/>
        </w:rPr>
        <w:t>La réalisation de certaines dépenses</w:t>
      </w:r>
      <w:r w:rsidR="001829C4">
        <w:rPr>
          <w:rFonts w:cstheme="minorHAnsi"/>
        </w:rPr>
        <w:t xml:space="preserve"> dans un logement affecté à l’habitation principale</w:t>
      </w:r>
      <w:r w:rsidRPr="00A847B7">
        <w:rPr>
          <w:rFonts w:cstheme="minorHAnsi"/>
        </w:rPr>
        <w:t>, depuis le 1</w:t>
      </w:r>
      <w:r w:rsidRPr="00A847B7">
        <w:rPr>
          <w:rFonts w:cstheme="minorHAnsi"/>
          <w:vertAlign w:val="superscript"/>
        </w:rPr>
        <w:t>er</w:t>
      </w:r>
      <w:r w:rsidRPr="00A847B7">
        <w:rPr>
          <w:rFonts w:cstheme="minorHAnsi"/>
        </w:rPr>
        <w:t xml:space="preserve"> janvier 2005 et jusqu’au 31 décembre 2020 permettent, toutes conditions remplies, de bénéficier du crédit d’impôt pour les dépenses en faveur de l’aide aux personnes.</w:t>
      </w:r>
    </w:p>
    <w:p w14:paraId="5AB51E31" w14:textId="01F32F1B" w:rsidR="00E368D4" w:rsidRPr="00A847B7" w:rsidRDefault="00E368D4" w:rsidP="00E368D4">
      <w:pPr>
        <w:spacing w:beforeAutospacing="1" w:after="100" w:afterAutospacing="1"/>
        <w:rPr>
          <w:rFonts w:cstheme="minorHAnsi"/>
        </w:rPr>
      </w:pPr>
      <w:r w:rsidRPr="00A847B7">
        <w:rPr>
          <w:rFonts w:cstheme="minorHAnsi"/>
        </w:rPr>
        <w:t>Cet avantage fiscal est réservé aux personnes qui réalisent :</w:t>
      </w:r>
    </w:p>
    <w:p w14:paraId="71543635" w14:textId="6AF1B108" w:rsidR="00E368D4" w:rsidRPr="00A847B7" w:rsidRDefault="00E368D4" w:rsidP="00EE0687">
      <w:pPr>
        <w:pStyle w:val="Paragraphedeliste"/>
        <w:numPr>
          <w:ilvl w:val="0"/>
          <w:numId w:val="40"/>
        </w:numPr>
        <w:spacing w:beforeAutospacing="1" w:after="100" w:afterAutospacing="1"/>
        <w:rPr>
          <w:rFonts w:cstheme="minorHAnsi"/>
        </w:rPr>
      </w:pPr>
      <w:r w:rsidRPr="00A847B7">
        <w:rPr>
          <w:rFonts w:cstheme="minorHAnsi"/>
        </w:rPr>
        <w:t>des dépenses d’équipements en faveur des personnes âgées ou handicapées ;</w:t>
      </w:r>
    </w:p>
    <w:p w14:paraId="586EAE3F" w14:textId="4B3230A7" w:rsidR="00AA37E2" w:rsidRPr="00A847B7" w:rsidRDefault="00E368D4" w:rsidP="00EE0687">
      <w:pPr>
        <w:pStyle w:val="Paragraphedeliste"/>
        <w:numPr>
          <w:ilvl w:val="0"/>
          <w:numId w:val="40"/>
        </w:numPr>
        <w:spacing w:beforeAutospacing="1" w:after="100" w:afterAutospacing="1"/>
        <w:rPr>
          <w:rFonts w:cstheme="minorHAnsi"/>
        </w:rPr>
      </w:pPr>
      <w:r w:rsidRPr="00A847B7">
        <w:rPr>
          <w:rFonts w:cstheme="minorHAnsi"/>
        </w:rPr>
        <w:t>des dépenses de travaux prescrits par un plan de prévention des risques technologiques (PPRT) et diagnostics préalables à ces travaux.</w:t>
      </w:r>
    </w:p>
    <w:p w14:paraId="02CCABF7" w14:textId="77777777" w:rsidR="00C57DF8" w:rsidRPr="00A847B7" w:rsidRDefault="00C57DF8" w:rsidP="00C57DF8">
      <w:pPr>
        <w:spacing w:beforeAutospacing="1" w:after="100" w:afterAutospacing="1"/>
        <w:rPr>
          <w:rFonts w:cstheme="minorHAnsi"/>
        </w:rPr>
      </w:pPr>
      <w:r w:rsidRPr="00A847B7">
        <w:rPr>
          <w:rFonts w:cstheme="minorHAnsi"/>
        </w:rPr>
        <w:t>Le taux du crédit d’impôt est fixé à :</w:t>
      </w:r>
    </w:p>
    <w:p w14:paraId="00EDDAD2" w14:textId="0C74C5B4" w:rsidR="00C57DF8" w:rsidRPr="00A847B7" w:rsidRDefault="00C57DF8" w:rsidP="00EE0687">
      <w:pPr>
        <w:pStyle w:val="Paragraphedeliste"/>
        <w:numPr>
          <w:ilvl w:val="0"/>
          <w:numId w:val="41"/>
        </w:numPr>
        <w:spacing w:beforeAutospacing="1" w:after="100" w:afterAutospacing="1"/>
        <w:rPr>
          <w:rFonts w:cstheme="minorHAnsi"/>
        </w:rPr>
      </w:pPr>
      <w:r w:rsidRPr="00A847B7">
        <w:rPr>
          <w:rFonts w:cstheme="minorHAnsi"/>
        </w:rPr>
        <w:t>40 % du montant des dépenses de travaux prescrits par un PPRT et, le cas échéant, de diagnostics préalables à ces travaux ;</w:t>
      </w:r>
    </w:p>
    <w:p w14:paraId="3FF048FA" w14:textId="1016D8C7" w:rsidR="00C57DF8" w:rsidRPr="00A847B7" w:rsidRDefault="00C57DF8" w:rsidP="00EE0687">
      <w:pPr>
        <w:pStyle w:val="Paragraphedeliste"/>
        <w:numPr>
          <w:ilvl w:val="0"/>
          <w:numId w:val="41"/>
        </w:numPr>
        <w:spacing w:beforeAutospacing="1" w:after="100" w:afterAutospacing="1"/>
        <w:rPr>
          <w:rFonts w:cstheme="minorHAnsi"/>
        </w:rPr>
      </w:pPr>
      <w:r w:rsidRPr="00A847B7">
        <w:rPr>
          <w:rFonts w:cstheme="minorHAnsi"/>
        </w:rPr>
        <w:t>25 % du montant des dépenses d’équipements en faveur des personnes âgées ou handicapées.</w:t>
      </w:r>
    </w:p>
    <w:p w14:paraId="002C64C4" w14:textId="1193F493" w:rsidR="00C57DF8" w:rsidRPr="00A847B7" w:rsidRDefault="00C57DF8" w:rsidP="00C57DF8">
      <w:pPr>
        <w:spacing w:beforeAutospacing="1" w:after="100" w:afterAutospacing="1"/>
        <w:rPr>
          <w:rFonts w:cstheme="minorHAnsi"/>
        </w:rPr>
      </w:pPr>
      <w:r w:rsidRPr="00A847B7">
        <w:rPr>
          <w:rFonts w:cstheme="minorHAnsi"/>
        </w:rPr>
        <w:t xml:space="preserve">Le taux de l’avantage fiscal s’applique au montant (main d’œuvre incluse) toutes taxes comprises des dépenses réalisées et effectivement supportées par le particulier : dès lors, les aides ou subventions perçues pour la </w:t>
      </w:r>
      <w:r w:rsidRPr="00A847B7">
        <w:rPr>
          <w:rFonts w:cstheme="minorHAnsi"/>
        </w:rPr>
        <w:lastRenderedPageBreak/>
        <w:t>réalisation des travaux ne doivent pas être prises en compte pour le calcul des dépenses ouvrant droit au crédit d’impôt.</w:t>
      </w:r>
    </w:p>
    <w:p w14:paraId="3A460FDB" w14:textId="2B8E1677" w:rsidR="00C57DF8" w:rsidRPr="00A847B7" w:rsidRDefault="00C57DF8" w:rsidP="00C57DF8">
      <w:pPr>
        <w:spacing w:beforeAutospacing="1" w:after="100" w:afterAutospacing="1"/>
        <w:rPr>
          <w:rFonts w:cstheme="minorHAnsi"/>
        </w:rPr>
      </w:pPr>
      <w:r w:rsidRPr="00A847B7">
        <w:rPr>
          <w:rFonts w:cstheme="minorHAnsi"/>
        </w:rPr>
        <w:t xml:space="preserve">Les dépenses permettant de bénéficier </w:t>
      </w:r>
      <w:r w:rsidR="00054DC2" w:rsidRPr="00A847B7">
        <w:rPr>
          <w:rFonts w:cstheme="minorHAnsi"/>
        </w:rPr>
        <w:t>de l’avantage fiscal</w:t>
      </w:r>
      <w:r w:rsidRPr="00A847B7">
        <w:rPr>
          <w:rFonts w:cstheme="minorHAnsi"/>
        </w:rPr>
        <w:t xml:space="preserve"> sont soumises à un plafonnement dont le montant dépend de la nature des travaux réalisés.</w:t>
      </w:r>
    </w:p>
    <w:p w14:paraId="291F7CC2" w14:textId="73FB49F4" w:rsidR="00AA37E2" w:rsidRPr="00A847B7" w:rsidRDefault="00C57DF8" w:rsidP="00C57DF8">
      <w:pPr>
        <w:spacing w:beforeAutospacing="1" w:after="100" w:afterAutospacing="1"/>
        <w:rPr>
          <w:rFonts w:cstheme="minorHAnsi"/>
        </w:rPr>
      </w:pPr>
      <w:r w:rsidRPr="00A847B7">
        <w:rPr>
          <w:rFonts w:cstheme="minorHAnsi"/>
        </w:rPr>
        <w:t>Pour les dépenses de travaux prescrits par un PPRT et diagnostics préalables à ces travaux</w:t>
      </w:r>
      <w:r w:rsidR="005C0AC3" w:rsidRPr="00A847B7">
        <w:rPr>
          <w:rFonts w:cstheme="minorHAnsi"/>
        </w:rPr>
        <w:t>, l</w:t>
      </w:r>
      <w:r w:rsidRPr="00A847B7">
        <w:rPr>
          <w:rFonts w:cstheme="minorHAnsi"/>
        </w:rPr>
        <w:t>es dépenses éligibles sont retenues dans la limite d’un plafond unique forfaitaire de 20 000 € par logement et ce, quelle que soit la qualité du propriétaire du logement (occupant ou bailleur). Ce plafond s’apprécie sur une période pluriannuelle comprise entre le 1</w:t>
      </w:r>
      <w:r w:rsidRPr="00A847B7">
        <w:rPr>
          <w:rFonts w:cstheme="minorHAnsi"/>
          <w:vertAlign w:val="superscript"/>
        </w:rPr>
        <w:t>er</w:t>
      </w:r>
      <w:r w:rsidRPr="00A847B7">
        <w:rPr>
          <w:rFonts w:cstheme="minorHAnsi"/>
        </w:rPr>
        <w:t xml:space="preserve"> janvier 2015 et le 31 décembre 2020.</w:t>
      </w:r>
    </w:p>
    <w:p w14:paraId="2F3AA4A5" w14:textId="4DA21EE5" w:rsidR="007E331E" w:rsidRPr="00A847B7" w:rsidRDefault="007E331E" w:rsidP="007E331E">
      <w:pPr>
        <w:spacing w:beforeAutospacing="1" w:after="100" w:afterAutospacing="1"/>
        <w:rPr>
          <w:rFonts w:cstheme="minorHAnsi"/>
        </w:rPr>
      </w:pPr>
      <w:r w:rsidRPr="00A847B7">
        <w:rPr>
          <w:rFonts w:cstheme="minorHAnsi"/>
        </w:rPr>
        <w:t>Pour les dépenses d’équipements en faveur des personnes âgées ou handicapées, le plafond applicable est fixé, par particulier et par habitation, à :</w:t>
      </w:r>
    </w:p>
    <w:p w14:paraId="77CB1E30" w14:textId="46F29ED7" w:rsidR="007E331E" w:rsidRPr="00A847B7" w:rsidRDefault="007E331E" w:rsidP="00EE0687">
      <w:pPr>
        <w:pStyle w:val="Paragraphedeliste"/>
        <w:numPr>
          <w:ilvl w:val="0"/>
          <w:numId w:val="42"/>
        </w:numPr>
        <w:spacing w:beforeAutospacing="1" w:after="100" w:afterAutospacing="1"/>
        <w:rPr>
          <w:rFonts w:cstheme="minorHAnsi"/>
        </w:rPr>
      </w:pPr>
      <w:r w:rsidRPr="00A847B7">
        <w:rPr>
          <w:rFonts w:cstheme="minorHAnsi"/>
        </w:rPr>
        <w:t>5 000 € pour une personne célibataire, veuve ou divorcée ;</w:t>
      </w:r>
    </w:p>
    <w:p w14:paraId="465205E2" w14:textId="427B45EF" w:rsidR="007E331E" w:rsidRPr="00A847B7" w:rsidRDefault="007E331E" w:rsidP="00EE0687">
      <w:pPr>
        <w:pStyle w:val="Paragraphedeliste"/>
        <w:numPr>
          <w:ilvl w:val="0"/>
          <w:numId w:val="42"/>
        </w:numPr>
        <w:spacing w:beforeAutospacing="1" w:after="100" w:afterAutospacing="1"/>
        <w:rPr>
          <w:rFonts w:cstheme="minorHAnsi"/>
        </w:rPr>
      </w:pPr>
      <w:r w:rsidRPr="00A847B7">
        <w:rPr>
          <w:rFonts w:cstheme="minorHAnsi"/>
        </w:rPr>
        <w:t>10 000 € pour un couple ou pour des partenaires de Pacs, soumis à imposition commune.</w:t>
      </w:r>
    </w:p>
    <w:p w14:paraId="53B87F0D" w14:textId="11B9779A" w:rsidR="007E331E" w:rsidRPr="00A847B7" w:rsidRDefault="007E331E" w:rsidP="007E331E">
      <w:pPr>
        <w:spacing w:beforeAutospacing="1" w:after="100" w:afterAutospacing="1"/>
        <w:rPr>
          <w:rFonts w:cstheme="minorHAnsi"/>
        </w:rPr>
      </w:pPr>
      <w:r w:rsidRPr="00A847B7">
        <w:rPr>
          <w:rFonts w:cstheme="minorHAnsi"/>
        </w:rPr>
        <w:t>Ces plafonds de 5 000 € et 10 000 € sont majorés, le cas échéant, de 400 € par personne fiscalement à charge.</w:t>
      </w:r>
    </w:p>
    <w:p w14:paraId="0A510D28" w14:textId="7748C98B" w:rsidR="005C0AC3" w:rsidRPr="00A847B7" w:rsidRDefault="007E331E" w:rsidP="007E331E">
      <w:pPr>
        <w:spacing w:beforeAutospacing="1" w:after="100" w:afterAutospacing="1"/>
        <w:rPr>
          <w:rFonts w:cstheme="minorHAnsi"/>
        </w:rPr>
      </w:pPr>
      <w:r w:rsidRPr="00A847B7">
        <w:rPr>
          <w:rFonts w:cstheme="minorHAnsi"/>
        </w:rPr>
        <w:t>Ils s’apprécient sur une période de 5 années consécutives comprises entre le 1</w:t>
      </w:r>
      <w:r w:rsidRPr="00A847B7">
        <w:rPr>
          <w:rFonts w:cstheme="minorHAnsi"/>
          <w:vertAlign w:val="superscript"/>
        </w:rPr>
        <w:t xml:space="preserve">er </w:t>
      </w:r>
      <w:r w:rsidRPr="00A847B7">
        <w:rPr>
          <w:rFonts w:cstheme="minorHAnsi"/>
        </w:rPr>
        <w:t>janvier 2005 et le 31 décembre 2020.</w:t>
      </w:r>
    </w:p>
    <w:p w14:paraId="3E68CEC2" w14:textId="44194160" w:rsidR="007E331E" w:rsidRPr="00A847B7" w:rsidRDefault="009656F5" w:rsidP="007E331E">
      <w:pPr>
        <w:spacing w:beforeAutospacing="1" w:after="100" w:afterAutospacing="1"/>
        <w:rPr>
          <w:rFonts w:cstheme="minorHAnsi"/>
        </w:rPr>
      </w:pPr>
      <w:r w:rsidRPr="00A847B7">
        <w:rPr>
          <w:rFonts w:cstheme="minorHAnsi"/>
        </w:rPr>
        <w:t>La Loi de Finances pour 2021 proroge cet avantage fiscal pour une durée de 3 ans, soit jusqu’au 31 décembre 2023.</w:t>
      </w:r>
    </w:p>
    <w:p w14:paraId="17EDEA47" w14:textId="27A9EA9B" w:rsidR="009656F5" w:rsidRPr="00A847B7" w:rsidRDefault="009656F5" w:rsidP="007E331E">
      <w:pPr>
        <w:spacing w:beforeAutospacing="1" w:after="100" w:afterAutospacing="1"/>
        <w:rPr>
          <w:rFonts w:cstheme="minorHAnsi"/>
        </w:rPr>
      </w:pPr>
      <w:r w:rsidRPr="00A847B7">
        <w:rPr>
          <w:rFonts w:cstheme="minorHAnsi"/>
        </w:rPr>
        <w:t>Dès lors</w:t>
      </w:r>
      <w:r w:rsidR="00921F67" w:rsidRPr="00A847B7">
        <w:rPr>
          <w:rFonts w:cstheme="minorHAnsi"/>
        </w:rPr>
        <w:t>, les plafonds de dépenses réalisées</w:t>
      </w:r>
      <w:r w:rsidR="00F43098" w:rsidRPr="00A847B7">
        <w:rPr>
          <w:rFonts w:cstheme="minorHAnsi"/>
        </w:rPr>
        <w:t xml:space="preserve"> s’apprécient :</w:t>
      </w:r>
    </w:p>
    <w:p w14:paraId="3C99F33B" w14:textId="4BFA904A" w:rsidR="00F43098" w:rsidRPr="00A847B7" w:rsidRDefault="00F43098" w:rsidP="00EE0687">
      <w:pPr>
        <w:pStyle w:val="Paragraphedeliste"/>
        <w:numPr>
          <w:ilvl w:val="0"/>
          <w:numId w:val="43"/>
        </w:numPr>
        <w:spacing w:beforeAutospacing="1" w:after="100" w:afterAutospacing="1"/>
        <w:rPr>
          <w:rFonts w:cstheme="minorHAnsi"/>
        </w:rPr>
      </w:pPr>
      <w:r w:rsidRPr="00A847B7">
        <w:rPr>
          <w:rFonts w:cstheme="minorHAnsi"/>
        </w:rPr>
        <w:t>pour les dépenses de travaux prescrits par un PPRT et diagnostics préalables à ces travaux, sur une période pluriannuelle comprise entre le 1</w:t>
      </w:r>
      <w:r w:rsidRPr="00A847B7">
        <w:rPr>
          <w:rFonts w:cstheme="minorHAnsi"/>
          <w:vertAlign w:val="superscript"/>
        </w:rPr>
        <w:t>er</w:t>
      </w:r>
      <w:r w:rsidRPr="00A847B7">
        <w:rPr>
          <w:rFonts w:cstheme="minorHAnsi"/>
        </w:rPr>
        <w:t xml:space="preserve"> janvier 2015 et le 31 décembre 2023 ;</w:t>
      </w:r>
    </w:p>
    <w:p w14:paraId="3E84343D" w14:textId="7A0FAA51" w:rsidR="00E368D4" w:rsidRPr="00A847B7" w:rsidRDefault="00F43098" w:rsidP="00EE0687">
      <w:pPr>
        <w:pStyle w:val="Paragraphedeliste"/>
        <w:numPr>
          <w:ilvl w:val="0"/>
          <w:numId w:val="43"/>
        </w:numPr>
        <w:spacing w:beforeAutospacing="1" w:after="100" w:afterAutospacing="1"/>
        <w:rPr>
          <w:rFonts w:cstheme="minorHAnsi"/>
        </w:rPr>
      </w:pPr>
      <w:r w:rsidRPr="00A847B7">
        <w:rPr>
          <w:rFonts w:cstheme="minorHAnsi"/>
        </w:rPr>
        <w:t>pour les dépenses d’équipements en faveur des personnes âgées ou handicapées, sur une période de 5 années consécutives comprises entre le 1</w:t>
      </w:r>
      <w:r w:rsidRPr="00A847B7">
        <w:rPr>
          <w:rFonts w:cstheme="minorHAnsi"/>
          <w:vertAlign w:val="superscript"/>
        </w:rPr>
        <w:t>er</w:t>
      </w:r>
      <w:r w:rsidRPr="00A847B7">
        <w:rPr>
          <w:rFonts w:cstheme="minorHAnsi"/>
        </w:rPr>
        <w:t xml:space="preserve"> janvier 2005 et le 31 décembre 2023.</w:t>
      </w:r>
    </w:p>
    <w:p w14:paraId="30D2587A" w14:textId="5676DF12" w:rsidR="00437313" w:rsidRPr="004C4819" w:rsidRDefault="00E42D4A" w:rsidP="00437313">
      <w:pPr>
        <w:spacing w:beforeAutospacing="1" w:after="100" w:afterAutospacing="1"/>
        <w:rPr>
          <w:rFonts w:cstheme="minorHAnsi"/>
        </w:rPr>
      </w:pPr>
      <w:r w:rsidRPr="004C4819">
        <w:rPr>
          <w:rFonts w:cstheme="minorHAnsi"/>
        </w:rPr>
        <w:t xml:space="preserve">Elle précise également </w:t>
      </w:r>
      <w:r w:rsidR="00B956F7" w:rsidRPr="004C4819">
        <w:rPr>
          <w:rFonts w:cstheme="minorHAnsi"/>
        </w:rPr>
        <w:t>que les travaux de prévention des risques doivent être réalisés dans le respect des prescription</w:t>
      </w:r>
      <w:r w:rsidR="003A5DCD" w:rsidRPr="004C4819">
        <w:rPr>
          <w:rFonts w:cstheme="minorHAnsi"/>
        </w:rPr>
        <w:t>s prévues par le Code</w:t>
      </w:r>
      <w:r w:rsidR="00B956F7" w:rsidRPr="004C4819">
        <w:rPr>
          <w:rFonts w:cstheme="minorHAnsi"/>
        </w:rPr>
        <w:t xml:space="preserve"> </w:t>
      </w:r>
      <w:r w:rsidR="00137310" w:rsidRPr="004C4819">
        <w:rPr>
          <w:rFonts w:cstheme="minorHAnsi"/>
        </w:rPr>
        <w:t xml:space="preserve">de l’environnement, </w:t>
      </w:r>
      <w:r w:rsidR="001A424C" w:rsidRPr="004C4819">
        <w:rPr>
          <w:rFonts w:cstheme="minorHAnsi"/>
        </w:rPr>
        <w:t xml:space="preserve">en termes de délais et de dépenses, </w:t>
      </w:r>
      <w:r w:rsidR="00137310" w:rsidRPr="004C4819">
        <w:rPr>
          <w:rFonts w:cstheme="minorHAnsi"/>
        </w:rPr>
        <w:t>applicables aux installations soumises à un plan de prévention des risques technologiques</w:t>
      </w:r>
      <w:r w:rsidR="001A424C" w:rsidRPr="004C4819">
        <w:rPr>
          <w:rFonts w:cstheme="minorHAnsi"/>
        </w:rPr>
        <w:t>.</w:t>
      </w:r>
    </w:p>
    <w:p w14:paraId="3CF7F75D" w14:textId="77777777" w:rsidR="001A609A" w:rsidRPr="00365BDC" w:rsidRDefault="001A609A" w:rsidP="00AA37E2">
      <w:pPr>
        <w:spacing w:beforeAutospacing="1" w:after="100" w:afterAutospacing="1"/>
        <w:rPr>
          <w:rFonts w:cstheme="minorHAnsi"/>
        </w:rPr>
      </w:pPr>
    </w:p>
    <w:p w14:paraId="080BD0DA" w14:textId="2F839F39" w:rsidR="00F71262" w:rsidRPr="00A847B7" w:rsidRDefault="00F71262" w:rsidP="00F71262">
      <w:pPr>
        <w:pStyle w:val="Titre3"/>
      </w:pPr>
      <w:bookmarkStart w:id="27" w:name="_Toc60780963"/>
      <w:r w:rsidRPr="00A847B7">
        <w:t xml:space="preserve">Slide </w:t>
      </w:r>
      <w:r w:rsidR="006123D2">
        <w:t>15</w:t>
      </w:r>
      <w:r w:rsidR="0036321C" w:rsidRPr="00A847B7">
        <w:t> </w:t>
      </w:r>
      <w:r w:rsidRPr="00A847B7">
        <w:t xml:space="preserve">: </w:t>
      </w:r>
      <w:r w:rsidR="00224E3A" w:rsidRPr="00A847B7">
        <w:t>Dispositif Défi-Forêt</w:t>
      </w:r>
      <w:bookmarkEnd w:id="27"/>
    </w:p>
    <w:p w14:paraId="09423E15" w14:textId="6E39C095" w:rsidR="00254A11" w:rsidRPr="00A847B7" w:rsidRDefault="004F587E" w:rsidP="004F587E">
      <w:r w:rsidRPr="004F587E">
        <w:rPr>
          <w:u w:val="single"/>
        </w:rPr>
        <w:t xml:space="preserve">Source </w:t>
      </w:r>
      <w:r w:rsidRPr="00A847B7">
        <w:t>:</w:t>
      </w:r>
      <w:r w:rsidR="00254A11" w:rsidRPr="00A847B7">
        <w:t xml:space="preserve"> Loi de Finances pour </w:t>
      </w:r>
      <w:r w:rsidR="00254A11" w:rsidRPr="0063317F">
        <w:t xml:space="preserve">2021, </w:t>
      </w:r>
      <w:r w:rsidR="00254A11" w:rsidRPr="00140B05">
        <w:t xml:space="preserve">article </w:t>
      </w:r>
      <w:r w:rsidR="0063317F" w:rsidRPr="0063317F">
        <w:t>103</w:t>
      </w:r>
    </w:p>
    <w:p w14:paraId="0E479E26" w14:textId="7373A754" w:rsidR="00254A11" w:rsidRPr="00A847B7" w:rsidRDefault="00254A11" w:rsidP="004F587E">
      <w:pPr>
        <w:spacing w:beforeAutospacing="1" w:after="100" w:afterAutospacing="1"/>
      </w:pPr>
      <w:r w:rsidRPr="00A847B7">
        <w:t xml:space="preserve">Le dispositif « </w:t>
      </w:r>
      <w:r w:rsidR="00ED55AB" w:rsidRPr="00A847B7">
        <w:t>D</w:t>
      </w:r>
      <w:r w:rsidR="00ED55AB">
        <w:t>EFI</w:t>
      </w:r>
      <w:r w:rsidR="00ED55AB" w:rsidRPr="00A847B7">
        <w:t>-</w:t>
      </w:r>
      <w:r w:rsidRPr="00A847B7">
        <w:t>Forêt» a été créé pour encourager l’investissement forestier, tout en permettant aux investisseurs de bénéficier d’un avantage fiscal : son but est d’inciter les propriétaires forestiers à investir, afin de contribuer à une gestion durable des espaces forestiers.</w:t>
      </w:r>
    </w:p>
    <w:p w14:paraId="0614A948" w14:textId="45F18983" w:rsidR="009113C1" w:rsidRPr="00A847B7" w:rsidRDefault="009F3BCE" w:rsidP="00F71262">
      <w:pPr>
        <w:spacing w:beforeAutospacing="1" w:after="100" w:afterAutospacing="1"/>
      </w:pPr>
      <w:r w:rsidRPr="00A847B7">
        <w:t>Il permet, en principe jusqu’au 31 décembre 2020, de bénéficier d’une réduction ou d’un crédit d’impôt</w:t>
      </w:r>
      <w:r w:rsidR="00270C7E" w:rsidRPr="00A847B7">
        <w:t xml:space="preserve">, dépendant </w:t>
      </w:r>
      <w:r w:rsidRPr="00A847B7">
        <w:t>de l’opération réalisée</w:t>
      </w:r>
      <w:r w:rsidR="00BE4AFC">
        <w:t>.</w:t>
      </w:r>
    </w:p>
    <w:p w14:paraId="2FAAAF6D" w14:textId="58959F06" w:rsidR="00254A11" w:rsidRPr="00A847B7" w:rsidRDefault="009113C1" w:rsidP="00F71262">
      <w:pPr>
        <w:spacing w:beforeAutospacing="1" w:after="100" w:afterAutospacing="1"/>
      </w:pPr>
      <w:r w:rsidRPr="00A847B7">
        <w:lastRenderedPageBreak/>
        <w:t>L’achat d’</w:t>
      </w:r>
      <w:r w:rsidR="009F3BCE" w:rsidRPr="00A847B7">
        <w:t>un terrain à boiser,</w:t>
      </w:r>
      <w:r w:rsidRPr="00A847B7">
        <w:t xml:space="preserve"> par exemple, ouvrira </w:t>
      </w:r>
      <w:r w:rsidR="009F3BCE" w:rsidRPr="00A847B7">
        <w:t xml:space="preserve">droit à une réduction d’impôt, alors que </w:t>
      </w:r>
      <w:r w:rsidRPr="00A847B7">
        <w:t>la réalisation de</w:t>
      </w:r>
      <w:r w:rsidR="009F3BCE" w:rsidRPr="00A847B7">
        <w:t xml:space="preserve"> travaux forestiers</w:t>
      </w:r>
      <w:r w:rsidR="000D4CEF" w:rsidRPr="00A847B7">
        <w:t xml:space="preserve"> permettra, toutes conditions par ailleurs remplies, de </w:t>
      </w:r>
      <w:r w:rsidR="009F3BCE" w:rsidRPr="00A847B7">
        <w:t>bénéficier d’un crédit d’impôt</w:t>
      </w:r>
      <w:r w:rsidR="000D4CEF" w:rsidRPr="00A847B7">
        <w:t>.</w:t>
      </w:r>
    </w:p>
    <w:p w14:paraId="7F029EE3" w14:textId="4DF1A3F2" w:rsidR="000D4CEF" w:rsidRPr="00A847B7" w:rsidRDefault="000D4CEF" w:rsidP="00F71262">
      <w:pPr>
        <w:spacing w:beforeAutospacing="1" w:after="100" w:afterAutospacing="1"/>
      </w:pPr>
      <w:r w:rsidRPr="00A847B7">
        <w:t xml:space="preserve">La Loi de Finances pour 2021 proroge le dispositif </w:t>
      </w:r>
      <w:r w:rsidR="00ED55AB" w:rsidRPr="00A847B7">
        <w:t>D</w:t>
      </w:r>
      <w:r w:rsidR="00ED55AB">
        <w:t>EFI</w:t>
      </w:r>
      <w:r w:rsidR="00ED55AB" w:rsidRPr="00A847B7">
        <w:t>-Forêt</w:t>
      </w:r>
      <w:r w:rsidRPr="00A847B7">
        <w:t xml:space="preserve"> pour une durée de 2 ans, soit jusqu’au 31 décembre 2022.</w:t>
      </w:r>
    </w:p>
    <w:p w14:paraId="66633C43" w14:textId="0D355ACA" w:rsidR="00F71262" w:rsidRPr="00A847B7" w:rsidRDefault="00F71262" w:rsidP="00A8095A">
      <w:pPr>
        <w:spacing w:beforeAutospacing="1" w:after="100" w:afterAutospacing="1"/>
        <w:rPr>
          <w:rFonts w:cstheme="minorHAnsi"/>
        </w:rPr>
      </w:pPr>
    </w:p>
    <w:p w14:paraId="342BC9A8" w14:textId="4DB7261F" w:rsidR="00E84B07" w:rsidRPr="00A847B7" w:rsidRDefault="00E84B07" w:rsidP="00E84B07">
      <w:pPr>
        <w:pStyle w:val="Titre3"/>
      </w:pPr>
      <w:bookmarkStart w:id="28" w:name="_Toc60780964"/>
      <w:r w:rsidRPr="00A847B7">
        <w:t xml:space="preserve">Slide </w:t>
      </w:r>
      <w:r w:rsidR="00D1011D">
        <w:t>16</w:t>
      </w:r>
      <w:r w:rsidR="00FB5C53" w:rsidRPr="00A847B7">
        <w:t> </w:t>
      </w:r>
      <w:r w:rsidRPr="00A847B7">
        <w:t xml:space="preserve">: </w:t>
      </w:r>
      <w:r w:rsidR="00A41A97">
        <w:t>P</w:t>
      </w:r>
      <w:r w:rsidRPr="00A847B7">
        <w:t>restation compensatoire en cas de divorce</w:t>
      </w:r>
      <w:bookmarkEnd w:id="28"/>
    </w:p>
    <w:p w14:paraId="0EE408A7" w14:textId="23D7EEB2" w:rsidR="00E84B07" w:rsidRPr="00A847B7" w:rsidRDefault="004F587E" w:rsidP="00E84B07">
      <w:r w:rsidRPr="004F587E">
        <w:rPr>
          <w:u w:val="single"/>
        </w:rPr>
        <w:t xml:space="preserve">Source </w:t>
      </w:r>
      <w:r w:rsidRPr="00A847B7">
        <w:t>:</w:t>
      </w:r>
      <w:r w:rsidR="00E84B07" w:rsidRPr="00A847B7">
        <w:t xml:space="preserve"> Loi de Finances pour 2021, </w:t>
      </w:r>
      <w:r w:rsidR="00E84B07" w:rsidDel="00B14B03">
        <w:t xml:space="preserve">article </w:t>
      </w:r>
      <w:r w:rsidR="00B14B03">
        <w:t>3</w:t>
      </w:r>
    </w:p>
    <w:p w14:paraId="5D2CA13E" w14:textId="5A0C973C" w:rsidR="00E84B07" w:rsidRPr="00A847B7" w:rsidRDefault="00E84B07" w:rsidP="00E84B07">
      <w:pPr>
        <w:rPr>
          <w:rFonts w:cstheme="minorHAnsi"/>
        </w:rPr>
      </w:pPr>
      <w:r w:rsidRPr="00A847B7">
        <w:rPr>
          <w:rFonts w:cstheme="minorHAnsi"/>
        </w:rPr>
        <w:t>Jusqu’à présent, les prestations compensatoires dites « mixte</w:t>
      </w:r>
      <w:r w:rsidR="00CE05C6">
        <w:rPr>
          <w:rFonts w:cstheme="minorHAnsi"/>
        </w:rPr>
        <w:t>s</w:t>
      </w:r>
      <w:r w:rsidRPr="00A847B7">
        <w:rPr>
          <w:rFonts w:cstheme="minorHAnsi"/>
        </w:rPr>
        <w:t> », c’est-à-dire versées en partie sous forme de capital, et en partie sous forme de rente, ne permettai</w:t>
      </w:r>
      <w:r w:rsidR="00210BC3">
        <w:rPr>
          <w:rFonts w:cstheme="minorHAnsi"/>
        </w:rPr>
        <w:t>en</w:t>
      </w:r>
      <w:r w:rsidRPr="00A847B7">
        <w:rPr>
          <w:rFonts w:cstheme="minorHAnsi"/>
        </w:rPr>
        <w:t>t pas de bénéficier de la réduction d’impôt accordée au titre de la prestation compensatoire en cas de divorce.</w:t>
      </w:r>
    </w:p>
    <w:p w14:paraId="1432B8AB" w14:textId="258C31A6" w:rsidR="00E84B07" w:rsidRPr="00A847B7" w:rsidRDefault="00E84B07" w:rsidP="00E84B07">
      <w:pPr>
        <w:rPr>
          <w:rFonts w:cstheme="minorHAnsi"/>
        </w:rPr>
      </w:pPr>
      <w:r w:rsidRPr="00A847B7">
        <w:rPr>
          <w:rFonts w:cstheme="minorHAnsi"/>
        </w:rPr>
        <w:t>Désormais cette exclusion est supprimée.</w:t>
      </w:r>
    </w:p>
    <w:p w14:paraId="78E3363C" w14:textId="77777777" w:rsidR="00E84B07" w:rsidRPr="00A847B7" w:rsidRDefault="00E84B07" w:rsidP="00E84B07">
      <w:pPr>
        <w:rPr>
          <w:rFonts w:cstheme="minorHAnsi"/>
        </w:rPr>
      </w:pPr>
      <w:r w:rsidRPr="00A847B7">
        <w:rPr>
          <w:rFonts w:cstheme="minorHAnsi"/>
        </w:rPr>
        <w:t xml:space="preserve">Les versements en capital </w:t>
      </w:r>
      <w:r w:rsidRPr="00A847B7">
        <w:t xml:space="preserve">(libérés dans les 12 mois du jugement ou de la convention de divorce) </w:t>
      </w:r>
      <w:r w:rsidRPr="00A847B7">
        <w:rPr>
          <w:rFonts w:cstheme="minorHAnsi"/>
        </w:rPr>
        <w:t>accompagné d’une rente sont donc éligibles au bénéfice de la réduction d’impôt.</w:t>
      </w:r>
    </w:p>
    <w:p w14:paraId="3FA48BE4" w14:textId="77777777" w:rsidR="00E84B07" w:rsidRPr="00A847B7" w:rsidRDefault="00E84B07" w:rsidP="00E84B07"/>
    <w:p w14:paraId="25D91CC5" w14:textId="32BB8BBE" w:rsidR="002D6E0D" w:rsidRPr="00A847B7" w:rsidRDefault="002D6E0D" w:rsidP="002D6E0D">
      <w:pPr>
        <w:pStyle w:val="Titre3"/>
      </w:pPr>
      <w:bookmarkStart w:id="29" w:name="_Toc60780965"/>
      <w:r w:rsidRPr="00A847B7">
        <w:t xml:space="preserve">Slide </w:t>
      </w:r>
      <w:r w:rsidR="00D1011D">
        <w:t>17</w:t>
      </w:r>
      <w:r w:rsidRPr="00A847B7">
        <w:t xml:space="preserve"> : </w:t>
      </w:r>
      <w:r w:rsidR="00A41A97">
        <w:t>S</w:t>
      </w:r>
      <w:r w:rsidR="00EA470E" w:rsidRPr="00A847B7">
        <w:t>ouscription au capital de SOFICA</w:t>
      </w:r>
      <w:bookmarkEnd w:id="29"/>
    </w:p>
    <w:p w14:paraId="2668E214" w14:textId="71FF9353" w:rsidR="003E670D" w:rsidRPr="00A847B7" w:rsidRDefault="004F587E" w:rsidP="004F587E">
      <w:r w:rsidRPr="004F587E">
        <w:rPr>
          <w:u w:val="single"/>
        </w:rPr>
        <w:t xml:space="preserve">Source </w:t>
      </w:r>
      <w:r w:rsidRPr="00A847B7">
        <w:t>:</w:t>
      </w:r>
      <w:r w:rsidR="003E670D" w:rsidRPr="00A847B7">
        <w:t xml:space="preserve"> Loi de Finances pour 2021, </w:t>
      </w:r>
      <w:r w:rsidR="003E670D" w:rsidRPr="00905C0E">
        <w:t>article</w:t>
      </w:r>
      <w:r w:rsidR="009D62B4" w:rsidRPr="00905C0E">
        <w:t>s 115 et 116</w:t>
      </w:r>
    </w:p>
    <w:p w14:paraId="0E604CA4" w14:textId="37B7B1A9" w:rsidR="00BC3B95" w:rsidRPr="00A847B7" w:rsidRDefault="00AD4DDD" w:rsidP="00BC3B95">
      <w:pPr>
        <w:spacing w:beforeAutospacing="1" w:after="100" w:afterAutospacing="1"/>
        <w:rPr>
          <w:rFonts w:cstheme="minorHAnsi"/>
        </w:rPr>
      </w:pPr>
      <w:r w:rsidRPr="00A847B7">
        <w:rPr>
          <w:rFonts w:cstheme="minorHAnsi"/>
        </w:rPr>
        <w:t>Jusqu’à présent, il était prévu que l</w:t>
      </w:r>
      <w:r w:rsidR="00BC3B95" w:rsidRPr="00A847B7">
        <w:rPr>
          <w:rFonts w:cstheme="minorHAnsi"/>
        </w:rPr>
        <w:t>a réduction d’impôt en faveur des particuliers qui investissent au capital des sociétés de financement d’œuvres cinématographiques audiovisuelle (</w:t>
      </w:r>
      <w:r w:rsidR="00563E84" w:rsidRPr="00A847B7">
        <w:rPr>
          <w:rFonts w:cstheme="minorHAnsi"/>
        </w:rPr>
        <w:t>SOFICA</w:t>
      </w:r>
      <w:r w:rsidR="00BC3B95" w:rsidRPr="00A847B7">
        <w:rPr>
          <w:rFonts w:cstheme="minorHAnsi"/>
        </w:rPr>
        <w:t xml:space="preserve">) </w:t>
      </w:r>
      <w:r w:rsidR="00543424" w:rsidRPr="00A847B7">
        <w:rPr>
          <w:rFonts w:cstheme="minorHAnsi"/>
        </w:rPr>
        <w:t xml:space="preserve">s’applique aux souscriptions réalisées </w:t>
      </w:r>
      <w:r w:rsidR="00BC3B95" w:rsidRPr="00A847B7">
        <w:rPr>
          <w:rFonts w:cstheme="minorHAnsi"/>
        </w:rPr>
        <w:t>jusqu’au 31 décembre 2020.</w:t>
      </w:r>
    </w:p>
    <w:p w14:paraId="1D27615C" w14:textId="28D6C0E1" w:rsidR="00163AD7" w:rsidRPr="00A847B7" w:rsidRDefault="00163AD7" w:rsidP="00BC3B95">
      <w:pPr>
        <w:spacing w:beforeAutospacing="1" w:after="100" w:afterAutospacing="1"/>
        <w:rPr>
          <w:rFonts w:cstheme="minorHAnsi"/>
        </w:rPr>
      </w:pPr>
      <w:r w:rsidRPr="00A847B7">
        <w:rPr>
          <w:rFonts w:cstheme="minorHAnsi"/>
        </w:rPr>
        <w:t>Pour</w:t>
      </w:r>
      <w:r w:rsidR="00C97FB5" w:rsidRPr="00A847B7">
        <w:rPr>
          <w:rFonts w:cstheme="minorHAnsi"/>
        </w:rPr>
        <w:t xml:space="preserve"> que l’investissement ouvre droit au bénéfice de l’avantage fiscal, la SOFICA doit </w:t>
      </w:r>
      <w:r w:rsidR="00C00730" w:rsidRPr="00A847B7">
        <w:rPr>
          <w:rFonts w:cstheme="minorHAnsi"/>
        </w:rPr>
        <w:t>elle-même réaliser :</w:t>
      </w:r>
    </w:p>
    <w:p w14:paraId="51B233D4" w14:textId="32D6D5F3" w:rsidR="00C00730" w:rsidRPr="00A847B7" w:rsidRDefault="00C00730" w:rsidP="00EE0687">
      <w:pPr>
        <w:pStyle w:val="Paragraphedeliste"/>
        <w:numPr>
          <w:ilvl w:val="0"/>
          <w:numId w:val="39"/>
        </w:numPr>
        <w:spacing w:beforeAutospacing="1" w:after="100" w:afterAutospacing="1"/>
        <w:rPr>
          <w:rFonts w:cstheme="minorHAnsi"/>
        </w:rPr>
      </w:pPr>
      <w:r w:rsidRPr="00A847B7">
        <w:rPr>
          <w:rFonts w:cstheme="minorHAnsi"/>
        </w:rPr>
        <w:t xml:space="preserve">des investissements </w:t>
      </w:r>
      <w:r w:rsidR="00F453BB" w:rsidRPr="00A847B7">
        <w:rPr>
          <w:rFonts w:cstheme="minorHAnsi"/>
        </w:rPr>
        <w:t xml:space="preserve">dans le capital de sociétés soumises à l’impôt sur les sociétés (IS), dont l’activité </w:t>
      </w:r>
      <w:r w:rsidR="00722D85" w:rsidRPr="00A847B7">
        <w:rPr>
          <w:rFonts w:cstheme="minorHAnsi"/>
        </w:rPr>
        <w:t xml:space="preserve">exclusive consiste à réaliser des œuvres cinématographiques ou audiovisuelles </w:t>
      </w:r>
      <w:r w:rsidR="009B0DB7" w:rsidRPr="00A847B7">
        <w:rPr>
          <w:rFonts w:cstheme="minorHAnsi"/>
        </w:rPr>
        <w:t xml:space="preserve">pour lesquelles elles bénéficient d’un agrément du </w:t>
      </w:r>
      <w:r w:rsidR="004B5BD1" w:rsidRPr="00A847B7">
        <w:rPr>
          <w:rFonts w:cstheme="minorHAnsi"/>
        </w:rPr>
        <w:t xml:space="preserve">Centre national du cinéma et de l’image animée </w:t>
      </w:r>
      <w:r w:rsidR="009B0DB7" w:rsidRPr="00A847B7">
        <w:rPr>
          <w:rFonts w:cstheme="minorHAnsi"/>
        </w:rPr>
        <w:t xml:space="preserve">(CNC) : </w:t>
      </w:r>
      <w:r w:rsidR="008070D3" w:rsidRPr="00A847B7">
        <w:rPr>
          <w:rFonts w:cstheme="minorHAnsi"/>
        </w:rPr>
        <w:t>précisons que dans la limite de 20 % des financements annuels, cet agrément peut être délivré aux œuvres de coproduction réalisées dans une langue du pays du coproducteur majoritaire établi dans un Etat membre de la Communauté européenne ;</w:t>
      </w:r>
    </w:p>
    <w:p w14:paraId="71030D9F" w14:textId="13238EED" w:rsidR="008070D3" w:rsidRPr="00A847B7" w:rsidRDefault="00334E3F" w:rsidP="00EE0687">
      <w:pPr>
        <w:pStyle w:val="Paragraphedeliste"/>
        <w:numPr>
          <w:ilvl w:val="0"/>
          <w:numId w:val="39"/>
        </w:numPr>
        <w:spacing w:beforeAutospacing="1" w:after="100" w:afterAutospacing="1"/>
        <w:rPr>
          <w:rFonts w:cstheme="minorHAnsi"/>
        </w:rPr>
      </w:pPr>
      <w:r w:rsidRPr="00A847B7">
        <w:rPr>
          <w:rFonts w:cstheme="minorHAnsi"/>
        </w:rPr>
        <w:t>des investissements réalisés par contrat d’association à la production</w:t>
      </w:r>
      <w:r w:rsidR="006B1CDC" w:rsidRPr="00A847B7">
        <w:rPr>
          <w:rFonts w:cstheme="minorHAnsi"/>
        </w:rPr>
        <w:t>, dès lors que le financement par ces contrats ne dépasse pas 50 % du coût total de l’œuvre.</w:t>
      </w:r>
    </w:p>
    <w:p w14:paraId="1F68E527" w14:textId="77777777" w:rsidR="00BC3B95" w:rsidRPr="00A847B7" w:rsidRDefault="00BC3B95" w:rsidP="00BC3B95">
      <w:pPr>
        <w:spacing w:beforeAutospacing="1" w:after="100" w:afterAutospacing="1"/>
        <w:rPr>
          <w:rFonts w:cstheme="minorHAnsi"/>
        </w:rPr>
      </w:pPr>
      <w:r w:rsidRPr="00A847B7">
        <w:rPr>
          <w:rFonts w:cstheme="minorHAnsi"/>
        </w:rPr>
        <w:t xml:space="preserve">Cette réduction d'impôt est égale à 30 % des sommes effectivement versées, retenues dans la double limite de 25 % du revenu net global et de 18 000 €. </w:t>
      </w:r>
    </w:p>
    <w:p w14:paraId="162BDE24" w14:textId="4982847C" w:rsidR="00BC3B95" w:rsidRPr="00A847B7" w:rsidRDefault="00BC3B95" w:rsidP="00BC3B95">
      <w:pPr>
        <w:spacing w:beforeAutospacing="1" w:after="100" w:afterAutospacing="1"/>
        <w:rPr>
          <w:rFonts w:cstheme="minorHAnsi"/>
        </w:rPr>
      </w:pPr>
      <w:r w:rsidRPr="00A847B7">
        <w:rPr>
          <w:rFonts w:cstheme="minorHAnsi"/>
        </w:rPr>
        <w:t xml:space="preserve">Le taux est porté à 36 % si la </w:t>
      </w:r>
      <w:r w:rsidR="0066277E" w:rsidRPr="00A847B7">
        <w:rPr>
          <w:rFonts w:cstheme="minorHAnsi"/>
        </w:rPr>
        <w:t>SOFICA</w:t>
      </w:r>
      <w:r w:rsidRPr="00A847B7">
        <w:rPr>
          <w:rFonts w:cstheme="minorHAnsi"/>
        </w:rPr>
        <w:t xml:space="preserve"> s'engage à réaliser au moins 10 % de ses investissements directement dans le capital de sociétés de réalisation avant le 31 décembre de l'année suivant celle de la souscription.</w:t>
      </w:r>
    </w:p>
    <w:p w14:paraId="2BF5BDCE" w14:textId="60879992" w:rsidR="00BC3B95" w:rsidRPr="00A847B7" w:rsidRDefault="00BC3B95" w:rsidP="00BC3B95">
      <w:pPr>
        <w:spacing w:beforeAutospacing="1" w:after="100" w:afterAutospacing="1"/>
        <w:rPr>
          <w:rFonts w:cstheme="minorHAnsi"/>
        </w:rPr>
      </w:pPr>
      <w:r w:rsidRPr="00A847B7">
        <w:rPr>
          <w:rFonts w:cstheme="minorHAnsi"/>
        </w:rPr>
        <w:t xml:space="preserve">Il est porté à 48 % lorsque la </w:t>
      </w:r>
      <w:r w:rsidR="0066277E" w:rsidRPr="00A847B7">
        <w:rPr>
          <w:rFonts w:cstheme="minorHAnsi"/>
        </w:rPr>
        <w:t>SOFICA</w:t>
      </w:r>
      <w:r w:rsidRPr="00A847B7">
        <w:rPr>
          <w:rFonts w:cstheme="minorHAnsi"/>
        </w:rPr>
        <w:t xml:space="preserve"> s’engage, en outre, à consacrer dans le délai d'un an à compter de sa création :</w:t>
      </w:r>
    </w:p>
    <w:p w14:paraId="0D7F608E" w14:textId="4DCB0944" w:rsidR="00BC3B95" w:rsidRPr="00A847B7" w:rsidRDefault="00BC3B95" w:rsidP="00EE0687">
      <w:pPr>
        <w:pStyle w:val="Paragraphedeliste"/>
        <w:numPr>
          <w:ilvl w:val="0"/>
          <w:numId w:val="38"/>
        </w:numPr>
        <w:spacing w:beforeAutospacing="1" w:after="100" w:afterAutospacing="1"/>
        <w:rPr>
          <w:rFonts w:cstheme="minorHAnsi"/>
        </w:rPr>
      </w:pPr>
      <w:r w:rsidRPr="00A847B7">
        <w:rPr>
          <w:rFonts w:cstheme="minorHAnsi"/>
        </w:rPr>
        <w:lastRenderedPageBreak/>
        <w:t>soit au moins 10 % de ses investissements à des dépenses de développement d'œuvres audiovisuelles de fiction, de documentaire et d'animation sous forme de séries, effectuées par les sociétés de réalisation au capital desquelles la société a souscrit ;</w:t>
      </w:r>
    </w:p>
    <w:p w14:paraId="6AA7DD75" w14:textId="0F4ED275" w:rsidR="00BC3B95" w:rsidRPr="00A847B7" w:rsidRDefault="00BC3B95" w:rsidP="00EE0687">
      <w:pPr>
        <w:pStyle w:val="Paragraphedeliste"/>
        <w:numPr>
          <w:ilvl w:val="0"/>
          <w:numId w:val="38"/>
        </w:numPr>
        <w:spacing w:beforeAutospacing="1" w:after="100" w:afterAutospacing="1"/>
        <w:rPr>
          <w:rFonts w:cstheme="minorHAnsi"/>
        </w:rPr>
      </w:pPr>
      <w:r w:rsidRPr="00A847B7">
        <w:rPr>
          <w:rFonts w:cstheme="minorHAnsi"/>
        </w:rPr>
        <w:t>soit au moins 10 % de ses investissements à des versements en numéraire réalisés par contrats d'association à la production, en contrepartie de l'acquisition de droits portant exclusivement sur les recettes d'exploitation.</w:t>
      </w:r>
    </w:p>
    <w:p w14:paraId="44E7C259" w14:textId="50566ACD" w:rsidR="00BC3B95" w:rsidRPr="00A847B7" w:rsidRDefault="00BC3B95" w:rsidP="00BC3B95">
      <w:pPr>
        <w:spacing w:beforeAutospacing="1" w:after="100" w:afterAutospacing="1"/>
        <w:rPr>
          <w:rFonts w:cstheme="minorHAnsi"/>
        </w:rPr>
      </w:pPr>
      <w:r w:rsidRPr="00A847B7">
        <w:rPr>
          <w:rFonts w:cstheme="minorHAnsi"/>
        </w:rPr>
        <w:t xml:space="preserve">Si la </w:t>
      </w:r>
      <w:r w:rsidR="0066277E" w:rsidRPr="00A847B7">
        <w:rPr>
          <w:rFonts w:cstheme="minorHAnsi"/>
        </w:rPr>
        <w:t>SOFICA</w:t>
      </w:r>
      <w:r w:rsidRPr="00A847B7">
        <w:rPr>
          <w:rFonts w:cstheme="minorHAnsi"/>
        </w:rPr>
        <w:t xml:space="preserve"> ne respecte pas ces engagements minimums d’investissements, elle encourt une amende fixée à 8</w:t>
      </w:r>
      <w:r w:rsidR="00563E84" w:rsidRPr="00A847B7">
        <w:rPr>
          <w:rFonts w:cstheme="minorHAnsi"/>
        </w:rPr>
        <w:t> </w:t>
      </w:r>
      <w:r w:rsidRPr="00A847B7">
        <w:rPr>
          <w:rFonts w:cstheme="minorHAnsi"/>
        </w:rPr>
        <w:t>% du montant des souscriptions versées par les contribuables qui ont bénéficié des taux majorés. L’amende est portée à 12 % s’agissant des engagements complémentaires permettant de bénéficier du taux de 48 %.</w:t>
      </w:r>
    </w:p>
    <w:p w14:paraId="08AA51B4" w14:textId="4417C76D" w:rsidR="002D6E0D" w:rsidRPr="00A847B7" w:rsidRDefault="003D2A5A" w:rsidP="003D2A5A">
      <w:pPr>
        <w:spacing w:beforeAutospacing="1" w:after="100" w:afterAutospacing="1"/>
        <w:rPr>
          <w:rFonts w:cstheme="minorHAnsi"/>
        </w:rPr>
      </w:pPr>
      <w:r w:rsidRPr="00A847B7">
        <w:rPr>
          <w:rFonts w:cstheme="minorHAnsi"/>
        </w:rPr>
        <w:t>La Loi de Finances pour 2021</w:t>
      </w:r>
      <w:r w:rsidR="00AE000D" w:rsidRPr="00A847B7">
        <w:rPr>
          <w:rFonts w:cstheme="minorHAnsi"/>
        </w:rPr>
        <w:t xml:space="preserve"> proroge pour une durée de 3 ans la réduction d’impôt pour souscription au capital de SOFICA : </w:t>
      </w:r>
      <w:r w:rsidR="00EE1D50" w:rsidRPr="00A847B7">
        <w:rPr>
          <w:rFonts w:cstheme="minorHAnsi"/>
        </w:rPr>
        <w:t>elle s’appliquera donc aux investissements réalisés jusqu’au 31 décembre 2023</w:t>
      </w:r>
      <w:r w:rsidR="00586F8A">
        <w:rPr>
          <w:rFonts w:cstheme="minorHAnsi"/>
        </w:rPr>
        <w:t>.</w:t>
      </w:r>
    </w:p>
    <w:p w14:paraId="23920C0C" w14:textId="2570A567" w:rsidR="003D2A5A" w:rsidRPr="00A847B7" w:rsidRDefault="00FA2140" w:rsidP="003D2A5A">
      <w:pPr>
        <w:spacing w:beforeAutospacing="1" w:after="100" w:afterAutospacing="1"/>
        <w:rPr>
          <w:rFonts w:cstheme="minorHAnsi"/>
        </w:rPr>
      </w:pPr>
      <w:r w:rsidRPr="00A847B7">
        <w:rPr>
          <w:rFonts w:cstheme="minorHAnsi"/>
        </w:rPr>
        <w:t xml:space="preserve">Les conditions tenant à la nature des investissements réalisés par la SOFICA elle-même sont également aménagées. Dorénavant, </w:t>
      </w:r>
      <w:r w:rsidR="00347E83" w:rsidRPr="00A847B7">
        <w:rPr>
          <w:rFonts w:cstheme="minorHAnsi"/>
        </w:rPr>
        <w:t xml:space="preserve">pour que l’investisseur puisse bénéficier de la réduction d’impôt, la SOFICA devra réaliser : </w:t>
      </w:r>
    </w:p>
    <w:p w14:paraId="430EBB8B" w14:textId="5BBD5BFF" w:rsidR="00FB71C9" w:rsidRPr="00A847B7" w:rsidRDefault="00FA2140" w:rsidP="00EE0687">
      <w:pPr>
        <w:pStyle w:val="Paragraphedeliste"/>
        <w:numPr>
          <w:ilvl w:val="0"/>
          <w:numId w:val="39"/>
        </w:numPr>
        <w:spacing w:beforeAutospacing="1" w:after="100" w:afterAutospacing="1"/>
        <w:rPr>
          <w:rFonts w:cstheme="minorHAnsi"/>
        </w:rPr>
      </w:pPr>
      <w:r w:rsidRPr="00A847B7">
        <w:rPr>
          <w:rFonts w:cstheme="minorHAnsi"/>
        </w:rPr>
        <w:t xml:space="preserve">des investissements dans le capital de sociétés soumises à l’impôt sur les sociétés (IS), dont l’activité exclusive consiste à réaliser des œuvres cinématographiques ou audiovisuelles pour lesquelles elles bénéficient d’un agrément du Centre national </w:t>
      </w:r>
      <w:r w:rsidR="004B5BD1" w:rsidRPr="00A847B7">
        <w:rPr>
          <w:rFonts w:cstheme="minorHAnsi"/>
        </w:rPr>
        <w:t>du cinéma et de l’image animée</w:t>
      </w:r>
      <w:r w:rsidRPr="00A847B7">
        <w:rPr>
          <w:rFonts w:cstheme="minorHAnsi"/>
        </w:rPr>
        <w:t xml:space="preserve"> (CNC)</w:t>
      </w:r>
      <w:r w:rsidR="00347E83" w:rsidRPr="00A847B7">
        <w:rPr>
          <w:rFonts w:cstheme="minorHAnsi"/>
        </w:rPr>
        <w:t> ; cet agrément pourr</w:t>
      </w:r>
      <w:r w:rsidR="00916C62" w:rsidRPr="00A847B7">
        <w:rPr>
          <w:rFonts w:cstheme="minorHAnsi"/>
        </w:rPr>
        <w:t xml:space="preserve">a être accordé </w:t>
      </w:r>
      <w:r w:rsidR="004B5BD1" w:rsidRPr="00A847B7">
        <w:rPr>
          <w:rFonts w:cstheme="minorHAnsi"/>
        </w:rPr>
        <w:t>aux œuvres d’expression original</w:t>
      </w:r>
      <w:r w:rsidR="0035331C">
        <w:rPr>
          <w:rFonts w:cstheme="minorHAnsi"/>
        </w:rPr>
        <w:t>e</w:t>
      </w:r>
      <w:r w:rsidR="00864662">
        <w:rPr>
          <w:rFonts w:cstheme="minorHAnsi"/>
        </w:rPr>
        <w:t>s</w:t>
      </w:r>
      <w:r w:rsidR="004B5BD1" w:rsidRPr="00A847B7">
        <w:rPr>
          <w:rFonts w:cstheme="minorHAnsi"/>
        </w:rPr>
        <w:t xml:space="preserve"> française</w:t>
      </w:r>
      <w:r w:rsidR="004C11B6">
        <w:rPr>
          <w:rFonts w:cstheme="minorHAnsi"/>
        </w:rPr>
        <w:t>s</w:t>
      </w:r>
      <w:r w:rsidR="004B5BD1" w:rsidRPr="00A847B7">
        <w:rPr>
          <w:rFonts w:cstheme="minorHAnsi"/>
        </w:rPr>
        <w:t xml:space="preserve"> éligibles aux aides financières du CNC</w:t>
      </w:r>
      <w:r w:rsidRPr="00A847B7">
        <w:rPr>
          <w:rFonts w:cstheme="minorHAnsi"/>
        </w:rPr>
        <w:t xml:space="preserve"> : précisons que dans la limite de 20 % des financements annuels, cet agrément </w:t>
      </w:r>
      <w:r w:rsidR="00FB71C9" w:rsidRPr="00A847B7">
        <w:rPr>
          <w:rFonts w:cstheme="minorHAnsi"/>
        </w:rPr>
        <w:t>pourra</w:t>
      </w:r>
      <w:r w:rsidRPr="00A847B7">
        <w:rPr>
          <w:rFonts w:cstheme="minorHAnsi"/>
        </w:rPr>
        <w:t xml:space="preserve"> être délivré</w:t>
      </w:r>
      <w:r w:rsidR="00FB71C9" w:rsidRPr="00A847B7">
        <w:rPr>
          <w:rFonts w:cstheme="minorHAnsi"/>
        </w:rPr>
        <w:t> :</w:t>
      </w:r>
    </w:p>
    <w:p w14:paraId="7A484934" w14:textId="273D9AF0" w:rsidR="00FA2140" w:rsidRPr="00A847B7" w:rsidRDefault="00FA2140" w:rsidP="00EE0687">
      <w:pPr>
        <w:pStyle w:val="Paragraphedeliste"/>
        <w:numPr>
          <w:ilvl w:val="1"/>
          <w:numId w:val="39"/>
        </w:numPr>
        <w:spacing w:beforeAutospacing="1" w:after="100" w:afterAutospacing="1"/>
        <w:rPr>
          <w:rFonts w:cstheme="minorHAnsi"/>
        </w:rPr>
      </w:pPr>
      <w:r w:rsidRPr="00A847B7">
        <w:rPr>
          <w:rFonts w:cstheme="minorHAnsi"/>
        </w:rPr>
        <w:t>aux œuvres de coproduction réalisées dans une langue du pays du coproducteur majoritaire établi dans un Etat membre de la Communauté européenne ;</w:t>
      </w:r>
    </w:p>
    <w:p w14:paraId="016DC20E" w14:textId="38191557" w:rsidR="00FB71C9" w:rsidRPr="00A847B7" w:rsidRDefault="00FB71C9" w:rsidP="00EE0687">
      <w:pPr>
        <w:pStyle w:val="Paragraphedeliste"/>
        <w:numPr>
          <w:ilvl w:val="1"/>
          <w:numId w:val="39"/>
        </w:numPr>
        <w:spacing w:beforeAutospacing="1" w:after="100" w:afterAutospacing="1"/>
        <w:rPr>
          <w:rFonts w:cstheme="minorHAnsi"/>
        </w:rPr>
      </w:pPr>
      <w:r w:rsidRPr="00A847B7">
        <w:rPr>
          <w:rFonts w:cstheme="minorHAnsi"/>
        </w:rPr>
        <w:t xml:space="preserve">ainsi qu’aux </w:t>
      </w:r>
      <w:r w:rsidR="00035E18" w:rsidRPr="00A847B7">
        <w:rPr>
          <w:rFonts w:cstheme="minorHAnsi"/>
        </w:rPr>
        <w:t xml:space="preserve">œuvres </w:t>
      </w:r>
      <w:r w:rsidR="0048692B" w:rsidRPr="00A847B7">
        <w:rPr>
          <w:rFonts w:cstheme="minorHAnsi"/>
        </w:rPr>
        <w:t xml:space="preserve">de coproduction </w:t>
      </w:r>
      <w:r w:rsidR="00AE36AD" w:rsidRPr="00A847B7">
        <w:rPr>
          <w:rFonts w:cstheme="minorHAnsi"/>
        </w:rPr>
        <w:t>réalisées dans une langue du pays disposant d’un accord de coproduction avec la France</w:t>
      </w:r>
      <w:r w:rsidR="00A376B7" w:rsidRPr="00A847B7">
        <w:rPr>
          <w:rFonts w:cstheme="minorHAnsi"/>
        </w:rPr>
        <w:t> ;</w:t>
      </w:r>
      <w:r w:rsidR="00AE36AD" w:rsidRPr="00A847B7">
        <w:rPr>
          <w:rFonts w:cstheme="minorHAnsi"/>
        </w:rPr>
        <w:t xml:space="preserve"> </w:t>
      </w:r>
    </w:p>
    <w:p w14:paraId="422D3E69" w14:textId="6698CD5C" w:rsidR="00FA2140" w:rsidRPr="00A847B7" w:rsidRDefault="00FA2140" w:rsidP="00EE0687">
      <w:pPr>
        <w:pStyle w:val="Paragraphedeliste"/>
        <w:numPr>
          <w:ilvl w:val="0"/>
          <w:numId w:val="39"/>
        </w:numPr>
        <w:spacing w:beforeAutospacing="1" w:after="100" w:afterAutospacing="1"/>
        <w:rPr>
          <w:rFonts w:cstheme="minorHAnsi"/>
        </w:rPr>
      </w:pPr>
      <w:r w:rsidRPr="00A847B7">
        <w:rPr>
          <w:rFonts w:cstheme="minorHAnsi"/>
        </w:rPr>
        <w:t>des investissements réalisés par contrat d’association à la production, dès lors que le financement par ces contrats ne dépasse pas 50 % du coût total de l’œuvre</w:t>
      </w:r>
      <w:r w:rsidR="00F45CE2" w:rsidRPr="00A847B7">
        <w:rPr>
          <w:rFonts w:cstheme="minorHAnsi"/>
        </w:rPr>
        <w:t xml:space="preserve"> ; </w:t>
      </w:r>
    </w:p>
    <w:p w14:paraId="0F0B3CA2" w14:textId="07AFF60C" w:rsidR="00F45CE2" w:rsidRPr="00A847B7" w:rsidRDefault="00D04A3D" w:rsidP="00EE0687">
      <w:pPr>
        <w:pStyle w:val="Paragraphedeliste"/>
        <w:numPr>
          <w:ilvl w:val="0"/>
          <w:numId w:val="39"/>
        </w:numPr>
        <w:spacing w:beforeAutospacing="1" w:after="100" w:afterAutospacing="1"/>
        <w:rPr>
          <w:rFonts w:cstheme="minorHAnsi"/>
        </w:rPr>
      </w:pPr>
      <w:r w:rsidRPr="00A847B7">
        <w:rPr>
          <w:rFonts w:cstheme="minorHAnsi"/>
        </w:rPr>
        <w:t xml:space="preserve">des investissements réalisés par contrat d’association à la distribution, dès lors que le financement par ces contrats ne dépasse pas </w:t>
      </w:r>
      <w:r w:rsidR="0058562A" w:rsidRPr="00A847B7">
        <w:rPr>
          <w:rFonts w:cstheme="minorHAnsi"/>
        </w:rPr>
        <w:t>15 % du montant total des investissements annuels et 50 % du coût total de l’œuvre.</w:t>
      </w:r>
    </w:p>
    <w:p w14:paraId="047EE183" w14:textId="53D31905" w:rsidR="005A2109" w:rsidRPr="00A847B7" w:rsidRDefault="005A2109" w:rsidP="005A2109">
      <w:pPr>
        <w:spacing w:beforeAutospacing="1" w:after="100" w:afterAutospacing="1"/>
        <w:rPr>
          <w:rFonts w:cstheme="minorHAnsi"/>
        </w:rPr>
      </w:pPr>
      <w:r w:rsidRPr="00A847B7">
        <w:rPr>
          <w:rFonts w:cstheme="minorHAnsi"/>
        </w:rPr>
        <w:t>Notez que le cumul des financements réalisés par contrat d’association à la production et à la distribution ne peut pas dépasser 50 % du coût total de production de l’œuvre.</w:t>
      </w:r>
    </w:p>
    <w:p w14:paraId="01BA6AC2" w14:textId="238ECF7A" w:rsidR="007B0F21" w:rsidRDefault="007B0F21">
      <w:pPr>
        <w:rPr>
          <w:rFonts w:cstheme="minorHAnsi"/>
        </w:rPr>
      </w:pPr>
      <w:r>
        <w:rPr>
          <w:rFonts w:cstheme="minorHAnsi"/>
        </w:rPr>
        <w:br w:type="page"/>
      </w:r>
    </w:p>
    <w:p w14:paraId="38BA3C36" w14:textId="77777777" w:rsidR="00A902A6" w:rsidRPr="00A847B7" w:rsidRDefault="00A902A6" w:rsidP="00A8095A">
      <w:pPr>
        <w:spacing w:beforeAutospacing="1" w:after="100" w:afterAutospacing="1"/>
        <w:rPr>
          <w:rFonts w:cstheme="minorHAnsi"/>
        </w:rPr>
      </w:pPr>
    </w:p>
    <w:p w14:paraId="269401BD" w14:textId="77777777" w:rsidR="00203319" w:rsidRPr="00A847B7" w:rsidRDefault="00203319" w:rsidP="00203319">
      <w:pPr>
        <w:pStyle w:val="Titre2"/>
      </w:pPr>
      <w:bookmarkStart w:id="30" w:name="_Toc30149232"/>
      <w:bookmarkStart w:id="31" w:name="_Toc60780966"/>
      <w:r w:rsidRPr="00A847B7">
        <w:rPr>
          <w:rFonts w:cstheme="minorHAnsi"/>
        </w:rPr>
        <w:t>Impôts locaux</w:t>
      </w:r>
      <w:bookmarkEnd w:id="30"/>
      <w:bookmarkEnd w:id="31"/>
    </w:p>
    <w:p w14:paraId="49DF6E42" w14:textId="77777777" w:rsidR="00BF2BD6" w:rsidRPr="00A847B7" w:rsidRDefault="00BF2BD6" w:rsidP="00BF2BD6"/>
    <w:p w14:paraId="1B95C31A" w14:textId="5E5F5DF7" w:rsidR="00BF2BD6" w:rsidRPr="00A847B7" w:rsidRDefault="00BF2BD6" w:rsidP="00BF2BD6">
      <w:pPr>
        <w:pStyle w:val="Titre3"/>
      </w:pPr>
      <w:bookmarkStart w:id="32" w:name="_Toc60780967"/>
      <w:r w:rsidRPr="00A847B7">
        <w:t xml:space="preserve">Slide </w:t>
      </w:r>
      <w:r w:rsidR="00D51B52">
        <w:t>18</w:t>
      </w:r>
      <w:r w:rsidRPr="00A847B7">
        <w:t xml:space="preserve"> : </w:t>
      </w:r>
      <w:r w:rsidR="00F03C3E" w:rsidRPr="00A847B7">
        <w:t>Contribution à l’audiovisuel public</w:t>
      </w:r>
      <w:bookmarkEnd w:id="32"/>
    </w:p>
    <w:p w14:paraId="075CBF2C" w14:textId="170CFC89" w:rsidR="00F03C3E" w:rsidRPr="00A847B7" w:rsidRDefault="004F587E" w:rsidP="00403822">
      <w:r w:rsidRPr="004F587E">
        <w:rPr>
          <w:u w:val="single"/>
        </w:rPr>
        <w:t xml:space="preserve">Source </w:t>
      </w:r>
      <w:r w:rsidRPr="00A847B7">
        <w:t>:</w:t>
      </w:r>
      <w:r w:rsidR="00F03C3E" w:rsidRPr="00A847B7">
        <w:t xml:space="preserve"> Loi de Finances pour 2021, </w:t>
      </w:r>
      <w:r w:rsidR="00F03C3E" w:rsidRPr="00905C0E">
        <w:t>article</w:t>
      </w:r>
      <w:r w:rsidR="009567EE" w:rsidRPr="00905C0E">
        <w:t>s</w:t>
      </w:r>
      <w:r w:rsidR="00F03C3E" w:rsidRPr="00905C0E">
        <w:t xml:space="preserve"> </w:t>
      </w:r>
      <w:r w:rsidR="009567EE" w:rsidRPr="00905C0E">
        <w:t>87 et 9</w:t>
      </w:r>
      <w:r w:rsidR="00F03C3E" w:rsidRPr="00905C0E">
        <w:t xml:space="preserve"> </w:t>
      </w:r>
    </w:p>
    <w:p w14:paraId="33A0674A" w14:textId="6691EDCD" w:rsidR="00403822" w:rsidRPr="00A847B7" w:rsidRDefault="00403822" w:rsidP="00403822">
      <w:r w:rsidRPr="00A847B7">
        <w:t>Doivent payer la contribution à l’audiovisuel public, toutes les personnes (entreprises ou particuliers) qui détiennent un poste de télévision (TV) ou tout autre dispositif assimilé permettant de recevoir la télévision.</w:t>
      </w:r>
    </w:p>
    <w:p w14:paraId="2BA7538F" w14:textId="77777777" w:rsidR="00403822" w:rsidRPr="00A847B7" w:rsidRDefault="00403822" w:rsidP="00403822">
      <w:r w:rsidRPr="00A847B7">
        <w:t>Cette contribution a pour objet de financer les sociétés de télévision publiques (France 2, France 3, France 5, etc.) ainsi que la société TV5 Monde.</w:t>
      </w:r>
    </w:p>
    <w:p w14:paraId="44B84C32" w14:textId="59A68073" w:rsidR="00403822" w:rsidRPr="00A847B7" w:rsidRDefault="00403822" w:rsidP="00403822">
      <w:r w:rsidRPr="00A847B7">
        <w:t xml:space="preserve">Pour 2020, le montant de la contribution </w:t>
      </w:r>
      <w:r w:rsidR="00354F54" w:rsidRPr="00A847B7">
        <w:t>était</w:t>
      </w:r>
      <w:r w:rsidRPr="00A847B7">
        <w:t xml:space="preserve"> de 138 € en France métropolitaine et 88 € dans les départements d’</w:t>
      </w:r>
      <w:r w:rsidR="00C70389">
        <w:t>0</w:t>
      </w:r>
      <w:r w:rsidRPr="00A847B7">
        <w:t>utre-mer.</w:t>
      </w:r>
    </w:p>
    <w:p w14:paraId="5E4A1604" w14:textId="2A478FDA" w:rsidR="00354F54" w:rsidRPr="00A847B7" w:rsidRDefault="00354F54" w:rsidP="00403822">
      <w:r w:rsidRPr="00A847B7">
        <w:t>Ce montant est inchangé pour 2021</w:t>
      </w:r>
      <w:r w:rsidR="00460B75" w:rsidRPr="00A847B7">
        <w:t>.</w:t>
      </w:r>
    </w:p>
    <w:p w14:paraId="76A7F00B" w14:textId="4BB33C20" w:rsidR="00BF2BD6" w:rsidRPr="00A847B7" w:rsidRDefault="001528A6" w:rsidP="00EE0687">
      <w:pPr>
        <w:pStyle w:val="Paragraphedeliste"/>
        <w:numPr>
          <w:ilvl w:val="0"/>
          <w:numId w:val="1"/>
        </w:numPr>
      </w:pPr>
      <w:r w:rsidRPr="00A847B7">
        <w:rPr>
          <w:b/>
          <w:bCs/>
          <w:i/>
          <w:iCs/>
          <w:u w:val="single"/>
        </w:rPr>
        <w:t>Dégrèvem</w:t>
      </w:r>
      <w:r w:rsidR="00454A9A" w:rsidRPr="00A847B7">
        <w:rPr>
          <w:b/>
          <w:bCs/>
          <w:i/>
          <w:iCs/>
          <w:u w:val="single"/>
        </w:rPr>
        <w:t>ent de contribution à l’audiovisuel public</w:t>
      </w:r>
    </w:p>
    <w:p w14:paraId="36167E0E" w14:textId="35D206AC" w:rsidR="00454A9A" w:rsidRPr="00A847B7" w:rsidRDefault="0098691B" w:rsidP="00454A9A">
      <w:r w:rsidRPr="00A847B7">
        <w:t xml:space="preserve">A compter de l’imposition 2021, </w:t>
      </w:r>
      <w:r w:rsidR="001853E4" w:rsidRPr="00A847B7">
        <w:t>bénéficient d’un dégrèvement de contribution à l’audiovisuel public les personnes âgées de plus de 60 ans</w:t>
      </w:r>
      <w:r w:rsidR="00DA6B48" w:rsidRPr="00A847B7">
        <w:t>, ainsi que les veufs et veuves</w:t>
      </w:r>
      <w:r w:rsidR="00DA6B48" w:rsidRPr="009567EE">
        <w:t>, dont le montant des revenus de l’année N-1 n’excèdent pas certains plafonds (qui évoluent chaque année)</w:t>
      </w:r>
      <w:r w:rsidR="007E41ED" w:rsidRPr="00407E65">
        <w:t>, et qui occupent leur habitation principale avec leurs en</w:t>
      </w:r>
      <w:r w:rsidR="007E41ED" w:rsidRPr="009567EE">
        <w:t xml:space="preserve">fants majeurs inscrits comme demandeurs d’emploi et </w:t>
      </w:r>
      <w:r w:rsidR="009567EE">
        <w:t xml:space="preserve">sous réserve que ceux-ci ne </w:t>
      </w:r>
      <w:r w:rsidR="007E41ED" w:rsidRPr="009567EE">
        <w:t xml:space="preserve">disposent pas </w:t>
      </w:r>
      <w:r w:rsidR="007B650D" w:rsidRPr="009567EE">
        <w:t>de ressources supérieur</w:t>
      </w:r>
      <w:r w:rsidR="007B6ADE" w:rsidRPr="009567EE">
        <w:t>e</w:t>
      </w:r>
      <w:r w:rsidR="007B650D" w:rsidRPr="009567EE">
        <w:t>s à</w:t>
      </w:r>
      <w:r w:rsidR="007B650D" w:rsidRPr="00A847B7">
        <w:t> :</w:t>
      </w:r>
    </w:p>
    <w:p w14:paraId="1841B699" w14:textId="18CBBC9B" w:rsidR="007B650D" w:rsidRPr="00A847B7" w:rsidRDefault="00AC0C8A" w:rsidP="00EE0687">
      <w:pPr>
        <w:pStyle w:val="Paragraphedeliste"/>
        <w:numPr>
          <w:ilvl w:val="0"/>
          <w:numId w:val="44"/>
        </w:numPr>
      </w:pPr>
      <w:r w:rsidRPr="00A847B7">
        <w:t>5671 € pour la première part de quotient familial, majoré de 1 641 € pour chacune des quatre premières demi-parts et de 2 901 € pour chaque demi-part supplémentaire à compter de la 5</w:t>
      </w:r>
      <w:r w:rsidRPr="00A847B7">
        <w:rPr>
          <w:vertAlign w:val="superscript"/>
        </w:rPr>
        <w:t>ème</w:t>
      </w:r>
      <w:r w:rsidRPr="00A847B7">
        <w:t>, en France métropolitaine ;</w:t>
      </w:r>
    </w:p>
    <w:p w14:paraId="5B0F489E" w14:textId="19EF8241" w:rsidR="00AC0C8A" w:rsidRPr="00A847B7" w:rsidRDefault="00AC0C8A" w:rsidP="00EE0687">
      <w:pPr>
        <w:pStyle w:val="Paragraphedeliste"/>
        <w:numPr>
          <w:ilvl w:val="0"/>
          <w:numId w:val="44"/>
        </w:numPr>
      </w:pPr>
      <w:r w:rsidRPr="00A847B7">
        <w:t>6 810 € pour la première part de quotient familial, majoré de 1 641 € pour chacune des deux premières demi-parts et de 2 901 € pour chaque demi-part supplémentaire à compter de la 3</w:t>
      </w:r>
      <w:r w:rsidRPr="00A847B7">
        <w:rPr>
          <w:vertAlign w:val="superscript"/>
        </w:rPr>
        <w:t>ème</w:t>
      </w:r>
      <w:r w:rsidRPr="00A847B7">
        <w:t>, en Martinique, en Guadeloupe et à La Réunion ;</w:t>
      </w:r>
    </w:p>
    <w:p w14:paraId="1464A4CC" w14:textId="03AAEF72" w:rsidR="000218AF" w:rsidRPr="00A847B7" w:rsidRDefault="000218AF" w:rsidP="00EE0687">
      <w:pPr>
        <w:pStyle w:val="Paragraphedeliste"/>
        <w:numPr>
          <w:ilvl w:val="0"/>
          <w:numId w:val="44"/>
        </w:numPr>
      </w:pPr>
      <w:r w:rsidRPr="00A847B7">
        <w:t>7 562 € pour la première part de quotient familial, majoré de 1 260 € pour chacune des deux premières demi-parts et de 3 021 € pour chaque demi-part supplémentaire à compter de la troisième, en Guyane ;</w:t>
      </w:r>
    </w:p>
    <w:p w14:paraId="4FB09A51" w14:textId="32D91F41" w:rsidR="000218AF" w:rsidRPr="00A847B7" w:rsidRDefault="000218AF" w:rsidP="00EE0687">
      <w:pPr>
        <w:pStyle w:val="Paragraphedeliste"/>
        <w:numPr>
          <w:ilvl w:val="0"/>
          <w:numId w:val="44"/>
        </w:numPr>
      </w:pPr>
      <w:r w:rsidRPr="00A847B7">
        <w:t>8 310 € pour la première part de quotient familial, majoré de 1 385 € pour chacune des deux premières demi-parts et de 3 321 € pour chaque demi-part supplémentaire à compter de la troisième, à Mayotte.</w:t>
      </w:r>
    </w:p>
    <w:p w14:paraId="2E9DA540" w14:textId="77777777" w:rsidR="00454A9A" w:rsidRPr="00A847B7" w:rsidRDefault="00454A9A" w:rsidP="00454A9A"/>
    <w:p w14:paraId="23B0D29B" w14:textId="5EAC118B" w:rsidR="00BF2BD6" w:rsidRPr="00A847B7" w:rsidRDefault="00BF2BD6" w:rsidP="00BF2BD6">
      <w:pPr>
        <w:pStyle w:val="Titre3"/>
      </w:pPr>
      <w:bookmarkStart w:id="33" w:name="_Toc60780968"/>
      <w:r w:rsidRPr="00A847B7">
        <w:t xml:space="preserve">Slide </w:t>
      </w:r>
      <w:r w:rsidR="0055511E">
        <w:t>19</w:t>
      </w:r>
      <w:r w:rsidRPr="00A847B7">
        <w:t xml:space="preserve"> : </w:t>
      </w:r>
      <w:r w:rsidR="00272BA8" w:rsidRPr="00A847B7">
        <w:t>Taxe foncière</w:t>
      </w:r>
      <w:bookmarkEnd w:id="33"/>
      <w:r w:rsidR="00272BA8" w:rsidRPr="00A847B7">
        <w:t xml:space="preserve"> </w:t>
      </w:r>
    </w:p>
    <w:p w14:paraId="2322AFE9" w14:textId="1BC0642D" w:rsidR="00272BA8" w:rsidRPr="00A847B7" w:rsidRDefault="004F587E" w:rsidP="004F587E">
      <w:r w:rsidRPr="004F587E">
        <w:rPr>
          <w:u w:val="single"/>
        </w:rPr>
        <w:t xml:space="preserve">Source </w:t>
      </w:r>
      <w:r w:rsidRPr="00A847B7">
        <w:t>:</w:t>
      </w:r>
      <w:r>
        <w:t xml:space="preserve"> </w:t>
      </w:r>
      <w:r w:rsidR="00272BA8" w:rsidRPr="00A847B7">
        <w:t xml:space="preserve">Loi de Finances pour 2021, </w:t>
      </w:r>
      <w:r w:rsidR="00272BA8" w:rsidRPr="00905C0E">
        <w:t>article</w:t>
      </w:r>
      <w:r w:rsidR="0095359C" w:rsidRPr="00905C0E">
        <w:t xml:space="preserve">s </w:t>
      </w:r>
      <w:r w:rsidR="00E25A1B" w:rsidRPr="00E25A1B">
        <w:t>128</w:t>
      </w:r>
      <w:r w:rsidR="00E25A1B" w:rsidRPr="007A442B">
        <w:t xml:space="preserve"> </w:t>
      </w:r>
      <w:r w:rsidR="00E25A1B" w:rsidRPr="00407E65">
        <w:t>et 130</w:t>
      </w:r>
    </w:p>
    <w:p w14:paraId="0BAC670A" w14:textId="5E9598B6" w:rsidR="00BF2BD6" w:rsidRPr="00A847B7" w:rsidRDefault="00EA61F3" w:rsidP="00EE0687">
      <w:pPr>
        <w:pStyle w:val="Paragraphedeliste"/>
        <w:numPr>
          <w:ilvl w:val="0"/>
          <w:numId w:val="45"/>
        </w:numPr>
        <w:spacing w:beforeAutospacing="1" w:after="100" w:afterAutospacing="1"/>
        <w:rPr>
          <w:rFonts w:cstheme="minorHAnsi"/>
          <w:b/>
          <w:bCs/>
          <w:i/>
          <w:iCs/>
          <w:u w:val="single"/>
        </w:rPr>
      </w:pPr>
      <w:r w:rsidRPr="00A847B7">
        <w:rPr>
          <w:rFonts w:cstheme="minorHAnsi"/>
          <w:b/>
          <w:bCs/>
          <w:i/>
          <w:iCs/>
          <w:u w:val="single"/>
        </w:rPr>
        <w:t xml:space="preserve">Abattement de taxe foncière pour les </w:t>
      </w:r>
      <w:r w:rsidR="004456C7" w:rsidRPr="00A847B7">
        <w:rPr>
          <w:rFonts w:cstheme="minorHAnsi"/>
          <w:b/>
          <w:bCs/>
          <w:i/>
          <w:iCs/>
          <w:u w:val="single"/>
        </w:rPr>
        <w:t>logements</w:t>
      </w:r>
      <w:r w:rsidRPr="00A847B7">
        <w:rPr>
          <w:rFonts w:cstheme="minorHAnsi"/>
          <w:b/>
          <w:bCs/>
          <w:i/>
          <w:iCs/>
          <w:u w:val="single"/>
        </w:rPr>
        <w:t xml:space="preserve"> faisant l’objet d’un bail réel solidaire</w:t>
      </w:r>
    </w:p>
    <w:p w14:paraId="2257C2FD" w14:textId="7229C907" w:rsidR="00EA61F3" w:rsidRPr="00A847B7" w:rsidRDefault="00EA61F3" w:rsidP="004F587E">
      <w:pPr>
        <w:spacing w:beforeAutospacing="1" w:after="100" w:afterAutospacing="1"/>
        <w:rPr>
          <w:rFonts w:cstheme="minorHAnsi"/>
        </w:rPr>
      </w:pPr>
      <w:r w:rsidRPr="00A847B7">
        <w:rPr>
          <w:rFonts w:cstheme="minorHAnsi"/>
        </w:rPr>
        <w:lastRenderedPageBreak/>
        <w:t>Actuellement, les collectivités territoriales et les établissements publics de coopération intercommunale peuvent, par délibération prise</w:t>
      </w:r>
      <w:r w:rsidR="00D85FDF" w:rsidRPr="00A847B7">
        <w:rPr>
          <w:rFonts w:cstheme="minorHAnsi"/>
        </w:rPr>
        <w:t xml:space="preserve"> au plus tard le 1</w:t>
      </w:r>
      <w:r w:rsidR="00D85FDF" w:rsidRPr="00A847B7">
        <w:rPr>
          <w:rFonts w:cstheme="minorHAnsi"/>
          <w:vertAlign w:val="superscript"/>
        </w:rPr>
        <w:t>er</w:t>
      </w:r>
      <w:r w:rsidR="00D85FDF" w:rsidRPr="00A847B7">
        <w:rPr>
          <w:rFonts w:cstheme="minorHAnsi"/>
        </w:rPr>
        <w:t xml:space="preserve"> octobre de l’année N pour une application en N+1, prévoir un abattement </w:t>
      </w:r>
      <w:r w:rsidR="004456C7" w:rsidRPr="00A847B7">
        <w:rPr>
          <w:rFonts w:cstheme="minorHAnsi"/>
        </w:rPr>
        <w:t xml:space="preserve">de 30 % </w:t>
      </w:r>
      <w:r w:rsidR="00D85FDF" w:rsidRPr="00A847B7">
        <w:rPr>
          <w:rFonts w:cstheme="minorHAnsi"/>
        </w:rPr>
        <w:t xml:space="preserve">pour </w:t>
      </w:r>
      <w:r w:rsidR="004456C7" w:rsidRPr="00A847B7">
        <w:rPr>
          <w:rFonts w:cstheme="minorHAnsi"/>
        </w:rPr>
        <w:t>les logements faisant l’objet d’un bail réel solidaire</w:t>
      </w:r>
      <w:r w:rsidR="001B416F" w:rsidRPr="00A847B7">
        <w:rPr>
          <w:rFonts w:cstheme="minorHAnsi"/>
        </w:rPr>
        <w:t xml:space="preserve"> pour le calcul de la taxe foncière sur les propriétés bâties</w:t>
      </w:r>
      <w:r w:rsidR="004C7C9B" w:rsidRPr="00A847B7">
        <w:rPr>
          <w:rFonts w:cstheme="minorHAnsi"/>
        </w:rPr>
        <w:t>.</w:t>
      </w:r>
    </w:p>
    <w:p w14:paraId="11730C3D" w14:textId="77777777" w:rsidR="000D7F97" w:rsidRPr="00A847B7" w:rsidRDefault="004C7C9B" w:rsidP="00BF2BD6">
      <w:pPr>
        <w:spacing w:beforeAutospacing="1" w:after="100" w:afterAutospacing="1"/>
        <w:rPr>
          <w:rFonts w:cstheme="minorHAnsi"/>
        </w:rPr>
      </w:pPr>
      <w:r w:rsidRPr="00A847B7">
        <w:rPr>
          <w:rFonts w:cstheme="minorHAnsi"/>
        </w:rPr>
        <w:t>Pour bénéficier de cet abattement, la personne tenue au paiement de la taxe foncière doit adresser au service des impôts du lieu de situation du bien</w:t>
      </w:r>
      <w:r w:rsidR="000D7F97" w:rsidRPr="00A847B7">
        <w:rPr>
          <w:rFonts w:cstheme="minorHAnsi"/>
        </w:rPr>
        <w:t> :</w:t>
      </w:r>
    </w:p>
    <w:p w14:paraId="419225F0" w14:textId="56CD716B" w:rsidR="00EA61F3" w:rsidRPr="00A847B7" w:rsidRDefault="00FB112E" w:rsidP="00EE0687">
      <w:pPr>
        <w:pStyle w:val="Paragraphedeliste"/>
        <w:numPr>
          <w:ilvl w:val="0"/>
          <w:numId w:val="46"/>
        </w:numPr>
        <w:spacing w:beforeAutospacing="1" w:after="100" w:afterAutospacing="1"/>
        <w:rPr>
          <w:rFonts w:cstheme="minorHAnsi"/>
        </w:rPr>
      </w:pPr>
      <w:r w:rsidRPr="00A847B7">
        <w:rPr>
          <w:rFonts w:cstheme="minorHAnsi"/>
        </w:rPr>
        <w:t>une décl</w:t>
      </w:r>
      <w:r w:rsidR="000D7F97" w:rsidRPr="00A847B7">
        <w:rPr>
          <w:rFonts w:cstheme="minorHAnsi"/>
        </w:rPr>
        <w:t xml:space="preserve">aration conforme au modèle établi par l’administration, </w:t>
      </w:r>
      <w:r w:rsidRPr="00A847B7">
        <w:rPr>
          <w:rFonts w:cstheme="minorHAnsi"/>
        </w:rPr>
        <w:t>avant le 1</w:t>
      </w:r>
      <w:r w:rsidRPr="00A847B7">
        <w:rPr>
          <w:rFonts w:cstheme="minorHAnsi"/>
          <w:vertAlign w:val="superscript"/>
        </w:rPr>
        <w:t>er</w:t>
      </w:r>
      <w:r w:rsidRPr="00A847B7">
        <w:rPr>
          <w:rFonts w:cstheme="minorHAnsi"/>
        </w:rPr>
        <w:t xml:space="preserve"> janvier de l’année suivant celle de la signature du bail réel solidaire</w:t>
      </w:r>
      <w:r w:rsidR="000D7F97" w:rsidRPr="00A847B7">
        <w:rPr>
          <w:rFonts w:cstheme="minorHAnsi"/>
        </w:rPr>
        <w:t> ;</w:t>
      </w:r>
    </w:p>
    <w:p w14:paraId="2284F688" w14:textId="1C32E0D3" w:rsidR="000D7F97" w:rsidRPr="00A847B7" w:rsidRDefault="000D7F97" w:rsidP="00EE0687">
      <w:pPr>
        <w:pStyle w:val="Paragraphedeliste"/>
        <w:numPr>
          <w:ilvl w:val="0"/>
          <w:numId w:val="46"/>
        </w:numPr>
        <w:spacing w:beforeAutospacing="1" w:after="100" w:afterAutospacing="1"/>
        <w:rPr>
          <w:rFonts w:cstheme="minorHAnsi"/>
        </w:rPr>
      </w:pPr>
      <w:r w:rsidRPr="00A847B7">
        <w:rPr>
          <w:rFonts w:cstheme="minorHAnsi"/>
        </w:rPr>
        <w:t>une copie du bail réel solidaire.</w:t>
      </w:r>
    </w:p>
    <w:p w14:paraId="5C211ADC" w14:textId="56F44752" w:rsidR="00EA61F3" w:rsidRPr="00A847B7" w:rsidRDefault="001B416F" w:rsidP="00BF2BD6">
      <w:pPr>
        <w:spacing w:beforeAutospacing="1" w:after="100" w:afterAutospacing="1"/>
        <w:rPr>
          <w:rFonts w:cstheme="minorHAnsi"/>
        </w:rPr>
      </w:pPr>
      <w:r w:rsidRPr="00A847B7">
        <w:rPr>
          <w:rFonts w:cstheme="minorHAnsi"/>
        </w:rPr>
        <w:t xml:space="preserve">Dès l’imposition 2022, les collectivités territoriales et les établissements publics de coopération intercommunale pourront, toujours par délibération, prévoir un abattement de </w:t>
      </w:r>
      <w:r w:rsidR="005A78E6" w:rsidRPr="00A847B7">
        <w:rPr>
          <w:rFonts w:cstheme="minorHAnsi"/>
        </w:rPr>
        <w:t>30 %, 40 %, 50 %, 60 %, 70 %, 80 %, 90 % ou 100 % pendant la durée du bail,</w:t>
      </w:r>
      <w:r w:rsidRPr="00A847B7">
        <w:rPr>
          <w:rFonts w:cstheme="minorHAnsi"/>
        </w:rPr>
        <w:t xml:space="preserve"> pour les logements faisant l’objet d’un bail réel solidaire pour le calcul de la taxe foncière sur les propriétés bâties.</w:t>
      </w:r>
    </w:p>
    <w:p w14:paraId="58CDF3EE" w14:textId="5D12D56A" w:rsidR="005A78E6" w:rsidRPr="00A847B7" w:rsidRDefault="00520B6C" w:rsidP="00BF2BD6">
      <w:pPr>
        <w:spacing w:beforeAutospacing="1" w:after="100" w:afterAutospacing="1"/>
        <w:rPr>
          <w:rFonts w:cstheme="minorHAnsi"/>
        </w:rPr>
      </w:pPr>
      <w:r w:rsidRPr="00A847B7">
        <w:rPr>
          <w:rFonts w:cstheme="minorHAnsi"/>
        </w:rPr>
        <w:t>Les logement</w:t>
      </w:r>
      <w:r w:rsidR="004B0608" w:rsidRPr="00A847B7">
        <w:rPr>
          <w:rFonts w:cstheme="minorHAnsi"/>
        </w:rPr>
        <w:t>s</w:t>
      </w:r>
      <w:r w:rsidRPr="00A847B7">
        <w:rPr>
          <w:rFonts w:cstheme="minorHAnsi"/>
        </w:rPr>
        <w:t xml:space="preserve"> qui auraient bénéficié, pour l’imposition 2021, de l’abattement de 30 % applicable avant la publication de la Loi de Finances pour 2021</w:t>
      </w:r>
      <w:r w:rsidR="009E2CE9" w:rsidRPr="00A847B7">
        <w:rPr>
          <w:rFonts w:cstheme="minorHAnsi"/>
        </w:rPr>
        <w:t>, continueront à en bénéficier pour la durée restant à courir</w:t>
      </w:r>
      <w:r w:rsidR="009D1052" w:rsidRPr="00A847B7">
        <w:rPr>
          <w:rFonts w:cstheme="minorHAnsi"/>
        </w:rPr>
        <w:t>,</w:t>
      </w:r>
      <w:r w:rsidR="009E2CE9" w:rsidRPr="00A847B7">
        <w:rPr>
          <w:rFonts w:cstheme="minorHAnsi"/>
        </w:rPr>
        <w:t xml:space="preserve"> tel que prévue dans la délibération. </w:t>
      </w:r>
    </w:p>
    <w:p w14:paraId="110E3923" w14:textId="027D2FF7" w:rsidR="009E2CE9" w:rsidRPr="00A847B7" w:rsidRDefault="009E2CE9" w:rsidP="00BF2BD6">
      <w:pPr>
        <w:spacing w:beforeAutospacing="1" w:after="100" w:afterAutospacing="1"/>
        <w:rPr>
          <w:rFonts w:cstheme="minorHAnsi"/>
        </w:rPr>
      </w:pPr>
      <w:r w:rsidRPr="00A847B7">
        <w:rPr>
          <w:rFonts w:cstheme="minorHAnsi"/>
        </w:rPr>
        <w:t xml:space="preserve">Notez que les délibérations prises avant </w:t>
      </w:r>
      <w:r w:rsidR="004B0608" w:rsidRPr="00A847B7">
        <w:rPr>
          <w:rFonts w:cstheme="minorHAnsi"/>
        </w:rPr>
        <w:t>la publication de la Loi de Finances pour 2021 continueront à s’appliquer tant qu’elles n’auront pas été rapportées ou modifiées.</w:t>
      </w:r>
    </w:p>
    <w:p w14:paraId="7A907002" w14:textId="4C49F4E3" w:rsidR="000B7EBE" w:rsidRPr="00A847B7" w:rsidRDefault="00E83CD4" w:rsidP="00EE0687">
      <w:pPr>
        <w:pStyle w:val="Paragraphedeliste"/>
        <w:numPr>
          <w:ilvl w:val="0"/>
          <w:numId w:val="45"/>
        </w:numPr>
        <w:spacing w:beforeAutospacing="1" w:after="100" w:afterAutospacing="1"/>
        <w:rPr>
          <w:rFonts w:cstheme="minorHAnsi"/>
          <w:b/>
          <w:bCs/>
          <w:i/>
          <w:iCs/>
          <w:u w:val="single"/>
        </w:rPr>
      </w:pPr>
      <w:r w:rsidRPr="00A847B7">
        <w:rPr>
          <w:rFonts w:cstheme="minorHAnsi"/>
          <w:b/>
          <w:bCs/>
          <w:i/>
          <w:iCs/>
          <w:u w:val="single"/>
        </w:rPr>
        <w:t>Exonération de taxe foncière pour les propriétaires ayant conclu une obligation réelle environnementale</w:t>
      </w:r>
    </w:p>
    <w:p w14:paraId="37A2509E" w14:textId="479894EA" w:rsidR="004B0608" w:rsidRPr="00A847B7" w:rsidRDefault="00E83CD4" w:rsidP="00BF2BD6">
      <w:pPr>
        <w:spacing w:beforeAutospacing="1" w:after="100" w:afterAutospacing="1"/>
        <w:rPr>
          <w:rFonts w:cstheme="minorHAnsi"/>
        </w:rPr>
      </w:pPr>
      <w:r w:rsidRPr="00A847B7">
        <w:rPr>
          <w:rFonts w:cstheme="minorHAnsi"/>
        </w:rPr>
        <w:t>Actuellement, les communes peuvent, sur délibération</w:t>
      </w:r>
      <w:r w:rsidR="00FF35D0" w:rsidRPr="00A847B7">
        <w:rPr>
          <w:rFonts w:cstheme="minorHAnsi"/>
        </w:rPr>
        <w:t xml:space="preserve"> prise au plus tard le 1</w:t>
      </w:r>
      <w:r w:rsidR="00FF35D0" w:rsidRPr="00A847B7">
        <w:rPr>
          <w:rFonts w:cstheme="minorHAnsi"/>
          <w:vertAlign w:val="superscript"/>
        </w:rPr>
        <w:t>er</w:t>
      </w:r>
      <w:r w:rsidR="00FF35D0" w:rsidRPr="00A847B7">
        <w:rPr>
          <w:rFonts w:cstheme="minorHAnsi"/>
        </w:rPr>
        <w:t xml:space="preserve"> octobre de l’année N pour une application en N+1</w:t>
      </w:r>
      <w:r w:rsidR="003631C8" w:rsidRPr="00A847B7">
        <w:rPr>
          <w:rFonts w:cstheme="minorHAnsi"/>
        </w:rPr>
        <w:t>,</w:t>
      </w:r>
      <w:r w:rsidRPr="00A847B7">
        <w:rPr>
          <w:rFonts w:cstheme="minorHAnsi"/>
        </w:rPr>
        <w:t xml:space="preserve"> exonérer de taxe foncière sur les propriétés non bâties </w:t>
      </w:r>
      <w:r w:rsidR="003B35FD" w:rsidRPr="00A847B7">
        <w:rPr>
          <w:rFonts w:cstheme="minorHAnsi"/>
        </w:rPr>
        <w:t>les propriétaires ayant conclu une obligation réelle environnementale (ORE)</w:t>
      </w:r>
      <w:r w:rsidR="00C067CC" w:rsidRPr="00A847B7">
        <w:rPr>
          <w:rFonts w:cstheme="minorHAnsi"/>
        </w:rPr>
        <w:t>.</w:t>
      </w:r>
    </w:p>
    <w:p w14:paraId="601F6F7A" w14:textId="386E3473" w:rsidR="00C067CC" w:rsidRPr="00A847B7" w:rsidRDefault="00C067CC" w:rsidP="00BF2BD6">
      <w:pPr>
        <w:spacing w:beforeAutospacing="1" w:after="100" w:afterAutospacing="1"/>
        <w:rPr>
          <w:rFonts w:cstheme="minorHAnsi"/>
        </w:rPr>
      </w:pPr>
      <w:r w:rsidRPr="00A847B7">
        <w:rPr>
          <w:rFonts w:cstheme="minorHAnsi"/>
        </w:rPr>
        <w:t xml:space="preserve">Pour rappel, </w:t>
      </w:r>
      <w:r w:rsidR="00A25C75" w:rsidRPr="00A847B7">
        <w:t>les propriétaires de biens immobiliers peuvent conclure un contrat avec une collectivité publique, un établissement public ou une personne morale de droit privé agissant pour la protection de l'environnement en vue de faire naître à leur charge, ainsi qu'à la charge des propriétaires ultérieurs du bien, les obligations réelles que bon leur semble, dès lors que de telles obligations ont pour finalité le maintien, la conservation, la gestion ou la restauration d'éléments de la biodiversité ou de fonctions écologiques .</w:t>
      </w:r>
    </w:p>
    <w:p w14:paraId="46F1166D" w14:textId="3BBBD303" w:rsidR="00E83CD4" w:rsidRPr="00A847B7" w:rsidRDefault="003631C8" w:rsidP="00BF2BD6">
      <w:pPr>
        <w:spacing w:beforeAutospacing="1" w:after="100" w:afterAutospacing="1"/>
        <w:rPr>
          <w:rFonts w:cstheme="minorHAnsi"/>
        </w:rPr>
      </w:pPr>
      <w:r w:rsidRPr="00A847B7">
        <w:rPr>
          <w:rFonts w:cstheme="minorHAnsi"/>
        </w:rPr>
        <w:t>Cette possibilité de mettre en place une exonération</w:t>
      </w:r>
      <w:r w:rsidR="00400CA7" w:rsidRPr="00A847B7">
        <w:rPr>
          <w:rFonts w:cstheme="minorHAnsi"/>
        </w:rPr>
        <w:t>, pendant tout</w:t>
      </w:r>
      <w:r w:rsidR="00145054" w:rsidRPr="00A847B7">
        <w:rPr>
          <w:rFonts w:cstheme="minorHAnsi"/>
        </w:rPr>
        <w:t>e</w:t>
      </w:r>
      <w:r w:rsidR="00400CA7" w:rsidRPr="00A847B7">
        <w:rPr>
          <w:rFonts w:cstheme="minorHAnsi"/>
        </w:rPr>
        <w:t xml:space="preserve"> la durée du contrat, </w:t>
      </w:r>
      <w:r w:rsidRPr="00A847B7">
        <w:rPr>
          <w:rFonts w:cstheme="minorHAnsi"/>
        </w:rPr>
        <w:t>est désormais étendue</w:t>
      </w:r>
      <w:r w:rsidR="002E3D1A" w:rsidRPr="00A847B7">
        <w:rPr>
          <w:rFonts w:cstheme="minorHAnsi"/>
        </w:rPr>
        <w:t xml:space="preserve"> aux organes délibérants des établissements publics de coopération intercommunale à fiscalité propre, pour la part qui leur revient.</w:t>
      </w:r>
    </w:p>
    <w:p w14:paraId="3E343534" w14:textId="64A4872B" w:rsidR="00145054" w:rsidRPr="00A847B7" w:rsidRDefault="00145054" w:rsidP="00145054">
      <w:pPr>
        <w:spacing w:beforeAutospacing="1" w:after="100" w:afterAutospacing="1"/>
        <w:rPr>
          <w:rFonts w:cstheme="minorHAnsi"/>
        </w:rPr>
      </w:pPr>
      <w:r w:rsidRPr="00A847B7">
        <w:rPr>
          <w:rFonts w:cstheme="minorHAnsi"/>
        </w:rPr>
        <w:t>Pour bénéficier de cette exonération, la personne tenue au paiement de la taxe foncière doit adresser au service des impôts du lieu de situation du bien :</w:t>
      </w:r>
    </w:p>
    <w:p w14:paraId="73E9EFD8" w14:textId="30436E7E" w:rsidR="00145054" w:rsidRPr="00A847B7" w:rsidRDefault="00145054" w:rsidP="00EE0687">
      <w:pPr>
        <w:pStyle w:val="Paragraphedeliste"/>
        <w:numPr>
          <w:ilvl w:val="0"/>
          <w:numId w:val="46"/>
        </w:numPr>
        <w:spacing w:beforeAutospacing="1" w:after="100" w:afterAutospacing="1"/>
        <w:rPr>
          <w:rFonts w:cstheme="minorHAnsi"/>
        </w:rPr>
      </w:pPr>
      <w:r w:rsidRPr="00A847B7">
        <w:rPr>
          <w:rFonts w:cstheme="minorHAnsi"/>
        </w:rPr>
        <w:t>une déclaration comportant tous les éléments nécessaires à l’identification des parcelles con</w:t>
      </w:r>
      <w:r w:rsidR="00412D24" w:rsidRPr="00A847B7">
        <w:rPr>
          <w:rFonts w:cstheme="minorHAnsi"/>
        </w:rPr>
        <w:t>cernées</w:t>
      </w:r>
      <w:r w:rsidRPr="00A847B7">
        <w:rPr>
          <w:rFonts w:cstheme="minorHAnsi"/>
        </w:rPr>
        <w:t>, avant le 1</w:t>
      </w:r>
      <w:r w:rsidRPr="00A847B7">
        <w:rPr>
          <w:rFonts w:cstheme="minorHAnsi"/>
          <w:vertAlign w:val="superscript"/>
        </w:rPr>
        <w:t>er</w:t>
      </w:r>
      <w:r w:rsidRPr="00A847B7">
        <w:rPr>
          <w:rFonts w:cstheme="minorHAnsi"/>
        </w:rPr>
        <w:t xml:space="preserve"> janvier de l’année suivant celle de la </w:t>
      </w:r>
      <w:r w:rsidR="00412D24" w:rsidRPr="00A847B7">
        <w:rPr>
          <w:rFonts w:cstheme="minorHAnsi"/>
        </w:rPr>
        <w:t>signature du contrat contenant l’ORE</w:t>
      </w:r>
      <w:r w:rsidRPr="00A847B7">
        <w:rPr>
          <w:rFonts w:cstheme="minorHAnsi"/>
        </w:rPr>
        <w:t> ;</w:t>
      </w:r>
    </w:p>
    <w:p w14:paraId="70A31725" w14:textId="37C21AAA" w:rsidR="00145054" w:rsidRPr="00A847B7" w:rsidRDefault="00145054" w:rsidP="00EE0687">
      <w:pPr>
        <w:pStyle w:val="Paragraphedeliste"/>
        <w:numPr>
          <w:ilvl w:val="0"/>
          <w:numId w:val="46"/>
        </w:numPr>
        <w:spacing w:beforeAutospacing="1" w:after="100" w:afterAutospacing="1"/>
        <w:rPr>
          <w:rFonts w:cstheme="minorHAnsi"/>
        </w:rPr>
      </w:pPr>
      <w:r w:rsidRPr="00A847B7">
        <w:rPr>
          <w:rFonts w:cstheme="minorHAnsi"/>
        </w:rPr>
        <w:t xml:space="preserve">une copie </w:t>
      </w:r>
      <w:r w:rsidR="00412D24" w:rsidRPr="00A847B7">
        <w:rPr>
          <w:rFonts w:cstheme="minorHAnsi"/>
        </w:rPr>
        <w:t>du contrat contenant l’ORE</w:t>
      </w:r>
      <w:r w:rsidRPr="00A847B7">
        <w:rPr>
          <w:rFonts w:cstheme="minorHAnsi"/>
        </w:rPr>
        <w:t>.</w:t>
      </w:r>
    </w:p>
    <w:p w14:paraId="63A969BE" w14:textId="440B4AE8" w:rsidR="00FF35D0" w:rsidRPr="00A847B7" w:rsidRDefault="00412D24" w:rsidP="00BF2BD6">
      <w:pPr>
        <w:spacing w:beforeAutospacing="1" w:after="100" w:afterAutospacing="1"/>
        <w:rPr>
          <w:rFonts w:cstheme="minorHAnsi"/>
        </w:rPr>
      </w:pPr>
      <w:r w:rsidRPr="00A847B7">
        <w:rPr>
          <w:rFonts w:cstheme="minorHAnsi"/>
        </w:rPr>
        <w:lastRenderedPageBreak/>
        <w:t xml:space="preserve">Si la déclaration est déposée hors délai, l’exonération ne s’appliquera que pour la période restant à courir après le 31 décembre de l’année de la souscription. </w:t>
      </w:r>
    </w:p>
    <w:p w14:paraId="6386CB7C" w14:textId="41BD5A23" w:rsidR="00203319" w:rsidRPr="00A847B7" w:rsidRDefault="00694313" w:rsidP="00FB439F">
      <w:pPr>
        <w:spacing w:beforeAutospacing="1" w:after="100" w:afterAutospacing="1"/>
        <w:rPr>
          <w:rFonts w:cstheme="minorHAnsi"/>
        </w:rPr>
      </w:pPr>
      <w:r w:rsidRPr="00A847B7">
        <w:rPr>
          <w:rFonts w:cstheme="minorHAnsi"/>
        </w:rPr>
        <w:t>Notez que les délibérations prises avant la publication de la Loi de Finances pour 2021 continueront à s’appliquer tant qu’elles n’auront pas été rapportées ou modifiées</w:t>
      </w:r>
      <w:r w:rsidR="00FB439F" w:rsidRPr="00A847B7">
        <w:rPr>
          <w:rFonts w:cstheme="minorHAnsi"/>
        </w:rPr>
        <w:t>.</w:t>
      </w:r>
      <w:r w:rsidR="00203319" w:rsidRPr="00A847B7">
        <w:rPr>
          <w:rFonts w:cstheme="minorHAnsi"/>
        </w:rPr>
        <w:br w:type="page"/>
      </w:r>
    </w:p>
    <w:p w14:paraId="41AA20B5" w14:textId="77777777" w:rsidR="00203319" w:rsidRPr="00A847B7" w:rsidRDefault="00203319" w:rsidP="00BF2BD6">
      <w:pPr>
        <w:spacing w:beforeAutospacing="1" w:after="100" w:afterAutospacing="1"/>
        <w:rPr>
          <w:rFonts w:cstheme="minorHAnsi"/>
        </w:rPr>
      </w:pPr>
    </w:p>
    <w:p w14:paraId="2322DA71" w14:textId="77777777" w:rsidR="0045376F" w:rsidRPr="00A847B7" w:rsidRDefault="0045376F" w:rsidP="0045376F">
      <w:pPr>
        <w:pStyle w:val="Titre2"/>
      </w:pPr>
      <w:bookmarkStart w:id="34" w:name="_Toc30149237"/>
      <w:bookmarkStart w:id="35" w:name="_Toc60780969"/>
      <w:r w:rsidRPr="00A847B7">
        <w:rPr>
          <w:rFonts w:cstheme="minorHAnsi"/>
        </w:rPr>
        <w:t>Gestion du patrimoine immobilier</w:t>
      </w:r>
      <w:bookmarkEnd w:id="34"/>
      <w:bookmarkEnd w:id="35"/>
    </w:p>
    <w:p w14:paraId="56E5A1D3" w14:textId="77777777" w:rsidR="00BF2BD6" w:rsidRPr="00A847B7" w:rsidRDefault="00BF2BD6" w:rsidP="00BF2BD6"/>
    <w:p w14:paraId="5CD811A4" w14:textId="59331D1D" w:rsidR="002C5004" w:rsidRPr="00A847B7" w:rsidRDefault="002C5004" w:rsidP="002C5004">
      <w:pPr>
        <w:pStyle w:val="Titre3"/>
      </w:pPr>
      <w:bookmarkStart w:id="36" w:name="_Toc60780970"/>
      <w:r w:rsidRPr="00A847B7">
        <w:t xml:space="preserve">Slide </w:t>
      </w:r>
      <w:r w:rsidR="0045663D">
        <w:t>20</w:t>
      </w:r>
      <w:r w:rsidRPr="00A847B7">
        <w:t xml:space="preserve"> : </w:t>
      </w:r>
      <w:r w:rsidR="00EA41E9">
        <w:t>T</w:t>
      </w:r>
      <w:r w:rsidRPr="00A847B7">
        <w:t>ransition énergétique (CITE)</w:t>
      </w:r>
      <w:bookmarkEnd w:id="36"/>
    </w:p>
    <w:p w14:paraId="6829A73A" w14:textId="6ED51DF7" w:rsidR="002C5004" w:rsidRPr="00A847B7" w:rsidRDefault="004F587E" w:rsidP="004F587E">
      <w:r w:rsidRPr="004F587E">
        <w:rPr>
          <w:u w:val="single"/>
        </w:rPr>
        <w:t xml:space="preserve">Source </w:t>
      </w:r>
      <w:r w:rsidRPr="00A847B7">
        <w:t>:</w:t>
      </w:r>
      <w:r w:rsidR="002C5004" w:rsidRPr="00A847B7">
        <w:t xml:space="preserve"> Loi de Finances pour 2021, </w:t>
      </w:r>
      <w:r w:rsidR="002C5004" w:rsidRPr="00905C0E">
        <w:t xml:space="preserve">article </w:t>
      </w:r>
      <w:r w:rsidR="008F0B8D">
        <w:t>53</w:t>
      </w:r>
    </w:p>
    <w:p w14:paraId="2101566E" w14:textId="77777777" w:rsidR="002C5004" w:rsidRPr="00A847B7" w:rsidRDefault="002C5004" w:rsidP="004F587E">
      <w:pPr>
        <w:spacing w:beforeAutospacing="1" w:after="100" w:afterAutospacing="1"/>
        <w:rPr>
          <w:rFonts w:cstheme="minorHAnsi"/>
        </w:rPr>
      </w:pPr>
      <w:r w:rsidRPr="00A847B7">
        <w:rPr>
          <w:rFonts w:cstheme="minorHAnsi"/>
        </w:rPr>
        <w:t>La réalisation de certains travaux visant à améliorer la qualité énergétique des logements, entre le 1</w:t>
      </w:r>
      <w:r w:rsidRPr="00A847B7">
        <w:rPr>
          <w:rFonts w:cstheme="minorHAnsi"/>
          <w:vertAlign w:val="superscript"/>
        </w:rPr>
        <w:t>er</w:t>
      </w:r>
      <w:r w:rsidRPr="00A847B7">
        <w:rPr>
          <w:rFonts w:cstheme="minorHAnsi"/>
        </w:rPr>
        <w:t xml:space="preserve"> janvier 2020 et le 31 décembre 2020, peuvent permettre de bénéficier du crédit d’impôt pour la transition énergétique (CITE) « modifié » par la Loi de Finances pour 2020. </w:t>
      </w:r>
    </w:p>
    <w:p w14:paraId="4B5D8530" w14:textId="77777777" w:rsidR="002C5004" w:rsidRPr="00A847B7" w:rsidRDefault="002C5004" w:rsidP="00EE0687">
      <w:pPr>
        <w:pStyle w:val="Paragraphedeliste"/>
        <w:numPr>
          <w:ilvl w:val="0"/>
          <w:numId w:val="1"/>
        </w:numPr>
        <w:spacing w:beforeAutospacing="1" w:after="100" w:afterAutospacing="1"/>
        <w:rPr>
          <w:rFonts w:cstheme="minorHAnsi"/>
        </w:rPr>
      </w:pPr>
      <w:r w:rsidRPr="00A847B7">
        <w:rPr>
          <w:rFonts w:cstheme="minorHAnsi"/>
          <w:b/>
          <w:bCs/>
          <w:i/>
          <w:iCs/>
          <w:u w:val="single"/>
        </w:rPr>
        <w:t>Concernant les dépenses éligibles</w:t>
      </w:r>
    </w:p>
    <w:p w14:paraId="5DCB6A5D" w14:textId="77777777" w:rsidR="002C5004" w:rsidRPr="00A847B7" w:rsidRDefault="002C5004" w:rsidP="002C5004">
      <w:pPr>
        <w:spacing w:beforeAutospacing="1" w:after="100" w:afterAutospacing="1"/>
        <w:rPr>
          <w:rFonts w:cstheme="minorHAnsi"/>
        </w:rPr>
      </w:pPr>
      <w:r w:rsidRPr="00A847B7">
        <w:rPr>
          <w:rFonts w:cstheme="minorHAnsi"/>
        </w:rPr>
        <w:t xml:space="preserve">Sont concernées les dépenses éligibles suivantes : </w:t>
      </w:r>
    </w:p>
    <w:p w14:paraId="5FBC4926" w14:textId="77777777" w:rsidR="002C5004" w:rsidRPr="00A847B7" w:rsidRDefault="002C5004" w:rsidP="00EE0687">
      <w:pPr>
        <w:pStyle w:val="Paragraphedeliste"/>
        <w:numPr>
          <w:ilvl w:val="0"/>
          <w:numId w:val="24"/>
        </w:numPr>
        <w:spacing w:beforeAutospacing="1" w:after="100" w:afterAutospacing="1"/>
        <w:rPr>
          <w:rFonts w:cstheme="minorHAnsi"/>
        </w:rPr>
      </w:pPr>
      <w:r w:rsidRPr="00A847B7">
        <w:rPr>
          <w:rFonts w:cstheme="minorHAnsi"/>
        </w:rPr>
        <w:t>achat et pose de matériaux d'isolation thermique des parois vitrées à la condition que les matériaux achetés viennent en remplacement de parois en simple vitrage ;</w:t>
      </w:r>
    </w:p>
    <w:p w14:paraId="554F2F10" w14:textId="77777777" w:rsidR="002C5004" w:rsidRPr="00A847B7" w:rsidRDefault="002C5004" w:rsidP="00EE0687">
      <w:pPr>
        <w:pStyle w:val="Paragraphedeliste"/>
        <w:numPr>
          <w:ilvl w:val="0"/>
          <w:numId w:val="24"/>
        </w:numPr>
        <w:spacing w:beforeAutospacing="1" w:after="100" w:afterAutospacing="1"/>
        <w:rPr>
          <w:rFonts w:cstheme="minorHAnsi"/>
        </w:rPr>
      </w:pPr>
      <w:r w:rsidRPr="00A847B7">
        <w:rPr>
          <w:rFonts w:cstheme="minorHAnsi"/>
        </w:rPr>
        <w:t>achat et pose de matériaux d'isolation thermique des parois opaques ;</w:t>
      </w:r>
    </w:p>
    <w:p w14:paraId="59CD671B" w14:textId="77777777" w:rsidR="002C5004" w:rsidRPr="00A847B7" w:rsidRDefault="002C5004" w:rsidP="00EE0687">
      <w:pPr>
        <w:pStyle w:val="Paragraphedeliste"/>
        <w:numPr>
          <w:ilvl w:val="0"/>
          <w:numId w:val="24"/>
        </w:numPr>
        <w:spacing w:beforeAutospacing="1" w:after="100" w:afterAutospacing="1"/>
        <w:rPr>
          <w:rFonts w:cstheme="minorHAnsi"/>
        </w:rPr>
      </w:pPr>
      <w:r w:rsidRPr="00A847B7">
        <w:rPr>
          <w:rFonts w:cstheme="minorHAnsi"/>
        </w:rPr>
        <w:t xml:space="preserve">achat et pose d’équipements de chauffage ou de fourniture d'eau chaude sanitaire fonctionnant au bois ou autres biomasses, ou à l’énergie solaire thermique, y compris les poêles de masse artisanaux ou à accumulation de chaleur ; </w:t>
      </w:r>
    </w:p>
    <w:p w14:paraId="37F95F09" w14:textId="77777777" w:rsidR="002C5004" w:rsidRPr="00A847B7" w:rsidRDefault="002C5004" w:rsidP="00EE0687">
      <w:pPr>
        <w:pStyle w:val="Paragraphedeliste"/>
        <w:numPr>
          <w:ilvl w:val="0"/>
          <w:numId w:val="24"/>
        </w:numPr>
        <w:spacing w:beforeAutospacing="1" w:after="100" w:afterAutospacing="1"/>
        <w:rPr>
          <w:rFonts w:cstheme="minorHAnsi"/>
        </w:rPr>
      </w:pPr>
      <w:r w:rsidRPr="00A847B7">
        <w:rPr>
          <w:rFonts w:cstheme="minorHAnsi"/>
        </w:rPr>
        <w:t>pour les équipements fonctionnant à l’énergie solaire thermique, le CITE ne s’appliquera qu’à condition que l’équipement intègre une surface minimale de capteurs solaires : la surface minimale en question sera fixée par arrêté (non encore paru à ce jour) ;</w:t>
      </w:r>
    </w:p>
    <w:p w14:paraId="74BFA925" w14:textId="18A1BF33" w:rsidR="002C5004" w:rsidRPr="00A847B7" w:rsidRDefault="002C5004" w:rsidP="00EE0687">
      <w:pPr>
        <w:pStyle w:val="Paragraphedeliste"/>
        <w:numPr>
          <w:ilvl w:val="0"/>
          <w:numId w:val="24"/>
        </w:numPr>
        <w:spacing w:beforeAutospacing="1" w:after="100" w:afterAutospacing="1"/>
        <w:rPr>
          <w:rFonts w:cstheme="minorHAnsi"/>
        </w:rPr>
      </w:pPr>
      <w:r w:rsidRPr="00A847B7">
        <w:rPr>
          <w:rFonts w:cstheme="minorHAnsi"/>
        </w:rPr>
        <w:t>achat et pose de pompes à chaleur, autres que air/air, dont la finalité essentielle est la production de chaleur ou d'eau chaude sanitaire ;</w:t>
      </w:r>
    </w:p>
    <w:p w14:paraId="77C8D837" w14:textId="77777777" w:rsidR="002C5004" w:rsidRPr="00A847B7" w:rsidRDefault="002C5004" w:rsidP="00EE0687">
      <w:pPr>
        <w:pStyle w:val="Paragraphedeliste"/>
        <w:numPr>
          <w:ilvl w:val="0"/>
          <w:numId w:val="24"/>
        </w:numPr>
        <w:spacing w:beforeAutospacing="1" w:after="100" w:afterAutospacing="1"/>
        <w:rPr>
          <w:rFonts w:cstheme="minorHAnsi"/>
        </w:rPr>
      </w:pPr>
      <w:r w:rsidRPr="00A847B7">
        <w:rPr>
          <w:rFonts w:cstheme="minorHAnsi"/>
        </w:rPr>
        <w:t>pose d’un échangeur de chaleur souterrain pour les pompes à chaleur géothermiques ;</w:t>
      </w:r>
    </w:p>
    <w:p w14:paraId="6F1BA5D9" w14:textId="77777777" w:rsidR="002C5004" w:rsidRPr="00A847B7" w:rsidRDefault="002C5004" w:rsidP="00EE0687">
      <w:pPr>
        <w:pStyle w:val="Paragraphedeliste"/>
        <w:numPr>
          <w:ilvl w:val="0"/>
          <w:numId w:val="24"/>
        </w:numPr>
        <w:spacing w:beforeAutospacing="1" w:after="100" w:afterAutospacing="1"/>
        <w:rPr>
          <w:rFonts w:cstheme="minorHAnsi"/>
        </w:rPr>
      </w:pPr>
      <w:r w:rsidRPr="00A847B7">
        <w:rPr>
          <w:rFonts w:cstheme="minorHAnsi"/>
        </w:rPr>
        <w:t>achat et pose d’ équipements de raccordement à un réseau de chaleur, alimenté majoritairement par des énergies renouvelables ou par une installation de cogénération ;</w:t>
      </w:r>
    </w:p>
    <w:p w14:paraId="12B65704" w14:textId="77777777" w:rsidR="002C5004" w:rsidRPr="00A847B7" w:rsidRDefault="002C5004" w:rsidP="00EE0687">
      <w:pPr>
        <w:pStyle w:val="Paragraphedeliste"/>
        <w:numPr>
          <w:ilvl w:val="0"/>
          <w:numId w:val="24"/>
        </w:numPr>
        <w:spacing w:beforeAutospacing="1" w:after="100" w:afterAutospacing="1"/>
        <w:rPr>
          <w:rFonts w:cstheme="minorHAnsi"/>
        </w:rPr>
      </w:pPr>
      <w:r w:rsidRPr="00A847B7">
        <w:rPr>
          <w:rFonts w:cstheme="minorHAnsi"/>
        </w:rPr>
        <w:t>achat et pose d’équipement de raccordement à un réseau de froid, alimenté majoritairement par du froid d'origine renouvelable ou de récupération ;</w:t>
      </w:r>
    </w:p>
    <w:p w14:paraId="7834FE8E" w14:textId="77777777" w:rsidR="002C5004" w:rsidRPr="00A847B7" w:rsidRDefault="002C5004" w:rsidP="00EE0687">
      <w:pPr>
        <w:pStyle w:val="Paragraphedeliste"/>
        <w:numPr>
          <w:ilvl w:val="0"/>
          <w:numId w:val="24"/>
        </w:numPr>
        <w:spacing w:beforeAutospacing="1" w:after="100" w:afterAutospacing="1"/>
        <w:rPr>
          <w:rFonts w:cstheme="minorHAnsi"/>
        </w:rPr>
      </w:pPr>
      <w:r w:rsidRPr="00A847B7">
        <w:rPr>
          <w:rFonts w:cstheme="minorHAnsi"/>
        </w:rPr>
        <w:t>achat et pose d’un système de charge pour les véhicules électriques ;</w:t>
      </w:r>
    </w:p>
    <w:p w14:paraId="24168014" w14:textId="77777777" w:rsidR="002C5004" w:rsidRPr="00A847B7" w:rsidRDefault="002C5004" w:rsidP="00EE0687">
      <w:pPr>
        <w:pStyle w:val="Paragraphedeliste"/>
        <w:numPr>
          <w:ilvl w:val="0"/>
          <w:numId w:val="24"/>
        </w:numPr>
        <w:spacing w:beforeAutospacing="1" w:after="100" w:afterAutospacing="1"/>
        <w:rPr>
          <w:rFonts w:cstheme="minorHAnsi"/>
        </w:rPr>
      </w:pPr>
      <w:r w:rsidRPr="00A847B7">
        <w:rPr>
          <w:rFonts w:cstheme="minorHAnsi"/>
        </w:rPr>
        <w:t>achat et pose d’équipement ou de matériaux de protection des parois vitrées ou opaques contre les rayonnements solaires, uniquement dans les départements d’Outre-mer ;</w:t>
      </w:r>
    </w:p>
    <w:p w14:paraId="0E3C47BA" w14:textId="77777777" w:rsidR="002C5004" w:rsidRPr="00A847B7" w:rsidRDefault="002C5004" w:rsidP="00EE0687">
      <w:pPr>
        <w:pStyle w:val="Paragraphedeliste"/>
        <w:numPr>
          <w:ilvl w:val="0"/>
          <w:numId w:val="24"/>
        </w:numPr>
        <w:spacing w:beforeAutospacing="1" w:after="100" w:afterAutospacing="1"/>
        <w:rPr>
          <w:rFonts w:cstheme="minorHAnsi"/>
        </w:rPr>
      </w:pPr>
      <w:r w:rsidRPr="00A847B7">
        <w:rPr>
          <w:rFonts w:cstheme="minorHAnsi"/>
        </w:rPr>
        <w:t>frais de réalisation d’un audit énergétique qui propose des travaux permettant d’améliorer les performances énergétiques de l’habitation, à l’exception des situations dans lesquelles la réalisation d’un tel audit est obligatoire ;</w:t>
      </w:r>
    </w:p>
    <w:p w14:paraId="3998507C" w14:textId="77777777" w:rsidR="002C5004" w:rsidRPr="00A847B7" w:rsidRDefault="002C5004" w:rsidP="00EE0687">
      <w:pPr>
        <w:pStyle w:val="Paragraphedeliste"/>
        <w:numPr>
          <w:ilvl w:val="0"/>
          <w:numId w:val="24"/>
        </w:numPr>
        <w:spacing w:beforeAutospacing="1" w:after="100" w:afterAutospacing="1"/>
        <w:rPr>
          <w:rFonts w:cstheme="minorHAnsi"/>
        </w:rPr>
      </w:pPr>
      <w:r w:rsidRPr="00A847B7">
        <w:rPr>
          <w:rFonts w:cstheme="minorHAnsi"/>
        </w:rPr>
        <w:t>frais de dépose d’une cuve à fioul ;</w:t>
      </w:r>
    </w:p>
    <w:p w14:paraId="23547B71" w14:textId="77777777" w:rsidR="002C5004" w:rsidRPr="00A847B7" w:rsidRDefault="002C5004" w:rsidP="00EE0687">
      <w:pPr>
        <w:pStyle w:val="Paragraphedeliste"/>
        <w:numPr>
          <w:ilvl w:val="0"/>
          <w:numId w:val="24"/>
        </w:numPr>
        <w:spacing w:beforeAutospacing="1" w:after="100" w:afterAutospacing="1"/>
        <w:rPr>
          <w:rFonts w:cstheme="minorHAnsi"/>
        </w:rPr>
      </w:pPr>
      <w:r w:rsidRPr="00A847B7">
        <w:rPr>
          <w:rFonts w:cstheme="minorHAnsi"/>
        </w:rPr>
        <w:t>achat d’équipements de ventilation mécanique contrôlée à double flux.</w:t>
      </w:r>
    </w:p>
    <w:p w14:paraId="7B106215" w14:textId="77777777" w:rsidR="002C5004" w:rsidRPr="00A847B7" w:rsidRDefault="002C5004" w:rsidP="002C5004">
      <w:pPr>
        <w:spacing w:beforeAutospacing="1" w:after="100" w:afterAutospacing="1"/>
        <w:rPr>
          <w:rFonts w:cstheme="minorHAnsi"/>
        </w:rPr>
      </w:pPr>
      <w:r w:rsidRPr="00A847B7">
        <w:rPr>
          <w:rFonts w:cstheme="minorHAnsi"/>
        </w:rPr>
        <w:t>Pour les dépenses engagées depuis le 1</w:t>
      </w:r>
      <w:r w:rsidRPr="00A847B7">
        <w:rPr>
          <w:rFonts w:cstheme="minorHAnsi"/>
          <w:vertAlign w:val="superscript"/>
        </w:rPr>
        <w:t>er</w:t>
      </w:r>
      <w:r w:rsidRPr="00A847B7">
        <w:rPr>
          <w:rFonts w:cstheme="minorHAnsi"/>
        </w:rPr>
        <w:t xml:space="preserve"> janvier 2020, les 3 taux du crédit d’impôt (15 %, 30 % et 50 %) sont supprimés.</w:t>
      </w:r>
    </w:p>
    <w:p w14:paraId="3E8FBD22" w14:textId="77777777" w:rsidR="002C5004" w:rsidRPr="00A847B7" w:rsidRDefault="002C5004" w:rsidP="002C5004">
      <w:pPr>
        <w:spacing w:beforeAutospacing="1" w:after="100" w:afterAutospacing="1"/>
        <w:rPr>
          <w:rFonts w:cstheme="minorHAnsi"/>
        </w:rPr>
      </w:pPr>
      <w:r w:rsidRPr="00A847B7">
        <w:rPr>
          <w:rFonts w:cstheme="minorHAnsi"/>
        </w:rPr>
        <w:t>Désormais, chaque dépense se voit attribuer un montant forfaitaire de crédit d’impôt, sachant que le montant de l’avantage fiscal ne pourra pas dépasser 75 % de la dépense effectivement supportée par le contribuable.</w:t>
      </w:r>
    </w:p>
    <w:p w14:paraId="2B57A4C8" w14:textId="77777777" w:rsidR="002C5004" w:rsidRPr="00A847B7" w:rsidRDefault="002C5004" w:rsidP="002C5004">
      <w:pPr>
        <w:spacing w:beforeAutospacing="1" w:after="100" w:afterAutospacing="1"/>
        <w:rPr>
          <w:rFonts w:cstheme="minorHAnsi"/>
        </w:rPr>
      </w:pPr>
      <w:r w:rsidRPr="00A847B7">
        <w:rPr>
          <w:rFonts w:cstheme="minorHAnsi"/>
        </w:rPr>
        <w:lastRenderedPageBreak/>
        <w:t xml:space="preserve">Pour les logements individuels (ou les parties privatives des logements situés dans un immeuble collectif), les montants forfaitaires sont les suivants : </w:t>
      </w:r>
    </w:p>
    <w:tbl>
      <w:tblPr>
        <w:tblStyle w:val="TableauGrille4-Accentuation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2C5004" w:rsidRPr="00A847B7" w14:paraId="7BACA582" w14:textId="77777777" w:rsidTr="00D425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297FD5" w:themeFill="accent3"/>
          </w:tcPr>
          <w:p w14:paraId="5C5967EB" w14:textId="77777777" w:rsidR="002C5004" w:rsidRPr="00A847B7" w:rsidRDefault="002C5004" w:rsidP="00D42534">
            <w:pPr>
              <w:spacing w:after="200" w:line="276" w:lineRule="auto"/>
              <w:jc w:val="center"/>
              <w:rPr>
                <w:sz w:val="22"/>
                <w:szCs w:val="22"/>
              </w:rPr>
            </w:pPr>
            <w:r w:rsidRPr="00A847B7">
              <w:rPr>
                <w:sz w:val="22"/>
                <w:szCs w:val="22"/>
              </w:rPr>
              <w:t>Nature de la dépense</w:t>
            </w:r>
          </w:p>
        </w:tc>
        <w:tc>
          <w:tcPr>
            <w:tcW w:w="4531" w:type="dxa"/>
            <w:shd w:val="clear" w:color="auto" w:fill="297FD5" w:themeFill="accent3"/>
          </w:tcPr>
          <w:p w14:paraId="6CF48559" w14:textId="77777777" w:rsidR="002C5004" w:rsidRPr="00A847B7" w:rsidRDefault="002C5004" w:rsidP="00D42534">
            <w:pPr>
              <w:spacing w:after="20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A847B7">
              <w:rPr>
                <w:sz w:val="22"/>
                <w:szCs w:val="22"/>
              </w:rPr>
              <w:t>Montant</w:t>
            </w:r>
          </w:p>
        </w:tc>
      </w:tr>
      <w:tr w:rsidR="002C5004" w:rsidRPr="00A847B7" w14:paraId="4C50F3AC" w14:textId="77777777" w:rsidTr="00D42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14:paraId="295667EF" w14:textId="77777777" w:rsidR="002C5004" w:rsidRPr="00A847B7" w:rsidRDefault="002C5004" w:rsidP="00D42534">
            <w:pPr>
              <w:spacing w:after="200" w:line="276" w:lineRule="auto"/>
              <w:rPr>
                <w:b w:val="0"/>
                <w:bCs w:val="0"/>
              </w:rPr>
            </w:pPr>
            <w:r w:rsidRPr="00A847B7">
              <w:rPr>
                <w:b w:val="0"/>
                <w:bCs w:val="0"/>
              </w:rPr>
              <w:t>Matériaux d’isolation thermique des parois vitrées à la condition que ces mêmes matériaux viennent en remplacement de parois en simple vitrage</w:t>
            </w:r>
          </w:p>
        </w:tc>
        <w:tc>
          <w:tcPr>
            <w:tcW w:w="4531" w:type="dxa"/>
            <w:shd w:val="clear" w:color="auto" w:fill="auto"/>
          </w:tcPr>
          <w:p w14:paraId="72DE1177" w14:textId="77777777" w:rsidR="002C5004" w:rsidRPr="00A847B7" w:rsidRDefault="002C5004" w:rsidP="00D42534">
            <w:pPr>
              <w:spacing w:after="200" w:line="276" w:lineRule="auto"/>
              <w:cnfStyle w:val="000000100000" w:firstRow="0" w:lastRow="0" w:firstColumn="0" w:lastColumn="0" w:oddVBand="0" w:evenVBand="0" w:oddHBand="1" w:evenHBand="0" w:firstRowFirstColumn="0" w:firstRowLastColumn="0" w:lastRowFirstColumn="0" w:lastRowLastColumn="0"/>
            </w:pPr>
            <w:r w:rsidRPr="00A847B7">
              <w:t>40 € / équipement</w:t>
            </w:r>
          </w:p>
        </w:tc>
      </w:tr>
      <w:tr w:rsidR="002C5004" w:rsidRPr="00A847B7" w14:paraId="25F91B9B" w14:textId="77777777" w:rsidTr="00D42534">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14:paraId="58A0E79F" w14:textId="77777777" w:rsidR="002C5004" w:rsidRPr="00A847B7" w:rsidRDefault="002C5004" w:rsidP="00D42534">
            <w:pPr>
              <w:spacing w:after="200" w:line="276" w:lineRule="auto"/>
              <w:rPr>
                <w:b w:val="0"/>
                <w:bCs w:val="0"/>
              </w:rPr>
            </w:pPr>
            <w:r w:rsidRPr="00A847B7">
              <w:rPr>
                <w:b w:val="0"/>
                <w:bCs w:val="0"/>
              </w:rPr>
              <w:t>Matériaux d’isolation thermique des parois opaques</w:t>
            </w:r>
          </w:p>
        </w:tc>
        <w:tc>
          <w:tcPr>
            <w:tcW w:w="4531" w:type="dxa"/>
            <w:shd w:val="clear" w:color="auto" w:fill="auto"/>
          </w:tcPr>
          <w:p w14:paraId="2FE2AC4F" w14:textId="77777777" w:rsidR="002C5004" w:rsidRPr="00A847B7" w:rsidRDefault="002C5004" w:rsidP="00D42534">
            <w:pPr>
              <w:spacing w:after="200" w:line="276" w:lineRule="auto"/>
              <w:cnfStyle w:val="000000000000" w:firstRow="0" w:lastRow="0" w:firstColumn="0" w:lastColumn="0" w:oddVBand="0" w:evenVBand="0" w:oddHBand="0" w:evenHBand="0" w:firstRowFirstColumn="0" w:firstRowLastColumn="0" w:lastRowFirstColumn="0" w:lastRowLastColumn="0"/>
            </w:pPr>
            <w:r w:rsidRPr="00A847B7">
              <w:t>15 € / m² pour l’isolation des murs en façade ou pignon par l’intérieur, des rampants de toiture et plafonds de combles aménagés ou aménageables et 50 € / m² pour l’isolation des murs en façade ou pignon par l’extérieur, des toitures terrasses</w:t>
            </w:r>
          </w:p>
        </w:tc>
      </w:tr>
      <w:tr w:rsidR="002C5004" w:rsidRPr="00A847B7" w14:paraId="0322AEDF" w14:textId="77777777" w:rsidTr="00D42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14:paraId="60A4D908" w14:textId="77777777" w:rsidR="002C5004" w:rsidRPr="00A847B7" w:rsidRDefault="002C5004" w:rsidP="00D42534">
            <w:pPr>
              <w:spacing w:after="200" w:line="276" w:lineRule="auto"/>
              <w:rPr>
                <w:b w:val="0"/>
                <w:bCs w:val="0"/>
              </w:rPr>
            </w:pPr>
            <w:r w:rsidRPr="00A847B7">
              <w:rPr>
                <w:b w:val="0"/>
                <w:bCs w:val="0"/>
              </w:rPr>
              <w:t>Équipements de chauffage ou de fourniture d’eau chaude sanitaire fonctionnant au bois ou autres biomasses ou à l’énergie solaire thermique</w:t>
            </w:r>
          </w:p>
        </w:tc>
        <w:tc>
          <w:tcPr>
            <w:tcW w:w="4531" w:type="dxa"/>
            <w:shd w:val="clear" w:color="auto" w:fill="auto"/>
          </w:tcPr>
          <w:p w14:paraId="2F26EBF0" w14:textId="6C01E217" w:rsidR="002C5004" w:rsidRPr="00A847B7" w:rsidRDefault="002C5004" w:rsidP="00EE0687">
            <w:pPr>
              <w:pStyle w:val="Paragraphedeliste"/>
              <w:numPr>
                <w:ilvl w:val="0"/>
                <w:numId w:val="25"/>
              </w:numPr>
              <w:spacing w:after="200" w:line="276" w:lineRule="auto"/>
              <w:cnfStyle w:val="000000100000" w:firstRow="0" w:lastRow="0" w:firstColumn="0" w:lastColumn="0" w:oddVBand="0" w:evenVBand="0" w:oddHBand="1" w:evenHBand="0" w:firstRowFirstColumn="0" w:firstRowLastColumn="0" w:lastRowFirstColumn="0" w:lastRowLastColumn="0"/>
            </w:pPr>
            <w:r w:rsidRPr="00A847B7">
              <w:t>4 000 € pour les chaudières à alimentation automatique fonctionnant au bois ou autres biomasse</w:t>
            </w:r>
            <w:r w:rsidR="009E584B">
              <w:t>s</w:t>
            </w:r>
          </w:p>
          <w:p w14:paraId="03361C79" w14:textId="77777777" w:rsidR="002C5004" w:rsidRPr="00A847B7" w:rsidRDefault="002C5004" w:rsidP="00EE0687">
            <w:pPr>
              <w:pStyle w:val="Paragraphedeliste"/>
              <w:numPr>
                <w:ilvl w:val="0"/>
                <w:numId w:val="25"/>
              </w:numPr>
              <w:spacing w:after="200" w:line="276" w:lineRule="auto"/>
              <w:cnfStyle w:val="000000100000" w:firstRow="0" w:lastRow="0" w:firstColumn="0" w:lastColumn="0" w:oddVBand="0" w:evenVBand="0" w:oddHBand="1" w:evenHBand="0" w:firstRowFirstColumn="0" w:firstRowLastColumn="0" w:lastRowFirstColumn="0" w:lastRowLastColumn="0"/>
            </w:pPr>
            <w:r w:rsidRPr="00A847B7">
              <w:t>3 000 € pour les systèmes solaires combinés</w:t>
            </w:r>
          </w:p>
          <w:p w14:paraId="4DEF0FF8" w14:textId="77777777" w:rsidR="002C5004" w:rsidRPr="00A847B7" w:rsidRDefault="002C5004" w:rsidP="00EE0687">
            <w:pPr>
              <w:pStyle w:val="Paragraphedeliste"/>
              <w:numPr>
                <w:ilvl w:val="0"/>
                <w:numId w:val="25"/>
              </w:numPr>
              <w:spacing w:after="200" w:line="276" w:lineRule="auto"/>
              <w:cnfStyle w:val="000000100000" w:firstRow="0" w:lastRow="0" w:firstColumn="0" w:lastColumn="0" w:oddVBand="0" w:evenVBand="0" w:oddHBand="1" w:evenHBand="0" w:firstRowFirstColumn="0" w:firstRowLastColumn="0" w:lastRowFirstColumn="0" w:lastRowLastColumn="0"/>
            </w:pPr>
            <w:r w:rsidRPr="00A847B7">
              <w:t>3 000 € pour les chaudières à alimentation manuelle fonctionnant au bois ou autres biomasses</w:t>
            </w:r>
          </w:p>
          <w:p w14:paraId="674477E8" w14:textId="77777777" w:rsidR="002C5004" w:rsidRPr="00A847B7" w:rsidRDefault="002C5004" w:rsidP="00EE0687">
            <w:pPr>
              <w:pStyle w:val="Paragraphedeliste"/>
              <w:numPr>
                <w:ilvl w:val="0"/>
                <w:numId w:val="25"/>
              </w:numPr>
              <w:spacing w:after="200" w:line="276" w:lineRule="auto"/>
              <w:cnfStyle w:val="000000100000" w:firstRow="0" w:lastRow="0" w:firstColumn="0" w:lastColumn="0" w:oddVBand="0" w:evenVBand="0" w:oddHBand="1" w:evenHBand="0" w:firstRowFirstColumn="0" w:firstRowLastColumn="0" w:lastRowFirstColumn="0" w:lastRowLastColumn="0"/>
            </w:pPr>
            <w:r w:rsidRPr="00A847B7">
              <w:t>1 500 € pour les poêles à granulés et cuisinières à granulés</w:t>
            </w:r>
          </w:p>
          <w:p w14:paraId="48B8F5D1" w14:textId="77777777" w:rsidR="002C5004" w:rsidRPr="00A847B7" w:rsidRDefault="002C5004" w:rsidP="00EE0687">
            <w:pPr>
              <w:pStyle w:val="Paragraphedeliste"/>
              <w:numPr>
                <w:ilvl w:val="0"/>
                <w:numId w:val="25"/>
              </w:numPr>
              <w:spacing w:after="200" w:line="276" w:lineRule="auto"/>
              <w:cnfStyle w:val="000000100000" w:firstRow="0" w:lastRow="0" w:firstColumn="0" w:lastColumn="0" w:oddVBand="0" w:evenVBand="0" w:oddHBand="1" w:evenHBand="0" w:firstRowFirstColumn="0" w:firstRowLastColumn="0" w:lastRowFirstColumn="0" w:lastRowLastColumn="0"/>
            </w:pPr>
            <w:r w:rsidRPr="00A847B7">
              <w:t xml:space="preserve">2 000 € pour </w:t>
            </w:r>
            <w:proofErr w:type="gramStart"/>
            <w:r w:rsidRPr="00A847B7">
              <w:t>les chauffe-eau solaires</w:t>
            </w:r>
            <w:proofErr w:type="gramEnd"/>
            <w:r w:rsidRPr="00A847B7">
              <w:t xml:space="preserve"> individuels</w:t>
            </w:r>
          </w:p>
          <w:p w14:paraId="7ABB3A66" w14:textId="77777777" w:rsidR="002C5004" w:rsidRPr="00A847B7" w:rsidRDefault="002C5004" w:rsidP="00EE0687">
            <w:pPr>
              <w:pStyle w:val="Paragraphedeliste"/>
              <w:numPr>
                <w:ilvl w:val="0"/>
                <w:numId w:val="25"/>
              </w:numPr>
              <w:spacing w:after="200" w:line="276" w:lineRule="auto"/>
              <w:cnfStyle w:val="000000100000" w:firstRow="0" w:lastRow="0" w:firstColumn="0" w:lastColumn="0" w:oddVBand="0" w:evenVBand="0" w:oddHBand="1" w:evenHBand="0" w:firstRowFirstColumn="0" w:firstRowLastColumn="0" w:lastRowFirstColumn="0" w:lastRowLastColumn="0"/>
            </w:pPr>
            <w:r w:rsidRPr="00A847B7">
              <w:t>1 000 € pour les poêles à bûches et cuisinières à bûches</w:t>
            </w:r>
          </w:p>
          <w:p w14:paraId="7BBC5556" w14:textId="77777777" w:rsidR="002C5004" w:rsidRPr="00A847B7" w:rsidRDefault="002C5004" w:rsidP="00EE0687">
            <w:pPr>
              <w:pStyle w:val="Paragraphedeliste"/>
              <w:numPr>
                <w:ilvl w:val="0"/>
                <w:numId w:val="25"/>
              </w:numPr>
              <w:spacing w:after="200" w:line="276" w:lineRule="auto"/>
              <w:cnfStyle w:val="000000100000" w:firstRow="0" w:lastRow="0" w:firstColumn="0" w:lastColumn="0" w:oddVBand="0" w:evenVBand="0" w:oddHBand="1" w:evenHBand="0" w:firstRowFirstColumn="0" w:firstRowLastColumn="0" w:lastRowFirstColumn="0" w:lastRowLastColumn="0"/>
            </w:pPr>
            <w:r w:rsidRPr="00A847B7">
              <w:t>1 000 € pour les équipements de chauffage ou de production d’eau chaude fonctionnant avec des capteurs solaires hybrides thermiques et électriques à circulation de liquide</w:t>
            </w:r>
          </w:p>
        </w:tc>
      </w:tr>
      <w:tr w:rsidR="002C5004" w:rsidRPr="00A847B7" w14:paraId="1652194B" w14:textId="77777777" w:rsidTr="00D42534">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14:paraId="649B4068" w14:textId="3A12750F" w:rsidR="002C5004" w:rsidRPr="00A847B7" w:rsidRDefault="002C5004" w:rsidP="00D42534">
            <w:pPr>
              <w:spacing w:after="200" w:line="276" w:lineRule="auto"/>
              <w:rPr>
                <w:b w:val="0"/>
                <w:bCs w:val="0"/>
              </w:rPr>
            </w:pPr>
            <w:r w:rsidRPr="00A847B7">
              <w:rPr>
                <w:b w:val="0"/>
                <w:bCs w:val="0"/>
              </w:rPr>
              <w:t>Pompes à chaleur, autres que air/air, dont la finalité essentielle est la production de chaleur ou d’eau chaude sanitaire</w:t>
            </w:r>
          </w:p>
        </w:tc>
        <w:tc>
          <w:tcPr>
            <w:tcW w:w="4531" w:type="dxa"/>
            <w:shd w:val="clear" w:color="auto" w:fill="auto"/>
          </w:tcPr>
          <w:p w14:paraId="3302B3BF" w14:textId="77777777" w:rsidR="002C5004" w:rsidRPr="00A847B7" w:rsidRDefault="002C5004" w:rsidP="00EE0687">
            <w:pPr>
              <w:pStyle w:val="Paragraphedeliste"/>
              <w:numPr>
                <w:ilvl w:val="0"/>
                <w:numId w:val="26"/>
              </w:numPr>
              <w:spacing w:after="200" w:line="276" w:lineRule="auto"/>
              <w:cnfStyle w:val="000000000000" w:firstRow="0" w:lastRow="0" w:firstColumn="0" w:lastColumn="0" w:oddVBand="0" w:evenVBand="0" w:oddHBand="0" w:evenHBand="0" w:firstRowFirstColumn="0" w:firstRowLastColumn="0" w:lastRowFirstColumn="0" w:lastRowLastColumn="0"/>
            </w:pPr>
            <w:r w:rsidRPr="00A847B7">
              <w:t>4 000 € pour les pompes à chaleur géothermiques</w:t>
            </w:r>
          </w:p>
          <w:p w14:paraId="09B66854" w14:textId="77777777" w:rsidR="002C5004" w:rsidRPr="00A847B7" w:rsidRDefault="002C5004" w:rsidP="00EE0687">
            <w:pPr>
              <w:pStyle w:val="Paragraphedeliste"/>
              <w:numPr>
                <w:ilvl w:val="0"/>
                <w:numId w:val="26"/>
              </w:numPr>
              <w:spacing w:after="200" w:line="276" w:lineRule="auto"/>
              <w:cnfStyle w:val="000000000000" w:firstRow="0" w:lastRow="0" w:firstColumn="0" w:lastColumn="0" w:oddVBand="0" w:evenVBand="0" w:oddHBand="0" w:evenHBand="0" w:firstRowFirstColumn="0" w:firstRowLastColumn="0" w:lastRowFirstColumn="0" w:lastRowLastColumn="0"/>
            </w:pPr>
            <w:r w:rsidRPr="00A847B7">
              <w:t>2 000 € pour les pompes à chaleur air/eau</w:t>
            </w:r>
          </w:p>
          <w:p w14:paraId="35CD0C00" w14:textId="77777777" w:rsidR="002C5004" w:rsidRPr="00A847B7" w:rsidRDefault="002C5004" w:rsidP="00EE0687">
            <w:pPr>
              <w:pStyle w:val="Paragraphedeliste"/>
              <w:numPr>
                <w:ilvl w:val="0"/>
                <w:numId w:val="26"/>
              </w:numPr>
              <w:spacing w:after="200" w:line="276" w:lineRule="auto"/>
              <w:cnfStyle w:val="000000000000" w:firstRow="0" w:lastRow="0" w:firstColumn="0" w:lastColumn="0" w:oddVBand="0" w:evenVBand="0" w:oddHBand="0" w:evenHBand="0" w:firstRowFirstColumn="0" w:firstRowLastColumn="0" w:lastRowFirstColumn="0" w:lastRowLastColumn="0"/>
            </w:pPr>
            <w:r w:rsidRPr="00A847B7">
              <w:t>400 € pour les pompes à chaleur dédiées à la production d’eau chaude sanitaire</w:t>
            </w:r>
          </w:p>
        </w:tc>
      </w:tr>
      <w:tr w:rsidR="002C5004" w:rsidRPr="00A847B7" w14:paraId="0B79E38D" w14:textId="77777777" w:rsidTr="00D42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14:paraId="66A11C0C" w14:textId="77777777" w:rsidR="002C5004" w:rsidRPr="00A847B7" w:rsidRDefault="002C5004" w:rsidP="00D42534">
            <w:pPr>
              <w:spacing w:after="200" w:line="276" w:lineRule="auto"/>
              <w:rPr>
                <w:b w:val="0"/>
                <w:bCs w:val="0"/>
              </w:rPr>
            </w:pPr>
            <w:r w:rsidRPr="00A847B7">
              <w:rPr>
                <w:b w:val="0"/>
                <w:bCs w:val="0"/>
              </w:rPr>
              <w:t>Équipements de raccordement à un réseau de chaleur et/ou de froid, et droits et frais de raccordement</w:t>
            </w:r>
          </w:p>
        </w:tc>
        <w:tc>
          <w:tcPr>
            <w:tcW w:w="4531" w:type="dxa"/>
            <w:shd w:val="clear" w:color="auto" w:fill="auto"/>
          </w:tcPr>
          <w:p w14:paraId="4DBDF557" w14:textId="77777777" w:rsidR="002C5004" w:rsidRPr="00A847B7" w:rsidRDefault="002C5004" w:rsidP="00D42534">
            <w:pPr>
              <w:spacing w:after="200" w:line="276" w:lineRule="auto"/>
              <w:cnfStyle w:val="000000100000" w:firstRow="0" w:lastRow="0" w:firstColumn="0" w:lastColumn="0" w:oddVBand="0" w:evenVBand="0" w:oddHBand="1" w:evenHBand="0" w:firstRowFirstColumn="0" w:firstRowLastColumn="0" w:lastRowFirstColumn="0" w:lastRowLastColumn="0"/>
            </w:pPr>
            <w:r w:rsidRPr="00A847B7">
              <w:t>400 €</w:t>
            </w:r>
          </w:p>
        </w:tc>
      </w:tr>
      <w:tr w:rsidR="002C5004" w:rsidRPr="00A847B7" w14:paraId="4469FF65" w14:textId="77777777" w:rsidTr="00D42534">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14:paraId="5E1B3CA3" w14:textId="77777777" w:rsidR="002C5004" w:rsidRPr="00A847B7" w:rsidRDefault="002C5004" w:rsidP="00D42534">
            <w:pPr>
              <w:spacing w:after="200" w:line="276" w:lineRule="auto"/>
              <w:rPr>
                <w:b w:val="0"/>
                <w:bCs w:val="0"/>
              </w:rPr>
            </w:pPr>
            <w:r w:rsidRPr="00A847B7">
              <w:rPr>
                <w:b w:val="0"/>
                <w:bCs w:val="0"/>
              </w:rPr>
              <w:t>Système de charge pour véhicule électrique</w:t>
            </w:r>
          </w:p>
        </w:tc>
        <w:tc>
          <w:tcPr>
            <w:tcW w:w="4531" w:type="dxa"/>
            <w:shd w:val="clear" w:color="auto" w:fill="auto"/>
          </w:tcPr>
          <w:p w14:paraId="55F21DB1" w14:textId="77777777" w:rsidR="002C5004" w:rsidRPr="00A847B7" w:rsidRDefault="002C5004" w:rsidP="00D42534">
            <w:pPr>
              <w:spacing w:after="200" w:line="276" w:lineRule="auto"/>
              <w:cnfStyle w:val="000000000000" w:firstRow="0" w:lastRow="0" w:firstColumn="0" w:lastColumn="0" w:oddVBand="0" w:evenVBand="0" w:oddHBand="0" w:evenHBand="0" w:firstRowFirstColumn="0" w:firstRowLastColumn="0" w:lastRowFirstColumn="0" w:lastRowLastColumn="0"/>
            </w:pPr>
            <w:r w:rsidRPr="00A847B7">
              <w:t>300 €</w:t>
            </w:r>
          </w:p>
        </w:tc>
      </w:tr>
      <w:tr w:rsidR="002C5004" w:rsidRPr="00A847B7" w14:paraId="1697F587" w14:textId="77777777" w:rsidTr="00D42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14:paraId="31779557" w14:textId="77777777" w:rsidR="002C5004" w:rsidRPr="00A847B7" w:rsidRDefault="002C5004" w:rsidP="00D42534">
            <w:pPr>
              <w:spacing w:after="200" w:line="276" w:lineRule="auto"/>
              <w:rPr>
                <w:b w:val="0"/>
                <w:bCs w:val="0"/>
              </w:rPr>
            </w:pPr>
            <w:r w:rsidRPr="00A847B7">
              <w:rPr>
                <w:b w:val="0"/>
                <w:bCs w:val="0"/>
              </w:rPr>
              <w:lastRenderedPageBreak/>
              <w:t>Équipements ou matériaux de protection des parois vitrées ou opaques contre les rayonnements solaires</w:t>
            </w:r>
          </w:p>
        </w:tc>
        <w:tc>
          <w:tcPr>
            <w:tcW w:w="4531" w:type="dxa"/>
            <w:shd w:val="clear" w:color="auto" w:fill="auto"/>
          </w:tcPr>
          <w:p w14:paraId="53A907AA" w14:textId="77777777" w:rsidR="002C5004" w:rsidRPr="00A847B7" w:rsidRDefault="002C5004" w:rsidP="00D42534">
            <w:pPr>
              <w:spacing w:after="200" w:line="276" w:lineRule="auto"/>
              <w:cnfStyle w:val="000000100000" w:firstRow="0" w:lastRow="0" w:firstColumn="0" w:lastColumn="0" w:oddVBand="0" w:evenVBand="0" w:oddHBand="1" w:evenHBand="0" w:firstRowFirstColumn="0" w:firstRowLastColumn="0" w:lastRowFirstColumn="0" w:lastRowLastColumn="0"/>
            </w:pPr>
            <w:r w:rsidRPr="00A847B7">
              <w:t>15 € / m²</w:t>
            </w:r>
          </w:p>
        </w:tc>
      </w:tr>
      <w:tr w:rsidR="002C5004" w:rsidRPr="00A847B7" w14:paraId="025EFAA4" w14:textId="77777777" w:rsidTr="00D42534">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14:paraId="5EB2FDAE" w14:textId="77777777" w:rsidR="002C5004" w:rsidRPr="00A847B7" w:rsidRDefault="002C5004" w:rsidP="00D42534">
            <w:pPr>
              <w:spacing w:after="200" w:line="276" w:lineRule="auto"/>
              <w:rPr>
                <w:b w:val="0"/>
                <w:bCs w:val="0"/>
              </w:rPr>
            </w:pPr>
            <w:r w:rsidRPr="00A847B7">
              <w:rPr>
                <w:b w:val="0"/>
                <w:bCs w:val="0"/>
              </w:rPr>
              <w:t>Audit énergétique</w:t>
            </w:r>
          </w:p>
        </w:tc>
        <w:tc>
          <w:tcPr>
            <w:tcW w:w="4531" w:type="dxa"/>
            <w:shd w:val="clear" w:color="auto" w:fill="auto"/>
          </w:tcPr>
          <w:p w14:paraId="13BADA8C" w14:textId="77777777" w:rsidR="002C5004" w:rsidRPr="00A847B7" w:rsidRDefault="002C5004" w:rsidP="00D42534">
            <w:pPr>
              <w:spacing w:after="200" w:line="276" w:lineRule="auto"/>
              <w:cnfStyle w:val="000000000000" w:firstRow="0" w:lastRow="0" w:firstColumn="0" w:lastColumn="0" w:oddVBand="0" w:evenVBand="0" w:oddHBand="0" w:evenHBand="0" w:firstRowFirstColumn="0" w:firstRowLastColumn="0" w:lastRowFirstColumn="0" w:lastRowLastColumn="0"/>
            </w:pPr>
            <w:r w:rsidRPr="00A847B7">
              <w:t>300 €</w:t>
            </w:r>
          </w:p>
        </w:tc>
      </w:tr>
      <w:tr w:rsidR="002C5004" w:rsidRPr="00A847B7" w14:paraId="75CEDB73" w14:textId="77777777" w:rsidTr="00D42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14:paraId="10C20786" w14:textId="77777777" w:rsidR="002C5004" w:rsidRPr="00A847B7" w:rsidRDefault="002C5004" w:rsidP="00D42534">
            <w:pPr>
              <w:spacing w:after="200" w:line="276" w:lineRule="auto"/>
              <w:rPr>
                <w:b w:val="0"/>
                <w:bCs w:val="0"/>
              </w:rPr>
            </w:pPr>
            <w:r w:rsidRPr="00A847B7">
              <w:rPr>
                <w:b w:val="0"/>
                <w:bCs w:val="0"/>
              </w:rPr>
              <w:t>Dépose de cuve à fioul</w:t>
            </w:r>
          </w:p>
        </w:tc>
        <w:tc>
          <w:tcPr>
            <w:tcW w:w="4531" w:type="dxa"/>
            <w:shd w:val="clear" w:color="auto" w:fill="auto"/>
          </w:tcPr>
          <w:p w14:paraId="7EA75E05" w14:textId="77777777" w:rsidR="002C5004" w:rsidRPr="00A847B7" w:rsidRDefault="002C5004" w:rsidP="00D42534">
            <w:pPr>
              <w:spacing w:after="200" w:line="276" w:lineRule="auto"/>
              <w:cnfStyle w:val="000000100000" w:firstRow="0" w:lastRow="0" w:firstColumn="0" w:lastColumn="0" w:oddVBand="0" w:evenVBand="0" w:oddHBand="1" w:evenHBand="0" w:firstRowFirstColumn="0" w:firstRowLastColumn="0" w:lastRowFirstColumn="0" w:lastRowLastColumn="0"/>
            </w:pPr>
            <w:r w:rsidRPr="00A847B7">
              <w:t>400 €</w:t>
            </w:r>
          </w:p>
        </w:tc>
      </w:tr>
      <w:tr w:rsidR="002C5004" w:rsidRPr="00A847B7" w14:paraId="249228C3" w14:textId="77777777" w:rsidTr="00D42534">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14:paraId="1BC5D1E0" w14:textId="77777777" w:rsidR="002C5004" w:rsidRPr="00A847B7" w:rsidRDefault="002C5004" w:rsidP="00D42534">
            <w:pPr>
              <w:spacing w:after="200" w:line="276" w:lineRule="auto"/>
              <w:rPr>
                <w:b w:val="0"/>
                <w:bCs w:val="0"/>
              </w:rPr>
            </w:pPr>
            <w:r w:rsidRPr="00A847B7">
              <w:rPr>
                <w:b w:val="0"/>
                <w:bCs w:val="0"/>
              </w:rPr>
              <w:t>Équipements de ventilation mécanique contrôlée à double flux mentionnés</w:t>
            </w:r>
          </w:p>
        </w:tc>
        <w:tc>
          <w:tcPr>
            <w:tcW w:w="4531" w:type="dxa"/>
            <w:shd w:val="clear" w:color="auto" w:fill="auto"/>
          </w:tcPr>
          <w:p w14:paraId="0F114509" w14:textId="77777777" w:rsidR="002C5004" w:rsidRPr="00A847B7" w:rsidRDefault="002C5004" w:rsidP="00D42534">
            <w:pPr>
              <w:spacing w:after="200" w:line="276" w:lineRule="auto"/>
              <w:cnfStyle w:val="000000000000" w:firstRow="0" w:lastRow="0" w:firstColumn="0" w:lastColumn="0" w:oddVBand="0" w:evenVBand="0" w:oddHBand="0" w:evenHBand="0" w:firstRowFirstColumn="0" w:firstRowLastColumn="0" w:lastRowFirstColumn="0" w:lastRowLastColumn="0"/>
            </w:pPr>
            <w:r w:rsidRPr="00A847B7">
              <w:t>2 000 €</w:t>
            </w:r>
          </w:p>
        </w:tc>
      </w:tr>
    </w:tbl>
    <w:p w14:paraId="7A377755" w14:textId="77777777" w:rsidR="004F587E" w:rsidRDefault="004F587E" w:rsidP="002C5004"/>
    <w:p w14:paraId="2B73B8C5" w14:textId="72EFF283" w:rsidR="002C5004" w:rsidRPr="00A847B7" w:rsidRDefault="002C5004" w:rsidP="002C5004">
      <w:r w:rsidRPr="00A847B7">
        <w:t xml:space="preserve">Pour les dépenses d’équipements de chauffage ou de fourniture d'eau chaude sanitaire fonctionnant au bois ou autres biomasses ou à l'énergie solaire thermique, les achats et poses de foyers fermés et inserts à bûches ou granulés, payés en 2020, ainsi que ceux payés en 2021 au titre d’une mesures transitoire (cf. plus bas), ouvrent droit au bénéfice du CITE dans la limite d’un montant forfaitaire fixé à 600 €. </w:t>
      </w:r>
    </w:p>
    <w:p w14:paraId="11841624" w14:textId="77777777" w:rsidR="002C5004" w:rsidRPr="00A847B7" w:rsidRDefault="002C5004" w:rsidP="00EE0687">
      <w:pPr>
        <w:pStyle w:val="Paragraphedeliste"/>
        <w:numPr>
          <w:ilvl w:val="0"/>
          <w:numId w:val="1"/>
        </w:numPr>
      </w:pPr>
      <w:r w:rsidRPr="00A847B7">
        <w:rPr>
          <w:b/>
          <w:bCs/>
          <w:i/>
          <w:iCs/>
          <w:u w:val="single"/>
        </w:rPr>
        <w:t>Concernant les dispositifs transitoires</w:t>
      </w:r>
    </w:p>
    <w:p w14:paraId="13521BE0" w14:textId="77777777" w:rsidR="002C5004" w:rsidRPr="00A847B7" w:rsidRDefault="002C5004" w:rsidP="002C5004">
      <w:pPr>
        <w:spacing w:beforeAutospacing="1" w:after="100" w:afterAutospacing="1"/>
        <w:rPr>
          <w:rFonts w:cstheme="minorHAnsi"/>
        </w:rPr>
      </w:pPr>
      <w:r w:rsidRPr="00A847B7">
        <w:rPr>
          <w:rFonts w:cstheme="minorHAnsi"/>
        </w:rPr>
        <w:t>Il était prévu que le CITE continue à s’appliquer dans sa version antérieure à la Loi de Finances pour 2020, pour les dépenses payées en 2020 dès lors qu’il est justifié :</w:t>
      </w:r>
    </w:p>
    <w:p w14:paraId="50042E13" w14:textId="77777777" w:rsidR="002C5004" w:rsidRPr="00A847B7" w:rsidRDefault="002C5004" w:rsidP="00EE0687">
      <w:pPr>
        <w:pStyle w:val="Paragraphedeliste"/>
        <w:numPr>
          <w:ilvl w:val="0"/>
          <w:numId w:val="27"/>
        </w:numPr>
        <w:spacing w:beforeAutospacing="1" w:after="100" w:afterAutospacing="1"/>
        <w:rPr>
          <w:rFonts w:cstheme="minorHAnsi"/>
        </w:rPr>
      </w:pPr>
      <w:r w:rsidRPr="00A847B7">
        <w:rPr>
          <w:rFonts w:cstheme="minorHAnsi"/>
        </w:rPr>
        <w:t>de l’acceptation d’un devis ;</w:t>
      </w:r>
    </w:p>
    <w:p w14:paraId="4B68769A" w14:textId="77777777" w:rsidR="002C5004" w:rsidRPr="00A847B7" w:rsidRDefault="002C5004" w:rsidP="00EE0687">
      <w:pPr>
        <w:pStyle w:val="Paragraphedeliste"/>
        <w:numPr>
          <w:ilvl w:val="0"/>
          <w:numId w:val="27"/>
        </w:numPr>
        <w:spacing w:beforeAutospacing="1" w:after="100" w:afterAutospacing="1"/>
        <w:rPr>
          <w:rFonts w:cstheme="minorHAnsi"/>
        </w:rPr>
      </w:pPr>
      <w:r w:rsidRPr="00A847B7">
        <w:rPr>
          <w:rFonts w:cstheme="minorHAnsi"/>
        </w:rPr>
        <w:t>et du versement d’un acompte entre le 1</w:t>
      </w:r>
      <w:r w:rsidRPr="00A847B7">
        <w:rPr>
          <w:rFonts w:cstheme="minorHAnsi"/>
          <w:vertAlign w:val="superscript"/>
        </w:rPr>
        <w:t>er</w:t>
      </w:r>
      <w:r w:rsidRPr="00A847B7">
        <w:rPr>
          <w:rFonts w:cstheme="minorHAnsi"/>
        </w:rPr>
        <w:t xml:space="preserve"> janvier et le 31 décembre 2019.</w:t>
      </w:r>
    </w:p>
    <w:p w14:paraId="019ADAC6" w14:textId="77777777" w:rsidR="002C5004" w:rsidRPr="00A847B7" w:rsidRDefault="002C5004" w:rsidP="002C5004">
      <w:r w:rsidRPr="00A847B7">
        <w:t>Désormais, il est prévu que le CITE continue à s’appliquer dans sa version antérieure à la Loi de Finances pour 2020, pour les dépenses payées en 2020 dès lors qu’il est justifié :</w:t>
      </w:r>
    </w:p>
    <w:p w14:paraId="2CC795D4" w14:textId="77777777" w:rsidR="002C5004" w:rsidRPr="00A847B7" w:rsidRDefault="002C5004" w:rsidP="00EE0687">
      <w:pPr>
        <w:pStyle w:val="Paragraphedeliste"/>
        <w:numPr>
          <w:ilvl w:val="0"/>
          <w:numId w:val="28"/>
        </w:numPr>
      </w:pPr>
      <w:r w:rsidRPr="00A847B7">
        <w:t>de l’acceptation d’un devis ;</w:t>
      </w:r>
    </w:p>
    <w:p w14:paraId="7FCBACD2" w14:textId="3C6E4743" w:rsidR="002C5004" w:rsidRPr="00A847B7" w:rsidRDefault="002C5004" w:rsidP="00EE0687">
      <w:pPr>
        <w:pStyle w:val="Paragraphedeliste"/>
        <w:numPr>
          <w:ilvl w:val="0"/>
          <w:numId w:val="28"/>
        </w:numPr>
      </w:pPr>
      <w:r w:rsidRPr="00A847B7">
        <w:t>et du versement d’un acompte entre le 1</w:t>
      </w:r>
      <w:r w:rsidRPr="00A847B7">
        <w:rPr>
          <w:vertAlign w:val="superscript"/>
        </w:rPr>
        <w:t>er</w:t>
      </w:r>
      <w:r w:rsidRPr="00A847B7">
        <w:t xml:space="preserve"> janvier 2018 et le 31 décembre 2019</w:t>
      </w:r>
      <w:r w:rsidR="00603EB2">
        <w:t>.</w:t>
      </w:r>
    </w:p>
    <w:p w14:paraId="43B1F295" w14:textId="77777777" w:rsidR="002C5004" w:rsidRPr="00A847B7" w:rsidRDefault="002C5004" w:rsidP="002C5004">
      <w:pPr>
        <w:spacing w:beforeAutospacing="1" w:after="100" w:afterAutospacing="1"/>
        <w:rPr>
          <w:rFonts w:cstheme="minorHAnsi"/>
        </w:rPr>
      </w:pPr>
      <w:r w:rsidRPr="00A847B7">
        <w:rPr>
          <w:rFonts w:cstheme="minorHAnsi"/>
        </w:rPr>
        <w:t>Un nouveau dispositif transitoire est également mis en place : le CITE, dans sa version applicable en 2020 pourra, sur demande du contribuable, s’appliquer aux dépenses payées en 2021, dès lors qu’il est justifié de l’acceptation d’un devis et du versement d’un acompte entre le 1</w:t>
      </w:r>
      <w:r w:rsidRPr="00A847B7">
        <w:rPr>
          <w:rFonts w:cstheme="minorHAnsi"/>
          <w:vertAlign w:val="superscript"/>
        </w:rPr>
        <w:t>er</w:t>
      </w:r>
      <w:r w:rsidRPr="00A847B7">
        <w:rPr>
          <w:rFonts w:cstheme="minorHAnsi"/>
        </w:rPr>
        <w:t xml:space="preserve"> janvier 2019 et le 31 décembre 2020.</w:t>
      </w:r>
    </w:p>
    <w:p w14:paraId="1CB40AC8" w14:textId="77777777" w:rsidR="002C5004" w:rsidRPr="00A847B7" w:rsidRDefault="002C5004" w:rsidP="002C5004">
      <w:pPr>
        <w:spacing w:beforeAutospacing="1" w:after="100" w:afterAutospacing="1"/>
        <w:rPr>
          <w:rFonts w:cstheme="minorHAnsi"/>
        </w:rPr>
      </w:pPr>
      <w:r w:rsidRPr="00A847B7">
        <w:rPr>
          <w:rFonts w:cstheme="minorHAnsi"/>
        </w:rPr>
        <w:t>Notez que pour une même dépense, il n’est pas possible de cumuler le bénéfice de ce nouveau dispositif transitoire avec la prime forfaitaire de transition énergétique ou le crédit d’impôt pour acquisition et pose de systèmes de charge pour véhicule électrique.</w:t>
      </w:r>
    </w:p>
    <w:p w14:paraId="420E6D87" w14:textId="77777777" w:rsidR="002C5004" w:rsidRPr="00A847B7" w:rsidRDefault="002C5004" w:rsidP="002C5004">
      <w:pPr>
        <w:spacing w:beforeAutospacing="1" w:after="100" w:afterAutospacing="1"/>
        <w:rPr>
          <w:rFonts w:cstheme="minorHAnsi"/>
        </w:rPr>
      </w:pPr>
    </w:p>
    <w:p w14:paraId="58E2171A" w14:textId="0E775F6B" w:rsidR="00D42534" w:rsidRPr="00A847B7" w:rsidRDefault="00D42534" w:rsidP="00D42534">
      <w:pPr>
        <w:pStyle w:val="Titre3"/>
      </w:pPr>
      <w:bookmarkStart w:id="37" w:name="_Toc60780971"/>
      <w:r w:rsidRPr="00A847B7">
        <w:t xml:space="preserve">Slide </w:t>
      </w:r>
      <w:r w:rsidR="00914A89">
        <w:t>21</w:t>
      </w:r>
      <w:r w:rsidRPr="00A847B7">
        <w:t> : Prime forfaitaire de transition énergétique</w:t>
      </w:r>
      <w:bookmarkEnd w:id="37"/>
    </w:p>
    <w:p w14:paraId="749D1CAE" w14:textId="780A01EC" w:rsidR="00D42534" w:rsidRPr="00B14591" w:rsidRDefault="004F587E" w:rsidP="00D42534">
      <w:pPr>
        <w:rPr>
          <w:rFonts w:cstheme="minorHAnsi"/>
        </w:rPr>
      </w:pPr>
      <w:r w:rsidRPr="004F587E">
        <w:rPr>
          <w:u w:val="single"/>
        </w:rPr>
        <w:t xml:space="preserve">Source </w:t>
      </w:r>
      <w:r w:rsidRPr="00A847B7">
        <w:t>:</w:t>
      </w:r>
      <w:r>
        <w:t xml:space="preserve"> </w:t>
      </w:r>
      <w:r w:rsidR="00D42534" w:rsidRPr="00905C0E">
        <w:rPr>
          <w:rFonts w:cstheme="minorHAnsi"/>
        </w:rPr>
        <w:t xml:space="preserve">Loi de Finances pour 2021, article </w:t>
      </w:r>
      <w:r w:rsidR="005F38E5" w:rsidRPr="00905C0E">
        <w:rPr>
          <w:rFonts w:cstheme="minorHAnsi"/>
        </w:rPr>
        <w:t>241</w:t>
      </w:r>
      <w:r w:rsidR="00D42534" w:rsidRPr="00905C0E">
        <w:rPr>
          <w:rFonts w:cstheme="minorHAnsi"/>
        </w:rPr>
        <w:t xml:space="preserve"> </w:t>
      </w:r>
    </w:p>
    <w:p w14:paraId="4A62300D" w14:textId="77777777" w:rsidR="00D42534" w:rsidRPr="00A847B7" w:rsidRDefault="00D42534" w:rsidP="00D42534">
      <w:pPr>
        <w:spacing w:beforeAutospacing="1" w:after="100" w:afterAutospacing="1"/>
        <w:rPr>
          <w:rFonts w:cstheme="minorHAnsi"/>
        </w:rPr>
      </w:pPr>
      <w:r w:rsidRPr="00A847B7">
        <w:rPr>
          <w:rFonts w:cstheme="minorHAnsi"/>
        </w:rPr>
        <w:t>La Loi de Finances pour 2020 a créé une prime forfaitaire de transition énergétique destinée à financer, sous condition de ressources, des travaux et dépenses en faveur de la rénovation énergétique des logements.</w:t>
      </w:r>
    </w:p>
    <w:p w14:paraId="33DA51D8" w14:textId="77777777" w:rsidR="00D42534" w:rsidRPr="00A847B7" w:rsidRDefault="00D42534" w:rsidP="00D42534">
      <w:pPr>
        <w:spacing w:beforeAutospacing="1" w:after="100" w:afterAutospacing="1"/>
        <w:rPr>
          <w:rFonts w:cstheme="minorHAnsi"/>
        </w:rPr>
      </w:pPr>
      <w:r w:rsidRPr="00A847B7">
        <w:rPr>
          <w:rFonts w:cstheme="minorHAnsi"/>
        </w:rPr>
        <w:t>A terme, cette prime devrait remplacer définitivement le crédit d’impôt pour la transition énergétique (CITE).</w:t>
      </w:r>
    </w:p>
    <w:p w14:paraId="59828D41" w14:textId="77777777" w:rsidR="00D42534" w:rsidRPr="00A847B7" w:rsidRDefault="00D42534" w:rsidP="00D42534">
      <w:pPr>
        <w:spacing w:beforeAutospacing="1" w:after="100" w:afterAutospacing="1"/>
        <w:rPr>
          <w:rFonts w:cstheme="minorHAnsi"/>
        </w:rPr>
      </w:pPr>
      <w:r w:rsidRPr="00A847B7">
        <w:rPr>
          <w:rFonts w:cstheme="minorHAnsi"/>
        </w:rPr>
        <w:lastRenderedPageBreak/>
        <w:t>La Loi de Finances pour 2021 prévoit, par dérogation, et jusqu’au 31 décembre 2022, qu’elle pourra être attribuée sans condition de ressources, selon la nature des travaux et dépenses financées.</w:t>
      </w:r>
    </w:p>
    <w:p w14:paraId="0071E2E4" w14:textId="77777777" w:rsidR="00D42534" w:rsidRPr="00A847B7" w:rsidRDefault="00D42534" w:rsidP="00D42534">
      <w:pPr>
        <w:spacing w:beforeAutospacing="1" w:after="100" w:afterAutospacing="1"/>
        <w:rPr>
          <w:rFonts w:cstheme="minorHAnsi"/>
        </w:rPr>
      </w:pPr>
      <w:r w:rsidRPr="00A847B7">
        <w:rPr>
          <w:rFonts w:cstheme="minorHAnsi"/>
        </w:rPr>
        <w:t>Pour pouvoir bénéficier de cette prime il faut, en principe, déposer une demande en ce sens avant même de commencer les travaux envisagés.</w:t>
      </w:r>
    </w:p>
    <w:p w14:paraId="2C19E400" w14:textId="77777777" w:rsidR="00D42534" w:rsidRPr="00A847B7" w:rsidRDefault="00D42534" w:rsidP="00D42534">
      <w:pPr>
        <w:spacing w:beforeAutospacing="1" w:after="100" w:afterAutospacing="1"/>
        <w:rPr>
          <w:rFonts w:cstheme="minorHAnsi"/>
        </w:rPr>
      </w:pPr>
      <w:r w:rsidRPr="00A847B7">
        <w:rPr>
          <w:rFonts w:cstheme="minorHAnsi"/>
        </w:rPr>
        <w:t>A titre exceptionnel, entre le 1</w:t>
      </w:r>
      <w:r w:rsidRPr="00A847B7">
        <w:rPr>
          <w:rFonts w:cstheme="minorHAnsi"/>
          <w:vertAlign w:val="superscript"/>
        </w:rPr>
        <w:t>er</w:t>
      </w:r>
      <w:r w:rsidRPr="00A847B7">
        <w:rPr>
          <w:rFonts w:cstheme="minorHAnsi"/>
        </w:rPr>
        <w:t xml:space="preserve"> janvier et le 31 décembre 2021, il sera possible de déposer une demande de prime après avoir commencé des travaux ou prestations, sous réserve :</w:t>
      </w:r>
    </w:p>
    <w:p w14:paraId="784C9D0E" w14:textId="77777777" w:rsidR="00D42534" w:rsidRPr="00A847B7" w:rsidRDefault="00D42534" w:rsidP="00EE0687">
      <w:pPr>
        <w:pStyle w:val="Paragraphedeliste"/>
        <w:numPr>
          <w:ilvl w:val="0"/>
          <w:numId w:val="137"/>
        </w:numPr>
        <w:spacing w:beforeAutospacing="1" w:after="100" w:afterAutospacing="1"/>
        <w:rPr>
          <w:rFonts w:cstheme="minorHAnsi"/>
        </w:rPr>
      </w:pPr>
      <w:r w:rsidRPr="00A847B7">
        <w:rPr>
          <w:rFonts w:cstheme="minorHAnsi"/>
        </w:rPr>
        <w:t>que ceux-ci soient justifiés par un devis réalisé entre le 1</w:t>
      </w:r>
      <w:r w:rsidRPr="00A847B7">
        <w:rPr>
          <w:rFonts w:cstheme="minorHAnsi"/>
          <w:vertAlign w:val="superscript"/>
        </w:rPr>
        <w:t>er</w:t>
      </w:r>
      <w:r w:rsidRPr="00A847B7">
        <w:rPr>
          <w:rFonts w:cstheme="minorHAnsi"/>
        </w:rPr>
        <w:t xml:space="preserve"> octobre 2020 et le 31 décembre 2020 ; </w:t>
      </w:r>
    </w:p>
    <w:p w14:paraId="2E320B40" w14:textId="77777777" w:rsidR="00D42534" w:rsidRPr="00A847B7" w:rsidRDefault="00D42534" w:rsidP="00EE0687">
      <w:pPr>
        <w:pStyle w:val="Paragraphedeliste"/>
        <w:numPr>
          <w:ilvl w:val="0"/>
          <w:numId w:val="137"/>
        </w:numPr>
        <w:spacing w:beforeAutospacing="1" w:after="100" w:afterAutospacing="1"/>
        <w:rPr>
          <w:rFonts w:cstheme="minorHAnsi"/>
        </w:rPr>
      </w:pPr>
      <w:r w:rsidRPr="00A847B7">
        <w:rPr>
          <w:rFonts w:cstheme="minorHAnsi"/>
        </w:rPr>
        <w:t>qu’ils aient commencé entre le 1</w:t>
      </w:r>
      <w:r w:rsidRPr="00A847B7">
        <w:rPr>
          <w:rFonts w:cstheme="minorHAnsi"/>
          <w:vertAlign w:val="superscript"/>
        </w:rPr>
        <w:t>er</w:t>
      </w:r>
      <w:r w:rsidRPr="00A847B7">
        <w:rPr>
          <w:rFonts w:cstheme="minorHAnsi"/>
        </w:rPr>
        <w:t xml:space="preserve"> octobre et le 31 décembre 2020 ;</w:t>
      </w:r>
    </w:p>
    <w:p w14:paraId="50E65A5C" w14:textId="77777777" w:rsidR="00D42534" w:rsidRPr="00A847B7" w:rsidRDefault="00D42534" w:rsidP="00EE0687">
      <w:pPr>
        <w:pStyle w:val="Paragraphedeliste"/>
        <w:numPr>
          <w:ilvl w:val="0"/>
          <w:numId w:val="137"/>
        </w:numPr>
        <w:spacing w:beforeAutospacing="1" w:after="100" w:afterAutospacing="1"/>
        <w:rPr>
          <w:rFonts w:cstheme="minorHAnsi"/>
        </w:rPr>
      </w:pPr>
      <w:r w:rsidRPr="00A847B7">
        <w:rPr>
          <w:rFonts w:cstheme="minorHAnsi"/>
        </w:rPr>
        <w:t>que le bénéficiaire ne soit pas éligible à la prime à la date de démarrage des travaux ou prestations.</w:t>
      </w:r>
    </w:p>
    <w:p w14:paraId="30255988" w14:textId="77777777" w:rsidR="00D42534" w:rsidRPr="00A847B7" w:rsidRDefault="00D42534" w:rsidP="00D42534">
      <w:pPr>
        <w:spacing w:beforeAutospacing="1" w:after="100" w:afterAutospacing="1"/>
        <w:rPr>
          <w:rFonts w:cstheme="minorHAnsi"/>
        </w:rPr>
      </w:pPr>
      <w:r w:rsidRPr="00A847B7">
        <w:rPr>
          <w:rFonts w:cstheme="minorHAnsi"/>
        </w:rPr>
        <w:t xml:space="preserve">Cette prime est versée par l’ANAH (agence nationale de l’habitat) pour le compte de l’Etat. </w:t>
      </w:r>
    </w:p>
    <w:p w14:paraId="23E895A4" w14:textId="77777777" w:rsidR="00D42534" w:rsidRPr="00A847B7" w:rsidRDefault="00D42534" w:rsidP="00D42534">
      <w:pPr>
        <w:spacing w:beforeAutospacing="1" w:after="100" w:afterAutospacing="1"/>
        <w:rPr>
          <w:rFonts w:cstheme="minorHAnsi"/>
        </w:rPr>
      </w:pPr>
      <w:r w:rsidRPr="00A847B7">
        <w:rPr>
          <w:rFonts w:cstheme="minorHAnsi"/>
        </w:rPr>
        <w:t>Désormais, si son montant est inférieur à un montant fixé par un arrêté à paraître, cette prime pourra ne pas être versée.</w:t>
      </w:r>
    </w:p>
    <w:p w14:paraId="2CC18940" w14:textId="77777777" w:rsidR="00D42534" w:rsidRPr="00A847B7" w:rsidRDefault="00D42534" w:rsidP="00D42534">
      <w:pPr>
        <w:spacing w:beforeAutospacing="1" w:after="100" w:afterAutospacing="1"/>
        <w:rPr>
          <w:rFonts w:cstheme="minorHAnsi"/>
        </w:rPr>
      </w:pPr>
      <w:r w:rsidRPr="00A847B7">
        <w:rPr>
          <w:rFonts w:cstheme="minorHAnsi"/>
        </w:rPr>
        <w:t xml:space="preserve">Corrélativement, l’ANAH pourra renoncer à recouvrer une prime indûment perçue si elle est inférieure à un montant fixé par un arrêté à paraître. </w:t>
      </w:r>
    </w:p>
    <w:p w14:paraId="17BB1978" w14:textId="68AAFB9E" w:rsidR="00D42534" w:rsidRPr="00A847B7" w:rsidRDefault="00D42534" w:rsidP="00D42534">
      <w:pPr>
        <w:spacing w:beforeAutospacing="1" w:after="100" w:afterAutospacing="1"/>
        <w:rPr>
          <w:rFonts w:cstheme="minorHAnsi"/>
        </w:rPr>
      </w:pPr>
      <w:r w:rsidRPr="00A847B7">
        <w:rPr>
          <w:rFonts w:cstheme="minorHAnsi"/>
        </w:rPr>
        <w:t>Enfin, notez que l’ANAH peut maintenant transmettre à l’administration fiscale, spontanément ou sur simple demande, tous les renseignements et documents recueillis dans le cadre de l’attribution de la prime forfaitaire pour la transition énergétique, pour lui permettre de s’assurer qu’un même bénéficiaire ne cumul</w:t>
      </w:r>
      <w:r w:rsidR="009128E4">
        <w:rPr>
          <w:rFonts w:cstheme="minorHAnsi"/>
        </w:rPr>
        <w:t>e</w:t>
      </w:r>
      <w:r w:rsidRPr="00A847B7">
        <w:rPr>
          <w:rFonts w:cstheme="minorHAnsi"/>
        </w:rPr>
        <w:t xml:space="preserve"> pas cette prime avec le CITE.</w:t>
      </w:r>
    </w:p>
    <w:p w14:paraId="7FCCD36D" w14:textId="557639CE" w:rsidR="00D42534" w:rsidRDefault="00D42534" w:rsidP="00D42534">
      <w:pPr>
        <w:spacing w:beforeAutospacing="1" w:after="100" w:afterAutospacing="1"/>
        <w:rPr>
          <w:rFonts w:cstheme="minorHAnsi"/>
        </w:rPr>
      </w:pPr>
      <w:r w:rsidRPr="00A847B7">
        <w:rPr>
          <w:rFonts w:cstheme="minorHAnsi"/>
        </w:rPr>
        <w:t>Dans le cadre de cette transmission d’information, le secret professionnel ne pourra pas être opposé.</w:t>
      </w:r>
    </w:p>
    <w:p w14:paraId="567AC303" w14:textId="77777777" w:rsidR="00D42534" w:rsidRPr="00A847B7" w:rsidRDefault="00D42534" w:rsidP="00D42534">
      <w:pPr>
        <w:spacing w:beforeAutospacing="1" w:after="100" w:afterAutospacing="1"/>
        <w:rPr>
          <w:rFonts w:cstheme="minorHAnsi"/>
        </w:rPr>
      </w:pPr>
    </w:p>
    <w:p w14:paraId="427E0214" w14:textId="3F0D79FA" w:rsidR="00BF2BD6" w:rsidRPr="00A847B7" w:rsidRDefault="00BF2BD6" w:rsidP="00BF2BD6">
      <w:pPr>
        <w:pStyle w:val="Titre3"/>
      </w:pPr>
      <w:bookmarkStart w:id="38" w:name="_Toc60780972"/>
      <w:r w:rsidRPr="00A847B7">
        <w:t xml:space="preserve">Slide </w:t>
      </w:r>
      <w:r w:rsidR="005D650C">
        <w:t>22</w:t>
      </w:r>
      <w:r w:rsidRPr="00A847B7">
        <w:t xml:space="preserve"> : </w:t>
      </w:r>
      <w:r w:rsidR="001972F7" w:rsidRPr="00A847B7">
        <w:t>Plus-values immobilières</w:t>
      </w:r>
      <w:bookmarkEnd w:id="38"/>
    </w:p>
    <w:p w14:paraId="03ECE633" w14:textId="0B257B24" w:rsidR="00D87CAD" w:rsidRPr="00905C0E" w:rsidRDefault="004F587E" w:rsidP="004F587E">
      <w:r w:rsidRPr="004F587E">
        <w:rPr>
          <w:u w:val="single"/>
        </w:rPr>
        <w:t xml:space="preserve">Source </w:t>
      </w:r>
      <w:r w:rsidRPr="00A847B7">
        <w:t>:</w:t>
      </w:r>
      <w:r w:rsidR="001972F7" w:rsidRPr="00A847B7">
        <w:t xml:space="preserve"> Loi de Finances pour </w:t>
      </w:r>
      <w:r w:rsidR="001972F7" w:rsidRPr="00905C0E">
        <w:t>2021, article</w:t>
      </w:r>
      <w:r w:rsidR="003B100C" w:rsidRPr="00905C0E">
        <w:t>s</w:t>
      </w:r>
      <w:r w:rsidR="001972F7" w:rsidRPr="00905C0E">
        <w:t xml:space="preserve"> </w:t>
      </w:r>
      <w:r w:rsidR="007A442B" w:rsidRPr="00905C0E">
        <w:t>14,</w:t>
      </w:r>
      <w:r w:rsidR="00DD1284" w:rsidRPr="00905C0E">
        <w:t xml:space="preserve"> </w:t>
      </w:r>
      <w:r w:rsidR="00407E65" w:rsidRPr="00905C0E">
        <w:t>37 et</w:t>
      </w:r>
      <w:r w:rsidR="00DD1284" w:rsidRPr="00905C0E">
        <w:t xml:space="preserve"> 38</w:t>
      </w:r>
    </w:p>
    <w:p w14:paraId="479A3C49" w14:textId="6E0E7233" w:rsidR="0071016A" w:rsidRPr="00A847B7" w:rsidRDefault="0071016A" w:rsidP="00EE0687">
      <w:pPr>
        <w:pStyle w:val="Paragraphedeliste"/>
        <w:numPr>
          <w:ilvl w:val="0"/>
          <w:numId w:val="1"/>
        </w:numPr>
        <w:rPr>
          <w:rFonts w:cstheme="minorHAnsi"/>
          <w:i/>
          <w:iCs/>
          <w:u w:val="single"/>
        </w:rPr>
      </w:pPr>
      <w:r w:rsidRPr="00A847B7">
        <w:rPr>
          <w:rFonts w:cstheme="minorHAnsi"/>
          <w:b/>
          <w:bCs/>
          <w:i/>
          <w:iCs/>
          <w:u w:val="single"/>
        </w:rPr>
        <w:t>Concernant l</w:t>
      </w:r>
      <w:r w:rsidR="007B4272" w:rsidRPr="00A847B7">
        <w:rPr>
          <w:rFonts w:cstheme="minorHAnsi"/>
          <w:b/>
          <w:bCs/>
          <w:i/>
          <w:iCs/>
          <w:u w:val="single"/>
        </w:rPr>
        <w:t xml:space="preserve">’exonération </w:t>
      </w:r>
      <w:r w:rsidR="00FC25C6" w:rsidRPr="00A847B7">
        <w:rPr>
          <w:rFonts w:cstheme="minorHAnsi"/>
          <w:b/>
          <w:bCs/>
          <w:i/>
          <w:iCs/>
          <w:u w:val="single"/>
        </w:rPr>
        <w:t>d’impôt applicable aux ventes réalisées au profit d’un organisme en charge du logement social</w:t>
      </w:r>
    </w:p>
    <w:p w14:paraId="3EC34506" w14:textId="2AAE6B18" w:rsidR="00E30790" w:rsidRPr="00A847B7" w:rsidRDefault="00EE5486" w:rsidP="001C5AF6">
      <w:pPr>
        <w:rPr>
          <w:rFonts w:cstheme="minorHAnsi"/>
        </w:rPr>
      </w:pPr>
      <w:r w:rsidRPr="00A847B7">
        <w:rPr>
          <w:rFonts w:cstheme="minorHAnsi"/>
        </w:rPr>
        <w:t>Actuellement, l</w:t>
      </w:r>
      <w:r w:rsidR="00CF4839" w:rsidRPr="00A847B7">
        <w:rPr>
          <w:rFonts w:cstheme="minorHAnsi"/>
        </w:rPr>
        <w:t>es ventes</w:t>
      </w:r>
      <w:r w:rsidR="003845D5" w:rsidRPr="00A847B7">
        <w:rPr>
          <w:rFonts w:cstheme="minorHAnsi"/>
        </w:rPr>
        <w:t xml:space="preserve"> de biens immobiliers</w:t>
      </w:r>
      <w:r w:rsidR="00CF4839" w:rsidRPr="00A847B7">
        <w:rPr>
          <w:rFonts w:cstheme="minorHAnsi"/>
        </w:rPr>
        <w:t xml:space="preserve"> réalisées du 1</w:t>
      </w:r>
      <w:r w:rsidR="00CF4839" w:rsidRPr="00A847B7">
        <w:rPr>
          <w:rFonts w:cstheme="minorHAnsi"/>
          <w:vertAlign w:val="superscript"/>
        </w:rPr>
        <w:t>er</w:t>
      </w:r>
      <w:r w:rsidR="00CF4839" w:rsidRPr="00A847B7">
        <w:rPr>
          <w:rFonts w:cstheme="minorHAnsi"/>
        </w:rPr>
        <w:t xml:space="preserve"> janvier 2014 au 31 décembre 2022 sont exonérées d’impôt</w:t>
      </w:r>
      <w:r w:rsidR="00E65601" w:rsidRPr="00A847B7">
        <w:rPr>
          <w:rFonts w:cstheme="minorHAnsi"/>
        </w:rPr>
        <w:t xml:space="preserve"> sur le revenu</w:t>
      </w:r>
      <w:r w:rsidR="00CF4839" w:rsidRPr="00A847B7">
        <w:rPr>
          <w:rFonts w:cstheme="minorHAnsi"/>
        </w:rPr>
        <w:t xml:space="preserve"> dès lors qu’elles sont faites au profit d’un organisme en charge du logement social (organisme HLM, société d’économie mixte gérant des logements sociaux, Association Foncière Logement, unions d’économie sociale, etc.), au profit d’une collectivité locale en vue d’une rétrocession à un organisme en charge du logement social ou de toute autre cessionnaire qui s’engage à réaliser des logements locatifs sociaux dans un délai de 4 ans.</w:t>
      </w:r>
    </w:p>
    <w:p w14:paraId="109D8A46" w14:textId="0E58C507" w:rsidR="00732ED9" w:rsidRPr="00535B31" w:rsidRDefault="00732ED9" w:rsidP="00535B31">
      <w:pPr>
        <w:spacing w:beforeAutospacing="1" w:after="100" w:afterAutospacing="1"/>
        <w:rPr>
          <w:rFonts w:cstheme="minorHAnsi"/>
          <w:bCs/>
          <w:iCs/>
        </w:rPr>
      </w:pPr>
      <w:r w:rsidRPr="00535B31">
        <w:rPr>
          <w:rFonts w:cstheme="minorHAnsi"/>
          <w:bCs/>
          <w:iCs/>
        </w:rPr>
        <w:t>Les aménagements apportés par la Loi de Finances pour 2021</w:t>
      </w:r>
    </w:p>
    <w:p w14:paraId="7E8B67F1" w14:textId="026560D0" w:rsidR="006253FB" w:rsidRPr="00A847B7" w:rsidRDefault="00E60B9B" w:rsidP="00EE0687">
      <w:pPr>
        <w:pStyle w:val="Paragraphedeliste"/>
        <w:numPr>
          <w:ilvl w:val="0"/>
          <w:numId w:val="14"/>
        </w:numPr>
        <w:spacing w:beforeAutospacing="1" w:after="100" w:afterAutospacing="1"/>
        <w:rPr>
          <w:rFonts w:cstheme="minorHAnsi"/>
          <w:b/>
          <w:iCs/>
        </w:rPr>
      </w:pPr>
      <w:r w:rsidRPr="00A847B7">
        <w:rPr>
          <w:rFonts w:cstheme="minorHAnsi"/>
          <w:bCs/>
          <w:iCs/>
          <w:u w:val="single"/>
        </w:rPr>
        <w:t>Qualité de l’acquéreur</w:t>
      </w:r>
    </w:p>
    <w:p w14:paraId="74766E27" w14:textId="53896952" w:rsidR="00F60595" w:rsidRPr="00A847B7" w:rsidRDefault="007C3C48" w:rsidP="001C5AF6">
      <w:pPr>
        <w:rPr>
          <w:rFonts w:cstheme="minorHAnsi"/>
        </w:rPr>
      </w:pPr>
      <w:r w:rsidRPr="00A847B7">
        <w:rPr>
          <w:rFonts w:cstheme="minorHAnsi"/>
        </w:rPr>
        <w:t>A compter du 1</w:t>
      </w:r>
      <w:r w:rsidRPr="00A847B7">
        <w:rPr>
          <w:rFonts w:cstheme="minorHAnsi"/>
          <w:vertAlign w:val="superscript"/>
        </w:rPr>
        <w:t>er</w:t>
      </w:r>
      <w:r w:rsidRPr="00A847B7">
        <w:rPr>
          <w:rFonts w:cstheme="minorHAnsi"/>
        </w:rPr>
        <w:t xml:space="preserve"> janvier 2021 et jusqu’au 31 décembre 2022, l’exonération d’impôt </w:t>
      </w:r>
      <w:r w:rsidR="004C01E7" w:rsidRPr="00A847B7">
        <w:rPr>
          <w:rFonts w:cstheme="minorHAnsi"/>
        </w:rPr>
        <w:t xml:space="preserve">sur le revenu </w:t>
      </w:r>
      <w:r w:rsidRPr="00A847B7">
        <w:rPr>
          <w:rFonts w:cstheme="minorHAnsi"/>
        </w:rPr>
        <w:t xml:space="preserve">s’applique aux ventes de biens réalisées au </w:t>
      </w:r>
      <w:r w:rsidR="00F60595" w:rsidRPr="00A847B7">
        <w:rPr>
          <w:rFonts w:cstheme="minorHAnsi"/>
        </w:rPr>
        <w:t>profit :</w:t>
      </w:r>
    </w:p>
    <w:p w14:paraId="64F6E830" w14:textId="7EA964AE" w:rsidR="00E30790" w:rsidRPr="00A847B7" w:rsidRDefault="00F60595" w:rsidP="00EE0687">
      <w:pPr>
        <w:pStyle w:val="Paragraphedeliste"/>
        <w:numPr>
          <w:ilvl w:val="0"/>
          <w:numId w:val="13"/>
        </w:numPr>
        <w:rPr>
          <w:rFonts w:cstheme="minorHAnsi"/>
        </w:rPr>
      </w:pPr>
      <w:r w:rsidRPr="00A847B7">
        <w:rPr>
          <w:rFonts w:cstheme="minorHAnsi"/>
        </w:rPr>
        <w:lastRenderedPageBreak/>
        <w:t>d’un organisme en charge du logement social (organisme HLM, société d’économie mixte gérant des logements sociaux, Association Foncière Logement, unions d’économie sociale, etc.),</w:t>
      </w:r>
      <w:r w:rsidR="003776AD" w:rsidRPr="00A847B7">
        <w:rPr>
          <w:rFonts w:cstheme="minorHAnsi"/>
        </w:rPr>
        <w:t xml:space="preserve"> qui s’engage, dans l’acte authentique d’achat, à </w:t>
      </w:r>
      <w:r w:rsidR="00BD04BB" w:rsidRPr="00A847B7">
        <w:rPr>
          <w:rFonts w:cstheme="minorHAnsi"/>
        </w:rPr>
        <w:t xml:space="preserve">réaliser et achever des logements locatifs sociaux dans un délai de 10 </w:t>
      </w:r>
      <w:r w:rsidR="008C27F0" w:rsidRPr="00A847B7">
        <w:rPr>
          <w:rFonts w:cstheme="minorHAnsi"/>
        </w:rPr>
        <w:t xml:space="preserve">ans </w:t>
      </w:r>
      <w:r w:rsidR="00BD04BB" w:rsidRPr="00A847B7">
        <w:rPr>
          <w:rFonts w:cstheme="minorHAnsi"/>
        </w:rPr>
        <w:t>à compter de la date de l’acquisition ;</w:t>
      </w:r>
    </w:p>
    <w:p w14:paraId="60AE56ED" w14:textId="71F4BB63" w:rsidR="00324DF6" w:rsidRPr="00A847B7" w:rsidRDefault="00324DF6" w:rsidP="00EE0687">
      <w:pPr>
        <w:pStyle w:val="Paragraphedeliste"/>
        <w:numPr>
          <w:ilvl w:val="0"/>
          <w:numId w:val="13"/>
        </w:numPr>
        <w:rPr>
          <w:rFonts w:cstheme="minorHAnsi"/>
        </w:rPr>
      </w:pPr>
      <w:r w:rsidRPr="00A847B7">
        <w:rPr>
          <w:rFonts w:cstheme="minorHAnsi"/>
        </w:rPr>
        <w:t>d’une collectivité territoriale</w:t>
      </w:r>
      <w:r w:rsidR="00AB368D" w:rsidRPr="00A847B7">
        <w:rPr>
          <w:rFonts w:cstheme="minorHAnsi"/>
        </w:rPr>
        <w:t>, d’un établissement de coopération intercommunale compétent ou d’un établissement public foncier, en vue de leur cession au profit d’un organisme en charge du logement social (organisme HLM, société d’économie mixte gérant des logements sociaux, Association Foncière Logement, unions d’économie sociale, etc.), qui s’engage, dans l’acte authentique d’achat, à réaliser et achever des logements locatifs sociaux dans un délai de 10</w:t>
      </w:r>
      <w:r w:rsidR="004C01E7" w:rsidRPr="00A847B7">
        <w:rPr>
          <w:rFonts w:cstheme="minorHAnsi"/>
        </w:rPr>
        <w:t xml:space="preserve"> ans</w:t>
      </w:r>
      <w:r w:rsidR="00AB368D" w:rsidRPr="00A847B7">
        <w:rPr>
          <w:rFonts w:cstheme="minorHAnsi"/>
        </w:rPr>
        <w:t xml:space="preserve"> à compter de la date de l’acquisition</w:t>
      </w:r>
      <w:r w:rsidR="001E4E8A" w:rsidRPr="00A847B7">
        <w:rPr>
          <w:rFonts w:cstheme="minorHAnsi"/>
        </w:rPr>
        <w:t xml:space="preserve"> : dans cette hypothèse, le bénéfice de l’exonération suppose que </w:t>
      </w:r>
      <w:r w:rsidR="00471D68" w:rsidRPr="00A847B7">
        <w:rPr>
          <w:rFonts w:cstheme="minorHAnsi"/>
        </w:rPr>
        <w:t xml:space="preserve">le bien soit vendu dans le délai d’un an suivant son achat ; pour les cessions réalisées par </w:t>
      </w:r>
      <w:r w:rsidR="00793E60" w:rsidRPr="00A847B7">
        <w:rPr>
          <w:rFonts w:cstheme="minorHAnsi"/>
        </w:rPr>
        <w:t>un établissement public foncier, ce délai est porté à 3 ans</w:t>
      </w:r>
      <w:r w:rsidR="00AB368D" w:rsidRPr="00A847B7">
        <w:rPr>
          <w:rFonts w:cstheme="minorHAnsi"/>
        </w:rPr>
        <w:t> ;</w:t>
      </w:r>
    </w:p>
    <w:p w14:paraId="34ADA65B" w14:textId="0D7AC5AB" w:rsidR="00AB368D" w:rsidRPr="00A847B7" w:rsidRDefault="00C62AEF" w:rsidP="00EE0687">
      <w:pPr>
        <w:pStyle w:val="Paragraphedeliste"/>
        <w:numPr>
          <w:ilvl w:val="0"/>
          <w:numId w:val="13"/>
        </w:numPr>
        <w:rPr>
          <w:rFonts w:cstheme="minorHAnsi"/>
        </w:rPr>
      </w:pPr>
      <w:r w:rsidRPr="00A847B7">
        <w:rPr>
          <w:rFonts w:cstheme="minorHAnsi"/>
        </w:rPr>
        <w:t xml:space="preserve">de tout autre </w:t>
      </w:r>
      <w:r w:rsidR="008C27F0" w:rsidRPr="00A847B7">
        <w:rPr>
          <w:rFonts w:cstheme="minorHAnsi"/>
        </w:rPr>
        <w:t>acheteur qui s’engage, dans l’acte authentique d’achat, à réaliser des logements locatifs sociaux dans un délai de 4 ans à compter de la date de l’acquisition.</w:t>
      </w:r>
    </w:p>
    <w:p w14:paraId="1B4CE042" w14:textId="60297EBD" w:rsidR="009B0689" w:rsidRPr="00A847B7" w:rsidRDefault="00DA244C" w:rsidP="00E60B9B">
      <w:pPr>
        <w:rPr>
          <w:rFonts w:cstheme="minorHAnsi"/>
        </w:rPr>
      </w:pPr>
      <w:r w:rsidRPr="00A847B7">
        <w:rPr>
          <w:rFonts w:cstheme="minorHAnsi"/>
        </w:rPr>
        <w:t>Ce dispositif d’exonération d’impôt ne s’applique pas dans les « quartiers prioritaires de la politique de la ville</w:t>
      </w:r>
      <w:r w:rsidR="009B0689" w:rsidRPr="00A847B7">
        <w:rPr>
          <w:rFonts w:cstheme="minorHAnsi"/>
        </w:rPr>
        <w:t> ».</w:t>
      </w:r>
    </w:p>
    <w:p w14:paraId="715DAAB9" w14:textId="4D1CD8FB" w:rsidR="00E60B9B" w:rsidRPr="004F587E" w:rsidRDefault="00E60B9B" w:rsidP="00EE0687">
      <w:pPr>
        <w:pStyle w:val="Paragraphedeliste"/>
        <w:numPr>
          <w:ilvl w:val="0"/>
          <w:numId w:val="314"/>
        </w:numPr>
        <w:rPr>
          <w:rFonts w:cstheme="minorHAnsi"/>
          <w:u w:val="single"/>
        </w:rPr>
      </w:pPr>
      <w:r w:rsidRPr="004F587E">
        <w:rPr>
          <w:rFonts w:cstheme="minorHAnsi"/>
          <w:u w:val="single"/>
        </w:rPr>
        <w:t>Calcul de l’exonération d’impôt</w:t>
      </w:r>
    </w:p>
    <w:p w14:paraId="1267B97E" w14:textId="7AE5C92B" w:rsidR="00E30790" w:rsidRPr="00A847B7" w:rsidRDefault="00BB6D86" w:rsidP="001C5AF6">
      <w:pPr>
        <w:rPr>
          <w:rFonts w:cstheme="minorHAnsi"/>
        </w:rPr>
      </w:pPr>
      <w:r w:rsidRPr="00A847B7">
        <w:rPr>
          <w:rFonts w:cstheme="minorHAnsi"/>
        </w:rPr>
        <w:t>Pour les ventes réalisées au profit d’un organisme en charge du logement social</w:t>
      </w:r>
      <w:r w:rsidR="00577D99" w:rsidRPr="00A847B7">
        <w:rPr>
          <w:rFonts w:cstheme="minorHAnsi"/>
        </w:rPr>
        <w:t xml:space="preserve"> ou d’une collectivité territoriale, d’un établissement de coopération intercommunale compétent ou d’un établissement public foncier, en vue de leur cession au profit d’un organisme en charge du logement social</w:t>
      </w:r>
      <w:r w:rsidRPr="00A847B7">
        <w:rPr>
          <w:rFonts w:cstheme="minorHAnsi"/>
        </w:rPr>
        <w:t xml:space="preserve">, </w:t>
      </w:r>
      <w:r w:rsidR="00D40533" w:rsidRPr="00A847B7">
        <w:rPr>
          <w:rFonts w:cstheme="minorHAnsi"/>
        </w:rPr>
        <w:t>l’exonération d’impôt est calculée au prorata de la surface habitable des logements sociaux que l’acquéreur s’est engagé à réaliser et à achever par rapport à</w:t>
      </w:r>
      <w:r w:rsidR="00CA7C37" w:rsidRPr="00A847B7">
        <w:rPr>
          <w:rFonts w:cstheme="minorHAnsi"/>
        </w:rPr>
        <w:t xml:space="preserve"> la surface totale des constructions mentionnées sur le permis de construire.</w:t>
      </w:r>
    </w:p>
    <w:p w14:paraId="1FA8F320" w14:textId="18AED110" w:rsidR="00CA7C37" w:rsidRPr="00A847B7" w:rsidRDefault="00CA7C37" w:rsidP="001C5AF6">
      <w:pPr>
        <w:rPr>
          <w:rFonts w:cstheme="minorHAnsi"/>
        </w:rPr>
      </w:pPr>
      <w:r w:rsidRPr="00A847B7">
        <w:rPr>
          <w:rFonts w:cstheme="minorHAnsi"/>
        </w:rPr>
        <w:t xml:space="preserve">Notez que </w:t>
      </w:r>
      <w:r w:rsidR="000C14F6" w:rsidRPr="00A847B7">
        <w:rPr>
          <w:rFonts w:cstheme="minorHAnsi"/>
        </w:rPr>
        <w:t xml:space="preserve">pour les organismes en charge du logement social </w:t>
      </w:r>
      <w:r w:rsidRPr="00A847B7">
        <w:rPr>
          <w:rFonts w:cstheme="minorHAnsi"/>
        </w:rPr>
        <w:t>l’exonération est totale, lorsque ce prorata dépasse 80 %.</w:t>
      </w:r>
    </w:p>
    <w:p w14:paraId="40B9E4EC" w14:textId="32590CDF" w:rsidR="00793E60" w:rsidRPr="00A847B7" w:rsidRDefault="00793E60" w:rsidP="00EE0687">
      <w:pPr>
        <w:pStyle w:val="Paragraphedeliste"/>
        <w:numPr>
          <w:ilvl w:val="0"/>
          <w:numId w:val="15"/>
        </w:numPr>
        <w:rPr>
          <w:rFonts w:cstheme="minorHAnsi"/>
        </w:rPr>
      </w:pPr>
      <w:r w:rsidRPr="00A847B7">
        <w:rPr>
          <w:rFonts w:cstheme="minorHAnsi"/>
          <w:u w:val="single"/>
        </w:rPr>
        <w:t xml:space="preserve">Sanctions </w:t>
      </w:r>
    </w:p>
    <w:p w14:paraId="1D4F9E02" w14:textId="3A32C4F9" w:rsidR="001F62F2" w:rsidRPr="00A847B7" w:rsidRDefault="001F62F2" w:rsidP="001F62F2">
      <w:pPr>
        <w:rPr>
          <w:rFonts w:cstheme="minorHAnsi"/>
        </w:rPr>
      </w:pPr>
      <w:r w:rsidRPr="00A847B7">
        <w:rPr>
          <w:rFonts w:cstheme="minorHAnsi"/>
        </w:rPr>
        <w:t>E</w:t>
      </w:r>
      <w:r w:rsidR="00DF0FCC" w:rsidRPr="00A847B7">
        <w:rPr>
          <w:rFonts w:cstheme="minorHAnsi"/>
        </w:rPr>
        <w:t>n cas de ma</w:t>
      </w:r>
      <w:r w:rsidR="00A847DC" w:rsidRPr="00A847B7">
        <w:rPr>
          <w:rFonts w:cstheme="minorHAnsi"/>
        </w:rPr>
        <w:t xml:space="preserve">nquement à l’engagement d’achèvement des locaux au terme des délais de 10 ou 4 ans, </w:t>
      </w:r>
      <w:r w:rsidR="001C5328" w:rsidRPr="00A847B7">
        <w:rPr>
          <w:rFonts w:cstheme="minorHAnsi"/>
        </w:rPr>
        <w:t>l’acquéreur sera tenu au paiement d’une amende d’un montant égal à 10 % du prix de cession mentionné dans l’acte.</w:t>
      </w:r>
    </w:p>
    <w:p w14:paraId="48BB4C77" w14:textId="0CECD400" w:rsidR="00820205" w:rsidRPr="00A847B7" w:rsidRDefault="00820205" w:rsidP="001F62F2">
      <w:pPr>
        <w:rPr>
          <w:rFonts w:cstheme="minorHAnsi"/>
        </w:rPr>
      </w:pPr>
      <w:r w:rsidRPr="00A847B7">
        <w:rPr>
          <w:rFonts w:cstheme="minorHAnsi"/>
        </w:rPr>
        <w:t>Dans l’hypothèse d’une fusion de sociétés, l’engagement de construction</w:t>
      </w:r>
      <w:r w:rsidR="00064FE0" w:rsidRPr="00A847B7">
        <w:rPr>
          <w:rFonts w:cstheme="minorHAnsi"/>
        </w:rPr>
        <w:t xml:space="preserve"> de l’acquéreur n’est pas rompu si la société absorbante s’engage, dans l’acte de fusion, à se substituer à la société absorbée pour le respect de cet engagement </w:t>
      </w:r>
      <w:r w:rsidR="00D402BD" w:rsidRPr="00A847B7">
        <w:rPr>
          <w:rFonts w:cstheme="minorHAnsi"/>
        </w:rPr>
        <w:t>d’achèvement des locaux dans le délai restant à courir.</w:t>
      </w:r>
    </w:p>
    <w:p w14:paraId="748DAD48" w14:textId="34EF9513" w:rsidR="00D402BD" w:rsidRPr="00A847B7" w:rsidRDefault="00D402BD" w:rsidP="001F62F2">
      <w:pPr>
        <w:rPr>
          <w:rFonts w:cstheme="minorHAnsi"/>
        </w:rPr>
      </w:pPr>
      <w:r w:rsidRPr="00A847B7">
        <w:rPr>
          <w:rFonts w:cstheme="minorHAnsi"/>
        </w:rPr>
        <w:t>En cas de non-respect de cet engagement</w:t>
      </w:r>
      <w:r w:rsidR="007D2C87" w:rsidRPr="00A847B7">
        <w:rPr>
          <w:rFonts w:cstheme="minorHAnsi"/>
        </w:rPr>
        <w:t>, la société absorbante s’expose, elle aussi, au paiement d’une amende d’un montant égal à 10 % du prix de cession mentionné dans l’acte</w:t>
      </w:r>
      <w:r w:rsidR="00B77CA0" w:rsidRPr="00A847B7">
        <w:rPr>
          <w:rFonts w:cstheme="minorHAnsi"/>
        </w:rPr>
        <w:t xml:space="preserve">. </w:t>
      </w:r>
    </w:p>
    <w:p w14:paraId="798B5B32" w14:textId="1CEDD0CC" w:rsidR="00C23278" w:rsidRPr="00A847B7" w:rsidRDefault="008F646C" w:rsidP="001C5AF6">
      <w:pPr>
        <w:rPr>
          <w:rFonts w:cstheme="minorHAnsi"/>
        </w:rPr>
      </w:pPr>
      <w:r w:rsidRPr="00A847B7">
        <w:rPr>
          <w:rFonts w:cstheme="minorHAnsi"/>
        </w:rPr>
        <w:t>En cas de manquement à l’obligation de cession dans le délai d’1 ou de 3 ans, l</w:t>
      </w:r>
      <w:r w:rsidR="009453FB" w:rsidRPr="00A847B7">
        <w:rPr>
          <w:rFonts w:cstheme="minorHAnsi"/>
        </w:rPr>
        <w:t xml:space="preserve">es collectivités territoriales, </w:t>
      </w:r>
      <w:r w:rsidR="00EA0031">
        <w:rPr>
          <w:rFonts w:cstheme="minorHAnsi"/>
        </w:rPr>
        <w:t xml:space="preserve">les </w:t>
      </w:r>
      <w:r w:rsidR="009453FB" w:rsidRPr="00A847B7">
        <w:rPr>
          <w:rFonts w:cstheme="minorHAnsi"/>
        </w:rPr>
        <w:t xml:space="preserve">établissements de coopération intercommunale compétents </w:t>
      </w:r>
      <w:r w:rsidR="00CA6C84" w:rsidRPr="00A847B7">
        <w:rPr>
          <w:rFonts w:cstheme="minorHAnsi"/>
        </w:rPr>
        <w:t xml:space="preserve">ou les </w:t>
      </w:r>
      <w:r w:rsidR="009453FB" w:rsidRPr="00A847B7">
        <w:rPr>
          <w:rFonts w:cstheme="minorHAnsi"/>
        </w:rPr>
        <w:t>établissement</w:t>
      </w:r>
      <w:r w:rsidR="00CA6C84" w:rsidRPr="00A847B7">
        <w:rPr>
          <w:rFonts w:cstheme="minorHAnsi"/>
        </w:rPr>
        <w:t>s</w:t>
      </w:r>
      <w:r w:rsidR="009453FB" w:rsidRPr="00A847B7">
        <w:rPr>
          <w:rFonts w:cstheme="minorHAnsi"/>
        </w:rPr>
        <w:t xml:space="preserve"> public</w:t>
      </w:r>
      <w:r w:rsidR="00CA6C84" w:rsidRPr="00A847B7">
        <w:rPr>
          <w:rFonts w:cstheme="minorHAnsi"/>
        </w:rPr>
        <w:t>s</w:t>
      </w:r>
      <w:r w:rsidR="009453FB" w:rsidRPr="00A847B7">
        <w:rPr>
          <w:rFonts w:cstheme="minorHAnsi"/>
        </w:rPr>
        <w:t xml:space="preserve"> foncier</w:t>
      </w:r>
      <w:r w:rsidR="00CA6C84" w:rsidRPr="00A847B7">
        <w:rPr>
          <w:rFonts w:cstheme="minorHAnsi"/>
        </w:rPr>
        <w:t>s qui achètent</w:t>
      </w:r>
      <w:r w:rsidR="003845D5" w:rsidRPr="00A847B7">
        <w:rPr>
          <w:rFonts w:cstheme="minorHAnsi"/>
        </w:rPr>
        <w:t xml:space="preserve"> des biens immobiliers</w:t>
      </w:r>
      <w:r w:rsidR="009453FB" w:rsidRPr="00A847B7">
        <w:rPr>
          <w:rFonts w:cstheme="minorHAnsi"/>
        </w:rPr>
        <w:t xml:space="preserve"> en vue de leur cession au profit d’un organisme en charge du logement social</w:t>
      </w:r>
      <w:r w:rsidRPr="00A847B7">
        <w:rPr>
          <w:rFonts w:cstheme="minorHAnsi"/>
        </w:rPr>
        <w:t xml:space="preserve"> devront </w:t>
      </w:r>
      <w:r w:rsidR="00C23278" w:rsidRPr="00A847B7">
        <w:rPr>
          <w:rFonts w:cstheme="minorHAnsi"/>
        </w:rPr>
        <w:t>reverser à l’Etat l’impôt dû sur la plus-value réalisée</w:t>
      </w:r>
      <w:r w:rsidR="00A0367E" w:rsidRPr="00A847B7">
        <w:rPr>
          <w:rFonts w:cstheme="minorHAnsi"/>
        </w:rPr>
        <w:t>.</w:t>
      </w:r>
    </w:p>
    <w:p w14:paraId="735C1933" w14:textId="3AE4F7E0" w:rsidR="00BF2BD6" w:rsidRPr="00A847B7" w:rsidRDefault="009B0689" w:rsidP="00EE0687">
      <w:pPr>
        <w:pStyle w:val="Paragraphedeliste"/>
        <w:numPr>
          <w:ilvl w:val="0"/>
          <w:numId w:val="15"/>
        </w:numPr>
      </w:pPr>
      <w:r w:rsidRPr="00A847B7">
        <w:rPr>
          <w:u w:val="single"/>
        </w:rPr>
        <w:t>Entrée en vigueur</w:t>
      </w:r>
    </w:p>
    <w:p w14:paraId="7D062C5B" w14:textId="33520BAF" w:rsidR="009B0689" w:rsidRPr="00A847B7" w:rsidRDefault="00335643" w:rsidP="009B0689">
      <w:r w:rsidRPr="00A847B7">
        <w:t>Ces nouveautés s’appliquent aux ventes réalisées à compter du 1</w:t>
      </w:r>
      <w:r w:rsidRPr="00A847B7">
        <w:rPr>
          <w:vertAlign w:val="superscript"/>
        </w:rPr>
        <w:t>er</w:t>
      </w:r>
      <w:r w:rsidRPr="00A847B7">
        <w:t xml:space="preserve"> janvier 2021, à l’exception de celles pour lesquelles le contribuable peut justifier d’un</w:t>
      </w:r>
      <w:r w:rsidR="00A05F42" w:rsidRPr="00A847B7">
        <w:t>e</w:t>
      </w:r>
      <w:r w:rsidRPr="00A847B7">
        <w:t xml:space="preserve"> promesse d’achat ou d</w:t>
      </w:r>
      <w:r w:rsidR="00D02AEC" w:rsidRPr="00A847B7">
        <w:t>e vente signée au plus tard le 31 décembre 2020</w:t>
      </w:r>
      <w:r w:rsidR="00E0723A" w:rsidRPr="00A847B7">
        <w:t> : dans cette hypothèse, l’ancien dispositif d’exonération reste applicable</w:t>
      </w:r>
      <w:r w:rsidR="00D02AEC" w:rsidRPr="00A847B7">
        <w:t>.</w:t>
      </w:r>
    </w:p>
    <w:p w14:paraId="26AB0054" w14:textId="62285EBC" w:rsidR="00071C33" w:rsidRPr="00A847B7" w:rsidRDefault="00071C33" w:rsidP="00EE0687">
      <w:pPr>
        <w:pStyle w:val="Paragraphedeliste"/>
        <w:numPr>
          <w:ilvl w:val="0"/>
          <w:numId w:val="1"/>
        </w:numPr>
      </w:pPr>
      <w:r w:rsidRPr="00A847B7">
        <w:rPr>
          <w:rFonts w:cstheme="minorHAnsi"/>
          <w:b/>
          <w:bCs/>
          <w:i/>
          <w:iCs/>
          <w:u w:val="single"/>
        </w:rPr>
        <w:lastRenderedPageBreak/>
        <w:t>Concernant l’exonération d’impôt applicable aux ventes</w:t>
      </w:r>
      <w:r w:rsidR="00C86FCA" w:rsidRPr="00A847B7">
        <w:rPr>
          <w:rFonts w:cstheme="minorHAnsi"/>
          <w:b/>
          <w:bCs/>
          <w:i/>
          <w:iCs/>
          <w:u w:val="single"/>
        </w:rPr>
        <w:t xml:space="preserve"> d’un droit de surélévation</w:t>
      </w:r>
    </w:p>
    <w:p w14:paraId="52610594" w14:textId="4CDDB733" w:rsidR="00071C33" w:rsidRPr="00A847B7" w:rsidRDefault="003438C0" w:rsidP="00BF2BD6">
      <w:r w:rsidRPr="00A847B7">
        <w:t>Il était prévu d’exonérer d’impôt l</w:t>
      </w:r>
      <w:r w:rsidR="00301B87" w:rsidRPr="00A847B7">
        <w:t xml:space="preserve">es plus-values résultant de la cession d’un droit de surélévation en vue de la réalisation de locaux destinés à l’habitation jusqu’au 31 décembre 2020, sous réserve que l'acquéreur s'engage à réaliser et à achever les locaux destinés exclusivement à l'habitation dans un délai de </w:t>
      </w:r>
      <w:r w:rsidR="006513E3">
        <w:t xml:space="preserve">4 </w:t>
      </w:r>
      <w:r w:rsidR="00301B87" w:rsidRPr="00A847B7">
        <w:t>ans à compter de la date de l'acquisition.</w:t>
      </w:r>
    </w:p>
    <w:p w14:paraId="02823DCE" w14:textId="2CF44ABD" w:rsidR="003438C0" w:rsidRPr="00A847B7" w:rsidRDefault="003438C0" w:rsidP="00BF2BD6">
      <w:r w:rsidRPr="00A847B7">
        <w:t>Ce dispositif est prolongé pour une durée de 2 ans et s’appli</w:t>
      </w:r>
      <w:r w:rsidR="008E65A4" w:rsidRPr="00A847B7">
        <w:t>quera donc jusqu’au 31 décembre 2022.</w:t>
      </w:r>
    </w:p>
    <w:p w14:paraId="5F861A96" w14:textId="505AD07B" w:rsidR="004D54A6" w:rsidRPr="00A847B7" w:rsidRDefault="007511E3" w:rsidP="00EE0687">
      <w:pPr>
        <w:pStyle w:val="Paragraphedeliste"/>
        <w:numPr>
          <w:ilvl w:val="0"/>
          <w:numId w:val="1"/>
        </w:numPr>
        <w:rPr>
          <w:b/>
          <w:bCs/>
          <w:i/>
          <w:iCs/>
          <w:u w:val="single"/>
        </w:rPr>
      </w:pPr>
      <w:r w:rsidRPr="00A847B7">
        <w:rPr>
          <w:b/>
          <w:bCs/>
          <w:i/>
          <w:iCs/>
          <w:u w:val="single"/>
        </w:rPr>
        <w:t>Création d’un abattement pour les plu</w:t>
      </w:r>
      <w:r w:rsidR="00692535" w:rsidRPr="00A847B7">
        <w:rPr>
          <w:b/>
          <w:bCs/>
          <w:i/>
          <w:iCs/>
          <w:u w:val="single"/>
        </w:rPr>
        <w:t xml:space="preserve">s-values </w:t>
      </w:r>
      <w:r w:rsidR="00F750F1" w:rsidRPr="00A847B7">
        <w:rPr>
          <w:b/>
          <w:bCs/>
          <w:i/>
          <w:iCs/>
          <w:u w:val="single"/>
        </w:rPr>
        <w:t>qui résultent de la vente</w:t>
      </w:r>
      <w:r w:rsidR="00692535" w:rsidRPr="00A847B7">
        <w:rPr>
          <w:b/>
          <w:bCs/>
          <w:i/>
          <w:iCs/>
          <w:u w:val="single"/>
        </w:rPr>
        <w:t xml:space="preserve"> de biens immobiliers bâtis situés dans les périmètres des grandes opérations d’urbanisme</w:t>
      </w:r>
    </w:p>
    <w:p w14:paraId="193446B9" w14:textId="3C25E03A" w:rsidR="008E65A4" w:rsidRPr="00A847B7" w:rsidRDefault="005A66E6" w:rsidP="00BF2BD6">
      <w:r w:rsidRPr="00A847B7">
        <w:t>La Loi de Finances pour 2021 vient créer un nouvel abattement pour le calcul de l’impôt sur les plus-values.</w:t>
      </w:r>
    </w:p>
    <w:p w14:paraId="1417F4CE" w14:textId="6F6FFD16" w:rsidR="005A66E6" w:rsidRPr="00A847B7" w:rsidRDefault="005A66E6" w:rsidP="00BF2BD6">
      <w:r w:rsidRPr="00A847B7">
        <w:t>Il s’applique aux gains réalisé</w:t>
      </w:r>
      <w:r w:rsidR="00AF6246" w:rsidRPr="00A847B7">
        <w:t xml:space="preserve">s à l’occasion de la vente de biens immobiliers bâtis, ou de droits relatifs à ces mêmes biens, situés pour tout ou partie de leur surface </w:t>
      </w:r>
      <w:r w:rsidR="00CB6FE4" w:rsidRPr="00A847B7">
        <w:t xml:space="preserve">dans les périmètres des grandes opérations d’urbanismes </w:t>
      </w:r>
      <w:r w:rsidR="0008429D" w:rsidRPr="00A847B7">
        <w:t xml:space="preserve">ou dans les périmètres </w:t>
      </w:r>
      <w:r w:rsidR="00331E26" w:rsidRPr="00A847B7">
        <w:t>délimités dans les conventions définissant le projet urbain</w:t>
      </w:r>
      <w:r w:rsidR="0058221E" w:rsidRPr="00A847B7">
        <w:t>,</w:t>
      </w:r>
      <w:r w:rsidR="00331E26" w:rsidRPr="00A847B7">
        <w:t xml:space="preserve"> économique</w:t>
      </w:r>
      <w:r w:rsidR="0058221E" w:rsidRPr="00A847B7">
        <w:t xml:space="preserve"> et social de revitalisation de certains territoires</w:t>
      </w:r>
      <w:r w:rsidR="00B97BD7" w:rsidRPr="00A847B7">
        <w:t>.</w:t>
      </w:r>
    </w:p>
    <w:p w14:paraId="364D1E58" w14:textId="626F42E9" w:rsidR="00B97BD7" w:rsidRPr="00A847B7" w:rsidRDefault="00B97BD7" w:rsidP="00BF2BD6">
      <w:r w:rsidRPr="00A847B7">
        <w:t>Pour pouvoir en bénéficier, les conditions suivantes doivent être remplies :</w:t>
      </w:r>
    </w:p>
    <w:p w14:paraId="44C7748D" w14:textId="79FD3FC0" w:rsidR="00635CE5" w:rsidRPr="00A847B7" w:rsidRDefault="00635CE5" w:rsidP="00EE0687">
      <w:pPr>
        <w:pStyle w:val="Paragraphedeliste"/>
        <w:numPr>
          <w:ilvl w:val="0"/>
          <w:numId w:val="19"/>
        </w:numPr>
      </w:pPr>
      <w:r w:rsidRPr="00A847B7">
        <w:t>la vente doit être précédée d’une promesse unilatérale</w:t>
      </w:r>
      <w:r w:rsidR="0099411E" w:rsidRPr="00A847B7">
        <w:t xml:space="preserve"> ou synallagmatique</w:t>
      </w:r>
      <w:r w:rsidRPr="00A847B7">
        <w:t xml:space="preserve"> de vente</w:t>
      </w:r>
      <w:r w:rsidR="0099411E" w:rsidRPr="00A847B7">
        <w:t>, signée et ayant acquis une date certaine à compter du 1</w:t>
      </w:r>
      <w:r w:rsidR="0099411E" w:rsidRPr="00A847B7">
        <w:rPr>
          <w:vertAlign w:val="superscript"/>
        </w:rPr>
        <w:t>er</w:t>
      </w:r>
      <w:r w:rsidR="0099411E" w:rsidRPr="00A847B7">
        <w:t xml:space="preserve"> janvier 2021 et au plus tard le 31 décembre 2023 ;</w:t>
      </w:r>
    </w:p>
    <w:p w14:paraId="7E484A28" w14:textId="75D812AC" w:rsidR="007D0048" w:rsidRPr="00A847B7" w:rsidRDefault="00DD4ABC" w:rsidP="00EE0687">
      <w:pPr>
        <w:pStyle w:val="Paragraphedeliste"/>
        <w:numPr>
          <w:ilvl w:val="0"/>
          <w:numId w:val="19"/>
        </w:numPr>
      </w:pPr>
      <w:r w:rsidRPr="00A847B7">
        <w:t>la vente doit être réalisée au plus tard le 31 décembre de la 2</w:t>
      </w:r>
      <w:r w:rsidRPr="00A847B7">
        <w:rPr>
          <w:vertAlign w:val="superscript"/>
        </w:rPr>
        <w:t>ème</w:t>
      </w:r>
      <w:r w:rsidRPr="00A847B7">
        <w:t xml:space="preserve"> année suivant celle au cours de laquelle la promesse de vente a acquis une date certaine (donc au plus tard le 31 décembre 2025)</w:t>
      </w:r>
      <w:r w:rsidR="007D0048" w:rsidRPr="00A847B7">
        <w:t> ;</w:t>
      </w:r>
    </w:p>
    <w:p w14:paraId="7D513D0D" w14:textId="1CA6209E" w:rsidR="007D0048" w:rsidRPr="00A847B7" w:rsidRDefault="007D0048" w:rsidP="00EE0687">
      <w:pPr>
        <w:pStyle w:val="Paragraphedeliste"/>
        <w:numPr>
          <w:ilvl w:val="0"/>
          <w:numId w:val="19"/>
        </w:numPr>
      </w:pPr>
      <w:r w:rsidRPr="00A847B7">
        <w:t xml:space="preserve">l’acquéreur doit s’engager, </w:t>
      </w:r>
      <w:r w:rsidR="00F045F9" w:rsidRPr="00A847B7">
        <w:t xml:space="preserve">par une mention intégrée dans l’acte authentique d’achat, à démolir la ou les constructions existantes, ainsi qu’à réaliser et à achever, dans un délai de 4 ans à compter de la date d’acquisition, </w:t>
      </w:r>
      <w:r w:rsidR="00EF43B6" w:rsidRPr="00A847B7">
        <w:t>un ou plusieurs bâtiments d’habitation collectifs dont le gabarit est au moins égal à 75 % du gabarit maximal autorisé</w:t>
      </w:r>
      <w:r w:rsidR="00915028" w:rsidRPr="00A847B7">
        <w:t xml:space="preserve"> tel qu’il résulte du plan local d’urbanisme (PLU) ou du document d’urbanisme en tenant lieu.</w:t>
      </w:r>
    </w:p>
    <w:p w14:paraId="7E4F9C3B" w14:textId="6D99221D" w:rsidR="007D0048" w:rsidRPr="00A847B7" w:rsidRDefault="000470F0" w:rsidP="00DD4ABC">
      <w:r w:rsidRPr="00A847B7">
        <w:t>Le taux de l’abattement est fixé à 70 %. Il peut être porté à 85 % si l’acheteur s’engage à construire des logement</w:t>
      </w:r>
      <w:r w:rsidR="000C577E" w:rsidRPr="00A847B7">
        <w:t xml:space="preserve">s sociaux ou intermédiaires dont la surface habitable représente au moins 50 % de la surface totale des constructions </w:t>
      </w:r>
      <w:r w:rsidR="003146CD" w:rsidRPr="00A847B7">
        <w:t>mentionnées sur le permis de construire du programme immobilier.</w:t>
      </w:r>
    </w:p>
    <w:p w14:paraId="26BEAD7F" w14:textId="2EFC5AEF" w:rsidR="003146CD" w:rsidRPr="00A847B7" w:rsidRDefault="003146CD" w:rsidP="00DD4ABC">
      <w:r w:rsidRPr="00A847B7">
        <w:t>Certaines cessions ne permettent pas de bénéficier de ce nouvel avantage fiscal. So</w:t>
      </w:r>
      <w:r w:rsidR="009A227A" w:rsidRPr="00A847B7">
        <w:t>nt concernées les ventes consenties :</w:t>
      </w:r>
    </w:p>
    <w:p w14:paraId="22396103" w14:textId="3CFD7080" w:rsidR="009A227A" w:rsidRPr="00A847B7" w:rsidRDefault="009A227A" w:rsidP="00EE0687">
      <w:pPr>
        <w:pStyle w:val="Paragraphedeliste"/>
        <w:numPr>
          <w:ilvl w:val="0"/>
          <w:numId w:val="20"/>
        </w:numPr>
      </w:pPr>
      <w:r w:rsidRPr="00A847B7">
        <w:t>à un particulier qui est le conjoint du vendeur, son partenaire lié</w:t>
      </w:r>
      <w:r w:rsidR="00C20B3C" w:rsidRPr="00A847B7">
        <w:t xml:space="preserve"> par un Pacs, son concubin notoire, ou un ascendant ou un descendant</w:t>
      </w:r>
      <w:r w:rsidR="00A06F13" w:rsidRPr="00A847B7">
        <w:t xml:space="preserve"> du vendeur ou de l’une de ces personnes ;</w:t>
      </w:r>
    </w:p>
    <w:p w14:paraId="61D1A96D" w14:textId="57113F6C" w:rsidR="00A06F13" w:rsidRPr="00A847B7" w:rsidRDefault="00A06F13" w:rsidP="00EE0687">
      <w:pPr>
        <w:pStyle w:val="Paragraphedeliste"/>
        <w:numPr>
          <w:ilvl w:val="0"/>
          <w:numId w:val="20"/>
        </w:numPr>
      </w:pPr>
      <w:r w:rsidRPr="00A847B7">
        <w:t>à une personne morale dont le vendeur, son conjoint, son partenaire lié par un Pacs</w:t>
      </w:r>
      <w:r w:rsidR="00C90D24" w:rsidRPr="00A847B7">
        <w:t xml:space="preserve">, son concubin notoire, ou un ascendant ou un descendant du vendeur ou de l’une de ces personnes, est </w:t>
      </w:r>
      <w:r w:rsidR="00B163FF" w:rsidRPr="00A847B7">
        <w:t>un associé, ou le devient à l’occasion de cette cession.</w:t>
      </w:r>
    </w:p>
    <w:p w14:paraId="6D72D9B1" w14:textId="218FF466" w:rsidR="00F750F1" w:rsidRPr="00A847B7" w:rsidRDefault="006B16D9" w:rsidP="00BF2BD6">
      <w:r w:rsidRPr="00A847B7">
        <w:t xml:space="preserve">En cas de manquement </w:t>
      </w:r>
      <w:r w:rsidR="000B08E9" w:rsidRPr="00A847B7">
        <w:t>aux engagements de démolition et de construction (y compris pour ceux portant sur la réalisation de logements sociaux ou intermédiaires)</w:t>
      </w:r>
      <w:r w:rsidR="00D811DC" w:rsidRPr="00A847B7">
        <w:t xml:space="preserve">, l’acquéreur s’expose au paiement d’une amende </w:t>
      </w:r>
      <w:r w:rsidR="00673C31" w:rsidRPr="00A847B7">
        <w:t>d’un montant égal à 10 % du prix de vente tel que mentionné dans l’acte.</w:t>
      </w:r>
    </w:p>
    <w:p w14:paraId="42214B43" w14:textId="77777777" w:rsidR="000B3A0E" w:rsidRPr="00A847B7" w:rsidRDefault="000B3A0E" w:rsidP="000B3A0E">
      <w:pPr>
        <w:rPr>
          <w:rFonts w:cstheme="minorHAnsi"/>
        </w:rPr>
      </w:pPr>
      <w:r w:rsidRPr="00A847B7">
        <w:rPr>
          <w:rFonts w:cstheme="minorHAnsi"/>
        </w:rPr>
        <w:t>Dans l’hypothèse d’une fusion de sociétés, l’engagement de construction de l’acquéreur n’est pas rompu si la société absorbante s’engage, dans l’acte de fusion, à se substituer à la société absorbée pour le respect de cet engagement d’achèvement des locaux dans le délai restant à courir.</w:t>
      </w:r>
    </w:p>
    <w:p w14:paraId="56DEE06C" w14:textId="77777777" w:rsidR="007118E4" w:rsidRPr="00A847B7" w:rsidRDefault="007118E4" w:rsidP="007118E4">
      <w:pPr>
        <w:rPr>
          <w:rFonts w:cstheme="minorHAnsi"/>
        </w:rPr>
      </w:pPr>
      <w:r w:rsidRPr="00A847B7">
        <w:rPr>
          <w:rFonts w:cstheme="minorHAnsi"/>
        </w:rPr>
        <w:lastRenderedPageBreak/>
        <w:t xml:space="preserve">En cas de non-respect de cet engagement, la société absorbante s’expose, elle aussi, au paiement d’une amende d’un montant égal à 10 % du prix de cession mentionné dans l’acte. </w:t>
      </w:r>
    </w:p>
    <w:p w14:paraId="2A9FAAA6" w14:textId="479FECA1" w:rsidR="00673C31" w:rsidRPr="00A847B7" w:rsidRDefault="00395376" w:rsidP="00BF2BD6">
      <w:r w:rsidRPr="00A847B7">
        <w:t>Notez enfin que cet abattement s’applique</w:t>
      </w:r>
      <w:r w:rsidR="00FF748F" w:rsidRPr="00A847B7">
        <w:t xml:space="preserve"> non seulement à la plus-value imposable à l’impôt sur le revenu, mais aussi à celle :</w:t>
      </w:r>
    </w:p>
    <w:p w14:paraId="070433D5" w14:textId="1E618A6B" w:rsidR="00FF748F" w:rsidRPr="00A847B7" w:rsidRDefault="00FF748F" w:rsidP="00EE0687">
      <w:pPr>
        <w:pStyle w:val="Paragraphedeliste"/>
        <w:numPr>
          <w:ilvl w:val="0"/>
          <w:numId w:val="21"/>
        </w:numPr>
      </w:pPr>
      <w:r w:rsidRPr="00A847B7">
        <w:t>soumise aux prélèvements sociaux ;</w:t>
      </w:r>
    </w:p>
    <w:p w14:paraId="1F07F2E1" w14:textId="29893473" w:rsidR="00FF748F" w:rsidRPr="00A847B7" w:rsidRDefault="007E2AC7" w:rsidP="00EE0687">
      <w:pPr>
        <w:pStyle w:val="Paragraphedeliste"/>
        <w:numPr>
          <w:ilvl w:val="0"/>
          <w:numId w:val="21"/>
        </w:numPr>
      </w:pPr>
      <w:r w:rsidRPr="00A847B7">
        <w:t>soumise à la surtaxe</w:t>
      </w:r>
      <w:r w:rsidR="003A5AC2" w:rsidRPr="00A847B7">
        <w:t xml:space="preserve"> applicable aux plus-values imposables d’un montant supérieur à 50 000 €.</w:t>
      </w:r>
    </w:p>
    <w:p w14:paraId="36718A61" w14:textId="77777777" w:rsidR="000B3A0E" w:rsidRPr="00A847B7" w:rsidRDefault="000B3A0E" w:rsidP="00BF2BD6"/>
    <w:p w14:paraId="6157BC2B" w14:textId="6945A5F0" w:rsidR="007B0F21" w:rsidRPr="00A847B7" w:rsidRDefault="007B0F21" w:rsidP="007B0F21">
      <w:pPr>
        <w:pStyle w:val="Titre3"/>
      </w:pPr>
      <w:bookmarkStart w:id="39" w:name="_Toc60780973"/>
      <w:r w:rsidRPr="00A847B7">
        <w:t xml:space="preserve">Slide </w:t>
      </w:r>
      <w:r w:rsidR="006E0D65">
        <w:t>23</w:t>
      </w:r>
      <w:r w:rsidRPr="00A847B7">
        <w:t> : Défiscalisation : dispositif Pinel</w:t>
      </w:r>
      <w:bookmarkEnd w:id="39"/>
    </w:p>
    <w:p w14:paraId="7DDA9CDA" w14:textId="3B0081E5" w:rsidR="007B0F21" w:rsidRPr="00A847B7" w:rsidRDefault="004F587E" w:rsidP="004F587E">
      <w:r w:rsidRPr="004F587E">
        <w:rPr>
          <w:u w:val="single"/>
        </w:rPr>
        <w:t xml:space="preserve">Source </w:t>
      </w:r>
      <w:r w:rsidRPr="00A847B7">
        <w:t>:</w:t>
      </w:r>
      <w:r w:rsidR="007B0F21" w:rsidRPr="00A847B7">
        <w:t xml:space="preserve"> Loi de Finances pour </w:t>
      </w:r>
      <w:r w:rsidR="007B0F21" w:rsidRPr="005E63F9">
        <w:t>2021, articles 168 et 169</w:t>
      </w:r>
    </w:p>
    <w:p w14:paraId="46C0523A" w14:textId="222DAB5F" w:rsidR="007B0F21" w:rsidRPr="00A847B7" w:rsidRDefault="007B0F21" w:rsidP="004F587E">
      <w:pPr>
        <w:spacing w:beforeAutospacing="1" w:after="100" w:afterAutospacing="1"/>
        <w:rPr>
          <w:rFonts w:cstheme="minorHAnsi"/>
        </w:rPr>
      </w:pPr>
      <w:r w:rsidRPr="00A847B7">
        <w:rPr>
          <w:rFonts w:cstheme="minorHAnsi"/>
        </w:rPr>
        <w:t xml:space="preserve">Si le contribuable achète un logement neuf ou fait construire un logement, directement ou par l’intermédiaire d’une SCI (non soumise à l’impôt sur les sociétés), jusqu'au 31 décembre 2021, il </w:t>
      </w:r>
      <w:r w:rsidR="00C82E6D">
        <w:rPr>
          <w:rFonts w:cstheme="minorHAnsi"/>
        </w:rPr>
        <w:t>peut</w:t>
      </w:r>
      <w:r w:rsidRPr="00A847B7">
        <w:rPr>
          <w:rFonts w:cstheme="minorHAnsi"/>
        </w:rPr>
        <w:t xml:space="preserve"> opter pour la réduction d’impôt « Pinel », dont le montant va varier selon les modalités choisies.</w:t>
      </w:r>
    </w:p>
    <w:p w14:paraId="5B1F5ECC" w14:textId="77777777" w:rsidR="007B0F21" w:rsidRPr="00A847B7" w:rsidRDefault="007B0F21" w:rsidP="007B0F21">
      <w:pPr>
        <w:spacing w:beforeAutospacing="1" w:after="100" w:afterAutospacing="1"/>
        <w:rPr>
          <w:rFonts w:cstheme="minorHAnsi"/>
        </w:rPr>
      </w:pPr>
      <w:r w:rsidRPr="00A847B7">
        <w:rPr>
          <w:rFonts w:cstheme="minorHAnsi"/>
        </w:rPr>
        <w:t>Cet avantage fiscal repose sur un engagement du contribuable de louer le logement acheté ou construit à un locataire qui en fera sa résidence principale. Cet engagement peut être d’une durée de 6 ans ou de 9 ans, ce qui aura pour conséquence que la réduction d’impôt sera de :</w:t>
      </w:r>
    </w:p>
    <w:p w14:paraId="5D84AF3E" w14:textId="77777777" w:rsidR="007B0F21" w:rsidRPr="00A847B7" w:rsidRDefault="007B0F21" w:rsidP="00EE0687">
      <w:pPr>
        <w:pStyle w:val="Paragraphedeliste"/>
        <w:numPr>
          <w:ilvl w:val="0"/>
          <w:numId w:val="52"/>
        </w:numPr>
        <w:spacing w:beforeAutospacing="1" w:after="100" w:afterAutospacing="1"/>
        <w:rPr>
          <w:rFonts w:cstheme="minorHAnsi"/>
        </w:rPr>
      </w:pPr>
      <w:r w:rsidRPr="00A847B7">
        <w:rPr>
          <w:rFonts w:cstheme="minorHAnsi"/>
        </w:rPr>
        <w:t>12 % (23 % pour un investissement immobilier en Outre-mer) si votre engagement de location est de 6 ans ;</w:t>
      </w:r>
    </w:p>
    <w:p w14:paraId="4643D662" w14:textId="77777777" w:rsidR="007B0F21" w:rsidRPr="00A847B7" w:rsidRDefault="007B0F21" w:rsidP="00EE0687">
      <w:pPr>
        <w:pStyle w:val="Paragraphedeliste"/>
        <w:numPr>
          <w:ilvl w:val="0"/>
          <w:numId w:val="52"/>
        </w:numPr>
        <w:spacing w:beforeAutospacing="1" w:after="100" w:afterAutospacing="1"/>
        <w:rPr>
          <w:rFonts w:cstheme="minorHAnsi"/>
        </w:rPr>
      </w:pPr>
      <w:r w:rsidRPr="00A847B7">
        <w:rPr>
          <w:rFonts w:cstheme="minorHAnsi"/>
        </w:rPr>
        <w:t>18 % (29 % pour un investissement immobilier en Outre-mer) si votre engagement de location est de 9 ans.</w:t>
      </w:r>
    </w:p>
    <w:p w14:paraId="338446EB" w14:textId="77777777" w:rsidR="007B0F21" w:rsidRPr="00A847B7" w:rsidRDefault="007B0F21" w:rsidP="007B0F21">
      <w:pPr>
        <w:spacing w:beforeAutospacing="1" w:after="100" w:afterAutospacing="1"/>
        <w:rPr>
          <w:rFonts w:cstheme="minorHAnsi"/>
        </w:rPr>
      </w:pPr>
      <w:r w:rsidRPr="00A847B7">
        <w:rPr>
          <w:rFonts w:cstheme="minorHAnsi"/>
        </w:rPr>
        <w:t>Il est possible de proroger l’engagement de location pour une durée de 3 ans renouvelable une fois (si l’engagement initial est de 6 ans) ou de 3 ans non renouvelable (si l’engagement initial est de 9 ans), ce qui porte la durée maximale possible de l’engagement à 12 ans. Cette prorogation aura pour effet de proroger l’application de la réduction qui sera ainsi égale à :</w:t>
      </w:r>
    </w:p>
    <w:p w14:paraId="74A16CA0" w14:textId="77777777" w:rsidR="007B0F21" w:rsidRPr="00A847B7" w:rsidRDefault="007B0F21" w:rsidP="00EE0687">
      <w:pPr>
        <w:pStyle w:val="Paragraphedeliste"/>
        <w:numPr>
          <w:ilvl w:val="0"/>
          <w:numId w:val="53"/>
        </w:numPr>
        <w:spacing w:beforeAutospacing="1" w:after="100" w:afterAutospacing="1"/>
        <w:rPr>
          <w:rFonts w:cstheme="minorHAnsi"/>
        </w:rPr>
      </w:pPr>
      <w:r w:rsidRPr="00A847B7">
        <w:rPr>
          <w:rFonts w:cstheme="minorHAnsi"/>
        </w:rPr>
        <w:t>6 % pour la première période triennale et 3 % pour la seconde période triennale (en cas d’engagement initial de 6 ans) ;</w:t>
      </w:r>
    </w:p>
    <w:p w14:paraId="6FD12C5C" w14:textId="77777777" w:rsidR="007B0F21" w:rsidRPr="00A847B7" w:rsidRDefault="007B0F21" w:rsidP="00EE0687">
      <w:pPr>
        <w:pStyle w:val="Paragraphedeliste"/>
        <w:numPr>
          <w:ilvl w:val="0"/>
          <w:numId w:val="53"/>
        </w:numPr>
        <w:spacing w:beforeAutospacing="1" w:after="100" w:afterAutospacing="1"/>
        <w:rPr>
          <w:rFonts w:cstheme="minorHAnsi"/>
        </w:rPr>
      </w:pPr>
      <w:r w:rsidRPr="00A847B7">
        <w:rPr>
          <w:rFonts w:cstheme="minorHAnsi"/>
        </w:rPr>
        <w:t>3 % pour la période triennale (en cas d’engagement initial de 9 ans).</w:t>
      </w:r>
    </w:p>
    <w:p w14:paraId="469FB78A" w14:textId="77777777" w:rsidR="007B0F21" w:rsidRPr="00A847B7" w:rsidRDefault="007B0F21" w:rsidP="007B0F21">
      <w:pPr>
        <w:spacing w:beforeAutospacing="1" w:after="100" w:afterAutospacing="1"/>
        <w:rPr>
          <w:rFonts w:cstheme="minorHAnsi"/>
        </w:rPr>
      </w:pPr>
      <w:r w:rsidRPr="00A847B7">
        <w:rPr>
          <w:rFonts w:cstheme="minorHAnsi"/>
        </w:rPr>
        <w:t>La réduction d’impôt sera répartie sur 6, 9 ou 12 ans. Elle se calcule en appliquant au montant de l’investissement, retenu dans la limite de 300 000 €, le taux correspondant. Le taux maximal est de 21 % (32 % pour un investissement immobilier en Outre-mer) si l’engagement de location est de 12 ans, ce qui fait une réduction d’impôt totale maximale de 63 000 €.</w:t>
      </w:r>
    </w:p>
    <w:p w14:paraId="7850F52F" w14:textId="77777777" w:rsidR="007B0F21" w:rsidRPr="00A847B7" w:rsidRDefault="007B0F21" w:rsidP="007B0F21">
      <w:pPr>
        <w:spacing w:beforeAutospacing="1" w:after="100" w:afterAutospacing="1"/>
        <w:rPr>
          <w:rFonts w:cstheme="minorHAnsi"/>
        </w:rPr>
      </w:pPr>
      <w:r w:rsidRPr="00A847B7">
        <w:rPr>
          <w:rFonts w:cstheme="minorHAnsi"/>
        </w:rPr>
        <w:t>La Loi de Finances pour 2021 proroge cette réduction d’impôt pour une durée de 3 ans, soit jusqu’au 31 décembre 2024.</w:t>
      </w:r>
    </w:p>
    <w:p w14:paraId="1736AC40" w14:textId="77777777" w:rsidR="004F587E" w:rsidRDefault="004F587E" w:rsidP="007B0F21">
      <w:pPr>
        <w:spacing w:beforeAutospacing="1" w:after="100" w:afterAutospacing="1"/>
        <w:rPr>
          <w:rFonts w:cstheme="minorHAnsi"/>
        </w:rPr>
      </w:pPr>
    </w:p>
    <w:p w14:paraId="2BAB04CE" w14:textId="77777777" w:rsidR="004F587E" w:rsidRDefault="004F587E" w:rsidP="007B0F21">
      <w:pPr>
        <w:spacing w:beforeAutospacing="1" w:after="100" w:afterAutospacing="1"/>
        <w:rPr>
          <w:rFonts w:cstheme="minorHAnsi"/>
        </w:rPr>
      </w:pPr>
    </w:p>
    <w:p w14:paraId="10804BA2" w14:textId="7734E6CD" w:rsidR="004F587E" w:rsidRPr="00A847B7" w:rsidRDefault="007B0F21" w:rsidP="007B0F21">
      <w:pPr>
        <w:spacing w:beforeAutospacing="1" w:after="100" w:afterAutospacing="1"/>
        <w:rPr>
          <w:rFonts w:cstheme="minorHAnsi"/>
        </w:rPr>
      </w:pPr>
      <w:r w:rsidRPr="00A847B7">
        <w:rPr>
          <w:rFonts w:cstheme="minorHAnsi"/>
        </w:rPr>
        <w:lastRenderedPageBreak/>
        <w:t xml:space="preserve">Cette prolongation s’accompagne d’une baisse progressive des taux de la réduction d’impôt pour 2023 et 2024 : </w:t>
      </w:r>
    </w:p>
    <w:tbl>
      <w:tblPr>
        <w:tblStyle w:val="Grilledutableau"/>
        <w:tblW w:w="0" w:type="auto"/>
        <w:tblLook w:val="04A0" w:firstRow="1" w:lastRow="0" w:firstColumn="1" w:lastColumn="0" w:noHBand="0" w:noVBand="1"/>
      </w:tblPr>
      <w:tblGrid>
        <w:gridCol w:w="1494"/>
        <w:gridCol w:w="1481"/>
        <w:gridCol w:w="1514"/>
        <w:gridCol w:w="1526"/>
        <w:gridCol w:w="1526"/>
        <w:gridCol w:w="1521"/>
      </w:tblGrid>
      <w:tr w:rsidR="001B3BFF" w:rsidRPr="00A847B7" w14:paraId="79E6DAE2" w14:textId="77777777" w:rsidTr="003B6862">
        <w:tc>
          <w:tcPr>
            <w:tcW w:w="9062" w:type="dxa"/>
            <w:gridSpan w:val="6"/>
            <w:shd w:val="clear" w:color="auto" w:fill="297FD5" w:themeFill="accent3"/>
          </w:tcPr>
          <w:p w14:paraId="3F3BF305" w14:textId="77777777" w:rsidR="001B3BFF" w:rsidRPr="00A847B7" w:rsidRDefault="001B3BFF" w:rsidP="00F836B4">
            <w:pPr>
              <w:spacing w:beforeAutospacing="1" w:after="100" w:afterAutospacing="1"/>
              <w:jc w:val="center"/>
              <w:rPr>
                <w:rFonts w:cstheme="minorHAnsi"/>
                <w:b/>
                <w:bCs/>
                <w:color w:val="FFFFFF" w:themeColor="background1"/>
                <w:sz w:val="22"/>
                <w:szCs w:val="22"/>
              </w:rPr>
            </w:pPr>
            <w:r w:rsidRPr="00A847B7">
              <w:rPr>
                <w:rFonts w:cstheme="minorHAnsi"/>
                <w:b/>
                <w:bCs/>
                <w:color w:val="FFFFFF" w:themeColor="background1"/>
                <w:sz w:val="22"/>
                <w:szCs w:val="22"/>
              </w:rPr>
              <w:t>Taux de la réduction d’impôt</w:t>
            </w:r>
          </w:p>
        </w:tc>
      </w:tr>
      <w:tr w:rsidR="007B0F21" w:rsidRPr="00A847B7" w14:paraId="09E3B305" w14:textId="77777777" w:rsidTr="00F836B4">
        <w:tc>
          <w:tcPr>
            <w:tcW w:w="1494" w:type="dxa"/>
            <w:shd w:val="clear" w:color="auto" w:fill="297FD5" w:themeFill="accent3"/>
          </w:tcPr>
          <w:p w14:paraId="286808AA" w14:textId="77777777" w:rsidR="007B0F21" w:rsidRPr="00A847B7" w:rsidRDefault="007B0F21" w:rsidP="00F836B4">
            <w:pPr>
              <w:spacing w:beforeAutospacing="1" w:after="100" w:afterAutospacing="1"/>
              <w:jc w:val="center"/>
              <w:rPr>
                <w:rFonts w:cstheme="minorHAnsi"/>
                <w:b/>
                <w:bCs/>
                <w:color w:val="FFFFFF" w:themeColor="background1"/>
                <w:sz w:val="22"/>
                <w:szCs w:val="22"/>
              </w:rPr>
            </w:pPr>
            <w:r w:rsidRPr="00A847B7">
              <w:rPr>
                <w:rFonts w:cstheme="minorHAnsi"/>
                <w:b/>
                <w:bCs/>
                <w:color w:val="FFFFFF" w:themeColor="background1"/>
                <w:sz w:val="22"/>
                <w:szCs w:val="22"/>
              </w:rPr>
              <w:t>Durée de l’engagement de location</w:t>
            </w:r>
          </w:p>
        </w:tc>
        <w:tc>
          <w:tcPr>
            <w:tcW w:w="1481" w:type="dxa"/>
            <w:shd w:val="clear" w:color="auto" w:fill="297FD5" w:themeFill="accent3"/>
          </w:tcPr>
          <w:p w14:paraId="3A211F46" w14:textId="77777777" w:rsidR="007B0F21" w:rsidRPr="00A847B7" w:rsidRDefault="007B0F21" w:rsidP="00F836B4">
            <w:pPr>
              <w:spacing w:beforeAutospacing="1" w:after="100" w:afterAutospacing="1"/>
              <w:jc w:val="center"/>
              <w:rPr>
                <w:rFonts w:cstheme="minorHAnsi"/>
                <w:b/>
                <w:bCs/>
                <w:color w:val="FFFFFF" w:themeColor="background1"/>
                <w:sz w:val="22"/>
                <w:szCs w:val="22"/>
              </w:rPr>
            </w:pPr>
            <w:r w:rsidRPr="00A847B7">
              <w:rPr>
                <w:rFonts w:cstheme="minorHAnsi"/>
                <w:b/>
                <w:bCs/>
                <w:color w:val="FFFFFF" w:themeColor="background1"/>
                <w:sz w:val="22"/>
                <w:szCs w:val="22"/>
              </w:rPr>
              <w:t>Durée de la prorogation de l’engagement de location</w:t>
            </w:r>
          </w:p>
        </w:tc>
        <w:tc>
          <w:tcPr>
            <w:tcW w:w="1514" w:type="dxa"/>
            <w:shd w:val="clear" w:color="auto" w:fill="297FD5" w:themeFill="accent3"/>
          </w:tcPr>
          <w:p w14:paraId="23B99F24" w14:textId="77777777" w:rsidR="007B0F21" w:rsidRPr="00A847B7" w:rsidRDefault="007B0F21" w:rsidP="00F836B4">
            <w:pPr>
              <w:spacing w:beforeAutospacing="1" w:after="100" w:afterAutospacing="1"/>
              <w:jc w:val="center"/>
              <w:rPr>
                <w:rFonts w:cstheme="minorHAnsi"/>
                <w:b/>
                <w:bCs/>
                <w:color w:val="FFFFFF" w:themeColor="background1"/>
                <w:sz w:val="22"/>
                <w:szCs w:val="22"/>
              </w:rPr>
            </w:pPr>
            <w:r w:rsidRPr="00A847B7">
              <w:rPr>
                <w:rFonts w:cstheme="minorHAnsi"/>
                <w:b/>
                <w:bCs/>
                <w:color w:val="FFFFFF" w:themeColor="background1"/>
                <w:sz w:val="22"/>
                <w:szCs w:val="22"/>
              </w:rPr>
              <w:t>2021</w:t>
            </w:r>
          </w:p>
        </w:tc>
        <w:tc>
          <w:tcPr>
            <w:tcW w:w="1526" w:type="dxa"/>
            <w:shd w:val="clear" w:color="auto" w:fill="297FD5" w:themeFill="accent3"/>
          </w:tcPr>
          <w:p w14:paraId="231AF256" w14:textId="77777777" w:rsidR="007B0F21" w:rsidRPr="00A847B7" w:rsidRDefault="007B0F21" w:rsidP="00F836B4">
            <w:pPr>
              <w:spacing w:beforeAutospacing="1" w:after="100" w:afterAutospacing="1"/>
              <w:jc w:val="center"/>
              <w:rPr>
                <w:rFonts w:cstheme="minorHAnsi"/>
                <w:b/>
                <w:bCs/>
                <w:color w:val="FFFFFF" w:themeColor="background1"/>
                <w:sz w:val="22"/>
                <w:szCs w:val="22"/>
              </w:rPr>
            </w:pPr>
            <w:r w:rsidRPr="00A847B7">
              <w:rPr>
                <w:rFonts w:cstheme="minorHAnsi"/>
                <w:b/>
                <w:bCs/>
                <w:color w:val="FFFFFF" w:themeColor="background1"/>
                <w:sz w:val="22"/>
                <w:szCs w:val="22"/>
              </w:rPr>
              <w:t>2022</w:t>
            </w:r>
          </w:p>
        </w:tc>
        <w:tc>
          <w:tcPr>
            <w:tcW w:w="1526" w:type="dxa"/>
            <w:shd w:val="clear" w:color="auto" w:fill="297FD5" w:themeFill="accent3"/>
          </w:tcPr>
          <w:p w14:paraId="5BCF80F1" w14:textId="77777777" w:rsidR="007B0F21" w:rsidRPr="00A847B7" w:rsidRDefault="007B0F21" w:rsidP="00F836B4">
            <w:pPr>
              <w:spacing w:beforeAutospacing="1" w:after="100" w:afterAutospacing="1"/>
              <w:jc w:val="center"/>
              <w:rPr>
                <w:rFonts w:cstheme="minorHAnsi"/>
                <w:b/>
                <w:bCs/>
                <w:color w:val="FFFFFF" w:themeColor="background1"/>
                <w:sz w:val="22"/>
                <w:szCs w:val="22"/>
              </w:rPr>
            </w:pPr>
            <w:r w:rsidRPr="00A847B7">
              <w:rPr>
                <w:rFonts w:cstheme="minorHAnsi"/>
                <w:b/>
                <w:bCs/>
                <w:color w:val="FFFFFF" w:themeColor="background1"/>
                <w:sz w:val="22"/>
                <w:szCs w:val="22"/>
              </w:rPr>
              <w:t>2023</w:t>
            </w:r>
          </w:p>
        </w:tc>
        <w:tc>
          <w:tcPr>
            <w:tcW w:w="1521" w:type="dxa"/>
            <w:shd w:val="clear" w:color="auto" w:fill="297FD5" w:themeFill="accent3"/>
          </w:tcPr>
          <w:p w14:paraId="42928421" w14:textId="77777777" w:rsidR="007B0F21" w:rsidRPr="00A847B7" w:rsidRDefault="007B0F21" w:rsidP="00F836B4">
            <w:pPr>
              <w:spacing w:beforeAutospacing="1" w:after="100" w:afterAutospacing="1"/>
              <w:jc w:val="center"/>
              <w:rPr>
                <w:rFonts w:cstheme="minorHAnsi"/>
                <w:b/>
                <w:bCs/>
                <w:color w:val="FFFFFF" w:themeColor="background1"/>
                <w:sz w:val="22"/>
                <w:szCs w:val="22"/>
              </w:rPr>
            </w:pPr>
            <w:r w:rsidRPr="00A847B7">
              <w:rPr>
                <w:rFonts w:cstheme="minorHAnsi"/>
                <w:b/>
                <w:bCs/>
                <w:color w:val="FFFFFF" w:themeColor="background1"/>
                <w:sz w:val="22"/>
                <w:szCs w:val="22"/>
              </w:rPr>
              <w:t>2024</w:t>
            </w:r>
          </w:p>
        </w:tc>
      </w:tr>
      <w:tr w:rsidR="007B0F21" w:rsidRPr="00A847B7" w14:paraId="399A82AF" w14:textId="77777777" w:rsidTr="00F836B4">
        <w:tc>
          <w:tcPr>
            <w:tcW w:w="1494" w:type="dxa"/>
          </w:tcPr>
          <w:p w14:paraId="7F576FCC" w14:textId="77777777" w:rsidR="007B0F21" w:rsidRPr="00A847B7" w:rsidRDefault="007B0F21" w:rsidP="00F836B4">
            <w:pPr>
              <w:spacing w:beforeAutospacing="1" w:after="100" w:afterAutospacing="1"/>
              <w:jc w:val="center"/>
              <w:rPr>
                <w:rFonts w:cstheme="minorHAnsi"/>
                <w:b/>
                <w:bCs/>
              </w:rPr>
            </w:pPr>
            <w:r w:rsidRPr="00A847B7">
              <w:rPr>
                <w:rFonts w:cstheme="minorHAnsi"/>
                <w:b/>
                <w:bCs/>
              </w:rPr>
              <w:t>6 ans</w:t>
            </w:r>
          </w:p>
        </w:tc>
        <w:tc>
          <w:tcPr>
            <w:tcW w:w="1481" w:type="dxa"/>
          </w:tcPr>
          <w:p w14:paraId="5868F306" w14:textId="77777777" w:rsidR="007B0F21" w:rsidRPr="00A847B7" w:rsidRDefault="007B0F21" w:rsidP="00F836B4">
            <w:pPr>
              <w:spacing w:beforeAutospacing="1" w:after="100" w:afterAutospacing="1"/>
              <w:rPr>
                <w:rFonts w:cstheme="minorHAnsi"/>
              </w:rPr>
            </w:pPr>
          </w:p>
        </w:tc>
        <w:tc>
          <w:tcPr>
            <w:tcW w:w="1514" w:type="dxa"/>
          </w:tcPr>
          <w:p w14:paraId="4D400838" w14:textId="2D6E7F53" w:rsidR="007B0F21" w:rsidRPr="00A847B7" w:rsidRDefault="007B0F21" w:rsidP="00F836B4">
            <w:pPr>
              <w:spacing w:beforeAutospacing="1" w:after="100" w:afterAutospacing="1"/>
              <w:rPr>
                <w:rFonts w:cstheme="minorHAnsi"/>
              </w:rPr>
            </w:pPr>
            <w:r w:rsidRPr="00A847B7">
              <w:rPr>
                <w:rFonts w:cstheme="minorHAnsi"/>
              </w:rPr>
              <w:t xml:space="preserve">12 % (23 % pour les investissements en </w:t>
            </w:r>
            <w:proofErr w:type="spellStart"/>
            <w:r>
              <w:rPr>
                <w:rFonts w:cstheme="minorHAnsi"/>
              </w:rPr>
              <w:t>O</w:t>
            </w:r>
            <w:r w:rsidRPr="00A847B7">
              <w:rPr>
                <w:rFonts w:cstheme="minorHAnsi"/>
              </w:rPr>
              <w:t>utre mer</w:t>
            </w:r>
            <w:proofErr w:type="spellEnd"/>
            <w:r w:rsidRPr="00A847B7">
              <w:rPr>
                <w:rFonts w:cstheme="minorHAnsi"/>
              </w:rPr>
              <w:t>)</w:t>
            </w:r>
          </w:p>
        </w:tc>
        <w:tc>
          <w:tcPr>
            <w:tcW w:w="1526" w:type="dxa"/>
          </w:tcPr>
          <w:p w14:paraId="2C881A6C" w14:textId="03175505" w:rsidR="007B0F21" w:rsidRPr="00A847B7" w:rsidRDefault="007B0F21" w:rsidP="00F836B4">
            <w:pPr>
              <w:spacing w:beforeAutospacing="1" w:after="100" w:afterAutospacing="1"/>
              <w:rPr>
                <w:rFonts w:cstheme="minorHAnsi"/>
              </w:rPr>
            </w:pPr>
            <w:r w:rsidRPr="00A847B7">
              <w:rPr>
                <w:rFonts w:cstheme="minorHAnsi"/>
              </w:rPr>
              <w:t xml:space="preserve">12 % (23 % pour les investissements en </w:t>
            </w:r>
            <w:proofErr w:type="spellStart"/>
            <w:r>
              <w:rPr>
                <w:rFonts w:cstheme="minorHAnsi"/>
              </w:rPr>
              <w:t>O</w:t>
            </w:r>
            <w:r w:rsidRPr="00A847B7">
              <w:rPr>
                <w:rFonts w:cstheme="minorHAnsi"/>
              </w:rPr>
              <w:t>utre mer</w:t>
            </w:r>
            <w:proofErr w:type="spellEnd"/>
            <w:r w:rsidRPr="00A847B7">
              <w:rPr>
                <w:rFonts w:cstheme="minorHAnsi"/>
              </w:rPr>
              <w:t>)</w:t>
            </w:r>
          </w:p>
        </w:tc>
        <w:tc>
          <w:tcPr>
            <w:tcW w:w="1526" w:type="dxa"/>
          </w:tcPr>
          <w:p w14:paraId="7C6A5F0C" w14:textId="31254755" w:rsidR="007B0F21" w:rsidRPr="00A847B7" w:rsidRDefault="007B0F21" w:rsidP="00F836B4">
            <w:pPr>
              <w:spacing w:beforeAutospacing="1" w:after="100" w:afterAutospacing="1"/>
              <w:rPr>
                <w:rFonts w:cstheme="minorHAnsi"/>
              </w:rPr>
            </w:pPr>
            <w:r w:rsidRPr="00A847B7">
              <w:rPr>
                <w:rFonts w:cstheme="minorHAnsi"/>
              </w:rPr>
              <w:t xml:space="preserve">10,5 % (21,5 % pour les investissements en </w:t>
            </w:r>
            <w:proofErr w:type="spellStart"/>
            <w:r>
              <w:rPr>
                <w:rFonts w:cstheme="minorHAnsi"/>
              </w:rPr>
              <w:t>O</w:t>
            </w:r>
            <w:r w:rsidRPr="00A847B7">
              <w:rPr>
                <w:rFonts w:cstheme="minorHAnsi"/>
              </w:rPr>
              <w:t>utre mer</w:t>
            </w:r>
            <w:proofErr w:type="spellEnd"/>
            <w:r w:rsidRPr="00A847B7">
              <w:rPr>
                <w:rFonts w:cstheme="minorHAnsi"/>
              </w:rPr>
              <w:t>)</w:t>
            </w:r>
          </w:p>
        </w:tc>
        <w:tc>
          <w:tcPr>
            <w:tcW w:w="1521" w:type="dxa"/>
          </w:tcPr>
          <w:p w14:paraId="17CD49F2" w14:textId="77777777" w:rsidR="007B0F21" w:rsidRPr="00A847B7" w:rsidRDefault="007B0F21" w:rsidP="00F836B4">
            <w:pPr>
              <w:spacing w:beforeAutospacing="1" w:after="100" w:afterAutospacing="1"/>
              <w:rPr>
                <w:rFonts w:cstheme="minorHAnsi"/>
              </w:rPr>
            </w:pPr>
            <w:r w:rsidRPr="00A847B7">
              <w:rPr>
                <w:rFonts w:cstheme="minorHAnsi"/>
              </w:rPr>
              <w:t xml:space="preserve">9 % (20 % pour les investissements en </w:t>
            </w:r>
            <w:proofErr w:type="spellStart"/>
            <w:r w:rsidRPr="00A847B7">
              <w:rPr>
                <w:rFonts w:cstheme="minorHAnsi"/>
              </w:rPr>
              <w:t>outre mer</w:t>
            </w:r>
            <w:proofErr w:type="spellEnd"/>
            <w:r w:rsidRPr="00A847B7">
              <w:rPr>
                <w:rFonts w:cstheme="minorHAnsi"/>
              </w:rPr>
              <w:t>)</w:t>
            </w:r>
          </w:p>
        </w:tc>
      </w:tr>
      <w:tr w:rsidR="007B0F21" w:rsidRPr="00A847B7" w14:paraId="1DC4D285" w14:textId="77777777" w:rsidTr="00F836B4">
        <w:tc>
          <w:tcPr>
            <w:tcW w:w="1494" w:type="dxa"/>
          </w:tcPr>
          <w:p w14:paraId="77944F22" w14:textId="77777777" w:rsidR="007B0F21" w:rsidRPr="00A847B7" w:rsidRDefault="007B0F21" w:rsidP="00F836B4">
            <w:pPr>
              <w:spacing w:beforeAutospacing="1" w:after="100" w:afterAutospacing="1"/>
              <w:jc w:val="center"/>
              <w:rPr>
                <w:rFonts w:cstheme="minorHAnsi"/>
                <w:b/>
                <w:bCs/>
              </w:rPr>
            </w:pPr>
          </w:p>
        </w:tc>
        <w:tc>
          <w:tcPr>
            <w:tcW w:w="1481" w:type="dxa"/>
          </w:tcPr>
          <w:p w14:paraId="0FACCA35" w14:textId="77777777" w:rsidR="007B0F21" w:rsidRPr="00A847B7" w:rsidRDefault="007B0F21" w:rsidP="00F836B4">
            <w:pPr>
              <w:spacing w:beforeAutospacing="1" w:after="100" w:afterAutospacing="1"/>
              <w:jc w:val="center"/>
              <w:rPr>
                <w:rFonts w:cstheme="minorHAnsi"/>
              </w:rPr>
            </w:pPr>
            <w:r w:rsidRPr="00A847B7">
              <w:rPr>
                <w:rFonts w:cstheme="minorHAnsi"/>
              </w:rPr>
              <w:t>1</w:t>
            </w:r>
            <w:r w:rsidRPr="00A847B7">
              <w:rPr>
                <w:rFonts w:cstheme="minorHAnsi"/>
                <w:vertAlign w:val="superscript"/>
              </w:rPr>
              <w:t>ère</w:t>
            </w:r>
            <w:r w:rsidRPr="00A847B7">
              <w:rPr>
                <w:rFonts w:cstheme="minorHAnsi"/>
              </w:rPr>
              <w:t xml:space="preserve"> prorogation triennale</w:t>
            </w:r>
          </w:p>
        </w:tc>
        <w:tc>
          <w:tcPr>
            <w:tcW w:w="1514" w:type="dxa"/>
          </w:tcPr>
          <w:p w14:paraId="72D61AA8" w14:textId="77777777" w:rsidR="007B0F21" w:rsidRPr="00A847B7" w:rsidRDefault="007B0F21" w:rsidP="00F836B4">
            <w:pPr>
              <w:spacing w:beforeAutospacing="1" w:after="100" w:afterAutospacing="1"/>
              <w:rPr>
                <w:rFonts w:cstheme="minorHAnsi"/>
              </w:rPr>
            </w:pPr>
            <w:r w:rsidRPr="00A847B7">
              <w:rPr>
                <w:rFonts w:cstheme="minorHAnsi"/>
              </w:rPr>
              <w:t>6 %</w:t>
            </w:r>
          </w:p>
        </w:tc>
        <w:tc>
          <w:tcPr>
            <w:tcW w:w="1526" w:type="dxa"/>
          </w:tcPr>
          <w:p w14:paraId="1AC9A335" w14:textId="77777777" w:rsidR="007B0F21" w:rsidRPr="00A847B7" w:rsidRDefault="007B0F21" w:rsidP="00F836B4">
            <w:pPr>
              <w:spacing w:beforeAutospacing="1" w:after="100" w:afterAutospacing="1"/>
              <w:rPr>
                <w:rFonts w:cstheme="minorHAnsi"/>
              </w:rPr>
            </w:pPr>
            <w:r w:rsidRPr="00A847B7">
              <w:rPr>
                <w:rFonts w:cstheme="minorHAnsi"/>
              </w:rPr>
              <w:t>6 %</w:t>
            </w:r>
          </w:p>
        </w:tc>
        <w:tc>
          <w:tcPr>
            <w:tcW w:w="1526" w:type="dxa"/>
          </w:tcPr>
          <w:p w14:paraId="4486EB9D" w14:textId="77777777" w:rsidR="007B0F21" w:rsidRPr="00A847B7" w:rsidRDefault="007B0F21" w:rsidP="00F836B4">
            <w:pPr>
              <w:spacing w:beforeAutospacing="1" w:after="100" w:afterAutospacing="1"/>
              <w:rPr>
                <w:rFonts w:cstheme="minorHAnsi"/>
              </w:rPr>
            </w:pPr>
            <w:r w:rsidRPr="00A847B7">
              <w:rPr>
                <w:rFonts w:cstheme="minorHAnsi"/>
              </w:rPr>
              <w:t>4,5 %</w:t>
            </w:r>
          </w:p>
        </w:tc>
        <w:tc>
          <w:tcPr>
            <w:tcW w:w="1521" w:type="dxa"/>
          </w:tcPr>
          <w:p w14:paraId="0709CB31" w14:textId="77777777" w:rsidR="007B0F21" w:rsidRPr="00A847B7" w:rsidRDefault="007B0F21" w:rsidP="00F836B4">
            <w:pPr>
              <w:spacing w:beforeAutospacing="1" w:after="100" w:afterAutospacing="1"/>
              <w:rPr>
                <w:rFonts w:cstheme="minorHAnsi"/>
              </w:rPr>
            </w:pPr>
            <w:r w:rsidRPr="00A847B7">
              <w:rPr>
                <w:rFonts w:cstheme="minorHAnsi"/>
              </w:rPr>
              <w:t>3 %</w:t>
            </w:r>
          </w:p>
        </w:tc>
      </w:tr>
      <w:tr w:rsidR="007B0F21" w:rsidRPr="00A847B7" w14:paraId="48BCFBC5" w14:textId="77777777" w:rsidTr="00F836B4">
        <w:tc>
          <w:tcPr>
            <w:tcW w:w="1494" w:type="dxa"/>
          </w:tcPr>
          <w:p w14:paraId="22CD093E" w14:textId="77777777" w:rsidR="007B0F21" w:rsidRPr="00A847B7" w:rsidRDefault="007B0F21" w:rsidP="00F836B4">
            <w:pPr>
              <w:spacing w:beforeAutospacing="1" w:after="100" w:afterAutospacing="1"/>
              <w:jc w:val="center"/>
              <w:rPr>
                <w:rFonts w:cstheme="minorHAnsi"/>
                <w:b/>
                <w:bCs/>
              </w:rPr>
            </w:pPr>
          </w:p>
        </w:tc>
        <w:tc>
          <w:tcPr>
            <w:tcW w:w="1481" w:type="dxa"/>
          </w:tcPr>
          <w:p w14:paraId="2EE84998" w14:textId="77777777" w:rsidR="007B0F21" w:rsidRPr="00A847B7" w:rsidRDefault="007B0F21" w:rsidP="00F836B4">
            <w:pPr>
              <w:spacing w:beforeAutospacing="1" w:after="100" w:afterAutospacing="1"/>
              <w:jc w:val="center"/>
              <w:rPr>
                <w:rFonts w:cstheme="minorHAnsi"/>
              </w:rPr>
            </w:pPr>
            <w:r w:rsidRPr="00A847B7">
              <w:rPr>
                <w:rFonts w:cstheme="minorHAnsi"/>
              </w:rPr>
              <w:t>2</w:t>
            </w:r>
            <w:r w:rsidRPr="00A847B7">
              <w:rPr>
                <w:rFonts w:cstheme="minorHAnsi"/>
                <w:vertAlign w:val="superscript"/>
              </w:rPr>
              <w:t>nde</w:t>
            </w:r>
            <w:r w:rsidRPr="00A847B7">
              <w:rPr>
                <w:rFonts w:cstheme="minorHAnsi"/>
              </w:rPr>
              <w:t xml:space="preserve"> prorogation triennale</w:t>
            </w:r>
          </w:p>
        </w:tc>
        <w:tc>
          <w:tcPr>
            <w:tcW w:w="1514" w:type="dxa"/>
          </w:tcPr>
          <w:p w14:paraId="205C1D4B" w14:textId="77777777" w:rsidR="007B0F21" w:rsidRPr="00A847B7" w:rsidRDefault="007B0F21" w:rsidP="00F836B4">
            <w:pPr>
              <w:spacing w:beforeAutospacing="1" w:after="100" w:afterAutospacing="1"/>
              <w:rPr>
                <w:rFonts w:cstheme="minorHAnsi"/>
              </w:rPr>
            </w:pPr>
            <w:r w:rsidRPr="00A847B7">
              <w:rPr>
                <w:rFonts w:cstheme="minorHAnsi"/>
              </w:rPr>
              <w:t>3 %</w:t>
            </w:r>
          </w:p>
        </w:tc>
        <w:tc>
          <w:tcPr>
            <w:tcW w:w="1526" w:type="dxa"/>
          </w:tcPr>
          <w:p w14:paraId="08DC8E42" w14:textId="77777777" w:rsidR="007B0F21" w:rsidRPr="00A847B7" w:rsidRDefault="007B0F21" w:rsidP="00F836B4">
            <w:pPr>
              <w:spacing w:beforeAutospacing="1" w:after="100" w:afterAutospacing="1"/>
              <w:rPr>
                <w:rFonts w:cstheme="minorHAnsi"/>
              </w:rPr>
            </w:pPr>
            <w:r w:rsidRPr="00A847B7">
              <w:rPr>
                <w:rFonts w:cstheme="minorHAnsi"/>
              </w:rPr>
              <w:t>3 %</w:t>
            </w:r>
          </w:p>
        </w:tc>
        <w:tc>
          <w:tcPr>
            <w:tcW w:w="1526" w:type="dxa"/>
          </w:tcPr>
          <w:p w14:paraId="104A1C72" w14:textId="77777777" w:rsidR="007B0F21" w:rsidRPr="00A847B7" w:rsidRDefault="007B0F21" w:rsidP="00F836B4">
            <w:pPr>
              <w:spacing w:beforeAutospacing="1" w:after="100" w:afterAutospacing="1"/>
              <w:rPr>
                <w:rFonts w:cstheme="minorHAnsi"/>
              </w:rPr>
            </w:pPr>
            <w:r w:rsidRPr="00A847B7">
              <w:rPr>
                <w:rFonts w:cstheme="minorHAnsi"/>
              </w:rPr>
              <w:t>2,5 %</w:t>
            </w:r>
          </w:p>
        </w:tc>
        <w:tc>
          <w:tcPr>
            <w:tcW w:w="1521" w:type="dxa"/>
          </w:tcPr>
          <w:p w14:paraId="06320A2C" w14:textId="77777777" w:rsidR="007B0F21" w:rsidRPr="00A847B7" w:rsidRDefault="007B0F21" w:rsidP="00F836B4">
            <w:pPr>
              <w:spacing w:beforeAutospacing="1" w:after="100" w:afterAutospacing="1"/>
              <w:rPr>
                <w:rFonts w:cstheme="minorHAnsi"/>
              </w:rPr>
            </w:pPr>
            <w:r w:rsidRPr="00A847B7">
              <w:rPr>
                <w:rFonts w:cstheme="minorHAnsi"/>
              </w:rPr>
              <w:t>2 %</w:t>
            </w:r>
          </w:p>
        </w:tc>
      </w:tr>
      <w:tr w:rsidR="007B0F21" w:rsidRPr="00A847B7" w14:paraId="406BF645" w14:textId="77777777" w:rsidTr="00F836B4">
        <w:tc>
          <w:tcPr>
            <w:tcW w:w="1494" w:type="dxa"/>
          </w:tcPr>
          <w:p w14:paraId="1513A0D7" w14:textId="77777777" w:rsidR="007B0F21" w:rsidRPr="00A847B7" w:rsidRDefault="007B0F21" w:rsidP="00F836B4">
            <w:pPr>
              <w:spacing w:beforeAutospacing="1" w:after="100" w:afterAutospacing="1"/>
              <w:jc w:val="center"/>
              <w:rPr>
                <w:rFonts w:cstheme="minorHAnsi"/>
                <w:b/>
                <w:bCs/>
              </w:rPr>
            </w:pPr>
            <w:r w:rsidRPr="00A847B7">
              <w:rPr>
                <w:rFonts w:cstheme="minorHAnsi"/>
                <w:b/>
                <w:bCs/>
              </w:rPr>
              <w:t>9 ans</w:t>
            </w:r>
          </w:p>
        </w:tc>
        <w:tc>
          <w:tcPr>
            <w:tcW w:w="1481" w:type="dxa"/>
          </w:tcPr>
          <w:p w14:paraId="2D0E1DA4" w14:textId="77777777" w:rsidR="007B0F21" w:rsidRPr="00A847B7" w:rsidRDefault="007B0F21" w:rsidP="00F836B4">
            <w:pPr>
              <w:spacing w:beforeAutospacing="1" w:after="100" w:afterAutospacing="1"/>
              <w:jc w:val="center"/>
              <w:rPr>
                <w:rFonts w:cstheme="minorHAnsi"/>
              </w:rPr>
            </w:pPr>
          </w:p>
        </w:tc>
        <w:tc>
          <w:tcPr>
            <w:tcW w:w="1514" w:type="dxa"/>
          </w:tcPr>
          <w:p w14:paraId="1193E5A3" w14:textId="77777777" w:rsidR="007B0F21" w:rsidRPr="00A847B7" w:rsidRDefault="007B0F21" w:rsidP="00F836B4">
            <w:pPr>
              <w:spacing w:beforeAutospacing="1" w:after="100" w:afterAutospacing="1"/>
              <w:rPr>
                <w:rFonts w:cstheme="minorHAnsi"/>
              </w:rPr>
            </w:pPr>
            <w:r w:rsidRPr="00A847B7">
              <w:rPr>
                <w:rFonts w:cstheme="minorHAnsi"/>
              </w:rPr>
              <w:t>18 % (29 % pour les investissements en Outre-mer)</w:t>
            </w:r>
          </w:p>
        </w:tc>
        <w:tc>
          <w:tcPr>
            <w:tcW w:w="1526" w:type="dxa"/>
          </w:tcPr>
          <w:p w14:paraId="71DD5582" w14:textId="77777777" w:rsidR="007B0F21" w:rsidRPr="00A847B7" w:rsidRDefault="007B0F21" w:rsidP="00F836B4">
            <w:pPr>
              <w:spacing w:beforeAutospacing="1" w:after="100" w:afterAutospacing="1"/>
              <w:rPr>
                <w:rFonts w:cstheme="minorHAnsi"/>
              </w:rPr>
            </w:pPr>
            <w:r w:rsidRPr="00A847B7">
              <w:rPr>
                <w:rFonts w:cstheme="minorHAnsi"/>
              </w:rPr>
              <w:t>18 % (29 % pour les investissements en Outre-mer)</w:t>
            </w:r>
          </w:p>
        </w:tc>
        <w:tc>
          <w:tcPr>
            <w:tcW w:w="1526" w:type="dxa"/>
          </w:tcPr>
          <w:p w14:paraId="53265E60" w14:textId="77777777" w:rsidR="007B0F21" w:rsidRPr="00A847B7" w:rsidRDefault="007B0F21" w:rsidP="00F836B4">
            <w:pPr>
              <w:spacing w:beforeAutospacing="1" w:after="100" w:afterAutospacing="1"/>
              <w:rPr>
                <w:rFonts w:cstheme="minorHAnsi"/>
              </w:rPr>
            </w:pPr>
            <w:r w:rsidRPr="00A847B7">
              <w:rPr>
                <w:rFonts w:cstheme="minorHAnsi"/>
              </w:rPr>
              <w:t>15 % (26 % pour les investissements en Outre-mer)</w:t>
            </w:r>
          </w:p>
        </w:tc>
        <w:tc>
          <w:tcPr>
            <w:tcW w:w="1521" w:type="dxa"/>
          </w:tcPr>
          <w:p w14:paraId="01FF7659" w14:textId="77777777" w:rsidR="007B0F21" w:rsidRPr="00A847B7" w:rsidRDefault="007B0F21" w:rsidP="00F836B4">
            <w:pPr>
              <w:spacing w:beforeAutospacing="1" w:after="100" w:afterAutospacing="1"/>
              <w:rPr>
                <w:rFonts w:cstheme="minorHAnsi"/>
              </w:rPr>
            </w:pPr>
            <w:r w:rsidRPr="00A847B7">
              <w:rPr>
                <w:rFonts w:cstheme="minorHAnsi"/>
              </w:rPr>
              <w:t>12 % (23 % pour les investissements en Outre-mer)</w:t>
            </w:r>
          </w:p>
        </w:tc>
      </w:tr>
      <w:tr w:rsidR="007B0F21" w:rsidRPr="00A847B7" w14:paraId="6746ACD2" w14:textId="77777777" w:rsidTr="00F836B4">
        <w:tc>
          <w:tcPr>
            <w:tcW w:w="1494" w:type="dxa"/>
          </w:tcPr>
          <w:p w14:paraId="08D388EB" w14:textId="77777777" w:rsidR="007B0F21" w:rsidRPr="00A847B7" w:rsidRDefault="007B0F21" w:rsidP="00F836B4">
            <w:pPr>
              <w:spacing w:beforeAutospacing="1" w:after="100" w:afterAutospacing="1"/>
              <w:rPr>
                <w:rFonts w:cstheme="minorHAnsi"/>
              </w:rPr>
            </w:pPr>
          </w:p>
        </w:tc>
        <w:tc>
          <w:tcPr>
            <w:tcW w:w="1481" w:type="dxa"/>
          </w:tcPr>
          <w:p w14:paraId="36384D4E" w14:textId="77777777" w:rsidR="007B0F21" w:rsidRPr="00A847B7" w:rsidRDefault="007B0F21" w:rsidP="00F836B4">
            <w:pPr>
              <w:spacing w:beforeAutospacing="1" w:after="100" w:afterAutospacing="1"/>
              <w:jc w:val="center"/>
              <w:rPr>
                <w:rFonts w:cstheme="minorHAnsi"/>
              </w:rPr>
            </w:pPr>
            <w:r w:rsidRPr="00A847B7">
              <w:rPr>
                <w:rFonts w:cstheme="minorHAnsi"/>
              </w:rPr>
              <w:t>Unique prorogation triennale</w:t>
            </w:r>
          </w:p>
        </w:tc>
        <w:tc>
          <w:tcPr>
            <w:tcW w:w="1514" w:type="dxa"/>
          </w:tcPr>
          <w:p w14:paraId="28FA6A13" w14:textId="77777777" w:rsidR="007B0F21" w:rsidRPr="00A847B7" w:rsidRDefault="007B0F21" w:rsidP="00F836B4">
            <w:pPr>
              <w:spacing w:beforeAutospacing="1" w:after="100" w:afterAutospacing="1"/>
              <w:rPr>
                <w:rFonts w:cstheme="minorHAnsi"/>
              </w:rPr>
            </w:pPr>
            <w:r w:rsidRPr="00A847B7">
              <w:rPr>
                <w:rFonts w:cstheme="minorHAnsi"/>
              </w:rPr>
              <w:t>3 %</w:t>
            </w:r>
          </w:p>
        </w:tc>
        <w:tc>
          <w:tcPr>
            <w:tcW w:w="1526" w:type="dxa"/>
          </w:tcPr>
          <w:p w14:paraId="29C43258" w14:textId="77777777" w:rsidR="007B0F21" w:rsidRPr="00A847B7" w:rsidRDefault="007B0F21" w:rsidP="00F836B4">
            <w:pPr>
              <w:spacing w:beforeAutospacing="1" w:after="100" w:afterAutospacing="1"/>
              <w:rPr>
                <w:rFonts w:cstheme="minorHAnsi"/>
              </w:rPr>
            </w:pPr>
            <w:r w:rsidRPr="00A847B7">
              <w:rPr>
                <w:rFonts w:cstheme="minorHAnsi"/>
              </w:rPr>
              <w:t>3 %</w:t>
            </w:r>
          </w:p>
        </w:tc>
        <w:tc>
          <w:tcPr>
            <w:tcW w:w="1526" w:type="dxa"/>
          </w:tcPr>
          <w:p w14:paraId="66CC32D5" w14:textId="77777777" w:rsidR="007B0F21" w:rsidRPr="00A847B7" w:rsidRDefault="007B0F21" w:rsidP="00F836B4">
            <w:pPr>
              <w:spacing w:beforeAutospacing="1" w:after="100" w:afterAutospacing="1"/>
              <w:rPr>
                <w:rFonts w:cstheme="minorHAnsi"/>
              </w:rPr>
            </w:pPr>
            <w:r w:rsidRPr="00A847B7">
              <w:rPr>
                <w:rFonts w:cstheme="minorHAnsi"/>
              </w:rPr>
              <w:t>2,5 %</w:t>
            </w:r>
          </w:p>
        </w:tc>
        <w:tc>
          <w:tcPr>
            <w:tcW w:w="1521" w:type="dxa"/>
          </w:tcPr>
          <w:p w14:paraId="42C6FF8D" w14:textId="77777777" w:rsidR="007B0F21" w:rsidRPr="00A847B7" w:rsidRDefault="007B0F21" w:rsidP="00F836B4">
            <w:pPr>
              <w:spacing w:beforeAutospacing="1" w:after="100" w:afterAutospacing="1"/>
              <w:rPr>
                <w:rFonts w:cstheme="minorHAnsi"/>
              </w:rPr>
            </w:pPr>
            <w:r w:rsidRPr="00A847B7">
              <w:rPr>
                <w:rFonts w:cstheme="minorHAnsi"/>
              </w:rPr>
              <w:t>2 %</w:t>
            </w:r>
          </w:p>
        </w:tc>
      </w:tr>
    </w:tbl>
    <w:p w14:paraId="1D60E402" w14:textId="77777777" w:rsidR="007B0F21" w:rsidRPr="00A847B7" w:rsidRDefault="007B0F21" w:rsidP="007B0F21">
      <w:pPr>
        <w:spacing w:beforeAutospacing="1" w:after="100" w:afterAutospacing="1"/>
        <w:rPr>
          <w:rFonts w:cstheme="minorHAnsi"/>
        </w:rPr>
      </w:pPr>
      <w:r w:rsidRPr="00A847B7">
        <w:rPr>
          <w:rFonts w:cstheme="minorHAnsi"/>
        </w:rPr>
        <w:t xml:space="preserve">Ne sont pas concernés par cette baisse progressive du taux de la réduction d’impôt : </w:t>
      </w:r>
    </w:p>
    <w:p w14:paraId="2917F3E6" w14:textId="77777777" w:rsidR="007B0F21" w:rsidRPr="00A847B7" w:rsidRDefault="007B0F21" w:rsidP="00EE0687">
      <w:pPr>
        <w:pStyle w:val="Paragraphedeliste"/>
        <w:numPr>
          <w:ilvl w:val="0"/>
          <w:numId w:val="54"/>
        </w:numPr>
        <w:spacing w:beforeAutospacing="1" w:after="100" w:afterAutospacing="1"/>
        <w:rPr>
          <w:rFonts w:cstheme="minorHAnsi"/>
        </w:rPr>
      </w:pPr>
      <w:r w:rsidRPr="00A847B7">
        <w:rPr>
          <w:rFonts w:cstheme="minorHAnsi"/>
        </w:rPr>
        <w:t xml:space="preserve">les investissements réalisés dans le cadre du dispositif </w:t>
      </w:r>
      <w:proofErr w:type="spellStart"/>
      <w:r w:rsidRPr="00A847B7">
        <w:rPr>
          <w:rFonts w:cstheme="minorHAnsi"/>
        </w:rPr>
        <w:t>Denormandie</w:t>
      </w:r>
      <w:proofErr w:type="spellEnd"/>
      <w:r w:rsidRPr="00A847B7">
        <w:rPr>
          <w:rFonts w:cstheme="minorHAnsi"/>
        </w:rPr>
        <w:t> ;</w:t>
      </w:r>
    </w:p>
    <w:p w14:paraId="16F489DC" w14:textId="22422965" w:rsidR="007B0F21" w:rsidRPr="00A847B7" w:rsidRDefault="007B0F21" w:rsidP="00EE0687">
      <w:pPr>
        <w:pStyle w:val="Paragraphedeliste"/>
        <w:numPr>
          <w:ilvl w:val="0"/>
          <w:numId w:val="54"/>
        </w:numPr>
        <w:spacing w:beforeAutospacing="1" w:after="100" w:afterAutospacing="1"/>
        <w:rPr>
          <w:rFonts w:cstheme="minorHAnsi"/>
        </w:rPr>
      </w:pPr>
      <w:r w:rsidRPr="00A847B7">
        <w:rPr>
          <w:rFonts w:cstheme="minorHAnsi"/>
        </w:rPr>
        <w:t>les investissements réalisés dans des logements situés dans un quartier prioritaire de la politique de la ville ou qui respectent un niveau de qualité, en particulier en matière de performance énergétique et environnementale, supérieure à la réglementation, dont les critère</w:t>
      </w:r>
      <w:r>
        <w:rPr>
          <w:rFonts w:cstheme="minorHAnsi"/>
        </w:rPr>
        <w:t>s</w:t>
      </w:r>
      <w:r w:rsidRPr="00A847B7">
        <w:rPr>
          <w:rFonts w:cstheme="minorHAnsi"/>
        </w:rPr>
        <w:t xml:space="preserve"> sont définis par </w:t>
      </w:r>
      <w:r w:rsidR="005E63F9">
        <w:rPr>
          <w:rFonts w:cstheme="minorHAnsi"/>
        </w:rPr>
        <w:t>d</w:t>
      </w:r>
      <w:r w:rsidR="005E63F9" w:rsidRPr="00A847B7">
        <w:rPr>
          <w:rFonts w:cstheme="minorHAnsi"/>
        </w:rPr>
        <w:t>écret</w:t>
      </w:r>
      <w:r w:rsidRPr="00A847B7">
        <w:rPr>
          <w:rFonts w:cstheme="minorHAnsi"/>
        </w:rPr>
        <w:t>.</w:t>
      </w:r>
    </w:p>
    <w:p w14:paraId="3E598574" w14:textId="77777777" w:rsidR="007B0F21" w:rsidRPr="00A847B7" w:rsidRDefault="007B0F21" w:rsidP="007B0F21">
      <w:pPr>
        <w:spacing w:beforeAutospacing="1" w:after="100" w:afterAutospacing="1"/>
        <w:rPr>
          <w:rFonts w:cstheme="minorHAnsi"/>
        </w:rPr>
      </w:pPr>
      <w:r w:rsidRPr="00A847B7">
        <w:rPr>
          <w:rFonts w:cstheme="minorHAnsi"/>
        </w:rPr>
        <w:t>Pour les investissements réalisés à compter du 1</w:t>
      </w:r>
      <w:r w:rsidRPr="00A847B7">
        <w:rPr>
          <w:rFonts w:cstheme="minorHAnsi"/>
          <w:vertAlign w:val="superscript"/>
        </w:rPr>
        <w:t>er</w:t>
      </w:r>
      <w:r w:rsidRPr="00A847B7">
        <w:rPr>
          <w:rFonts w:cstheme="minorHAnsi"/>
        </w:rPr>
        <w:t xml:space="preserve"> janvier 2021, la Loi de Finances pour 2020 a prévu que l’avantage fiscal sera réservé aux investissements portant sur des bâtiments d’habitation collectifs. Il ne sera donc plus possible de bénéficier de la réduction d’impôt pour les bâtiments d’habitation individuels.</w:t>
      </w:r>
    </w:p>
    <w:p w14:paraId="0B618664" w14:textId="77777777" w:rsidR="007B0F21" w:rsidRPr="00A847B7" w:rsidRDefault="007B0F21" w:rsidP="007B0F21">
      <w:pPr>
        <w:spacing w:beforeAutospacing="1" w:after="100" w:afterAutospacing="1"/>
        <w:rPr>
          <w:rFonts w:cstheme="minorHAnsi"/>
        </w:rPr>
      </w:pPr>
      <w:r w:rsidRPr="00A847B7">
        <w:rPr>
          <w:rFonts w:cstheme="minorHAnsi"/>
        </w:rPr>
        <w:t>La Loi de Finances pour 2021 confirme cet état de fait : pour les demandes de permis de construire déposées à compter du 1</w:t>
      </w:r>
      <w:r w:rsidRPr="00A847B7">
        <w:rPr>
          <w:rFonts w:cstheme="minorHAnsi"/>
          <w:vertAlign w:val="superscript"/>
        </w:rPr>
        <w:t>er</w:t>
      </w:r>
      <w:r w:rsidRPr="00A847B7">
        <w:rPr>
          <w:rFonts w:cstheme="minorHAnsi"/>
        </w:rPr>
        <w:t xml:space="preserve"> janvier 2021, la réduction d’impôt est réservée aux investissements portant sur des bâtiments d’habitation collectif</w:t>
      </w:r>
      <w:r>
        <w:rPr>
          <w:rFonts w:cstheme="minorHAnsi"/>
        </w:rPr>
        <w:t>s</w:t>
      </w:r>
      <w:r w:rsidRPr="00A847B7">
        <w:rPr>
          <w:rFonts w:cstheme="minorHAnsi"/>
        </w:rPr>
        <w:t>.</w:t>
      </w:r>
    </w:p>
    <w:p w14:paraId="19DE82A9" w14:textId="77777777" w:rsidR="007B0F21" w:rsidRPr="00A847B7" w:rsidRDefault="007B0F21" w:rsidP="007B0F21">
      <w:pPr>
        <w:spacing w:beforeAutospacing="1" w:after="100" w:afterAutospacing="1"/>
        <w:rPr>
          <w:rFonts w:cstheme="minorHAnsi"/>
        </w:rPr>
      </w:pPr>
    </w:p>
    <w:p w14:paraId="2F3FA26E" w14:textId="0A682919" w:rsidR="00BF2BD6" w:rsidRPr="00A847B7" w:rsidRDefault="00BF2BD6" w:rsidP="00BF2BD6">
      <w:pPr>
        <w:pStyle w:val="Titre3"/>
      </w:pPr>
      <w:bookmarkStart w:id="40" w:name="_Toc60780974"/>
      <w:r w:rsidRPr="00A847B7">
        <w:t xml:space="preserve">Slide </w:t>
      </w:r>
      <w:r w:rsidR="00570B44">
        <w:t>24</w:t>
      </w:r>
      <w:r w:rsidRPr="00A847B7">
        <w:t xml:space="preserve"> : </w:t>
      </w:r>
      <w:r w:rsidR="00407494" w:rsidRPr="00A847B7">
        <w:t>P</w:t>
      </w:r>
      <w:r w:rsidR="004B5429" w:rsidRPr="00A847B7">
        <w:t>rêt à taux zéro</w:t>
      </w:r>
      <w:bookmarkEnd w:id="40"/>
    </w:p>
    <w:p w14:paraId="7FC574E8" w14:textId="3926AE0A" w:rsidR="00407494" w:rsidRPr="00A847B7" w:rsidRDefault="001B3BFF" w:rsidP="001B3BFF">
      <w:r w:rsidRPr="004F587E">
        <w:rPr>
          <w:u w:val="single"/>
        </w:rPr>
        <w:t xml:space="preserve">Source </w:t>
      </w:r>
      <w:r w:rsidRPr="00A847B7">
        <w:t>:</w:t>
      </w:r>
      <w:r w:rsidR="00407494" w:rsidRPr="00D014A3">
        <w:t xml:space="preserve"> Loi</w:t>
      </w:r>
      <w:r w:rsidR="00407494" w:rsidRPr="00FE3208">
        <w:t xml:space="preserve"> de Finances pour </w:t>
      </w:r>
      <w:r w:rsidR="00407494" w:rsidRPr="00905C0E">
        <w:t xml:space="preserve">2021, article </w:t>
      </w:r>
      <w:r w:rsidR="00D014A3" w:rsidRPr="00D014A3">
        <w:t>164</w:t>
      </w:r>
    </w:p>
    <w:p w14:paraId="3863605D" w14:textId="6A9721A2" w:rsidR="0019488D" w:rsidRPr="00A847B7" w:rsidRDefault="00954922" w:rsidP="001B3BFF">
      <w:pPr>
        <w:spacing w:beforeAutospacing="1" w:after="100" w:afterAutospacing="1"/>
        <w:rPr>
          <w:rFonts w:cstheme="minorHAnsi"/>
        </w:rPr>
      </w:pPr>
      <w:r w:rsidRPr="00A847B7">
        <w:rPr>
          <w:rFonts w:cstheme="minorHAnsi"/>
        </w:rPr>
        <w:t>Actuellement, le prêt à taux zéro (PTZ) permet aux particuliers d’acheter un logement</w:t>
      </w:r>
      <w:r w:rsidR="001749F5" w:rsidRPr="00A847B7">
        <w:rPr>
          <w:rFonts w:cstheme="minorHAnsi"/>
        </w:rPr>
        <w:t xml:space="preserve"> neuf ou ancien,</w:t>
      </w:r>
      <w:r w:rsidRPr="00A847B7">
        <w:rPr>
          <w:rFonts w:cstheme="minorHAnsi"/>
        </w:rPr>
        <w:t xml:space="preserve"> destiné à être occupé à titre de résidence principale, jusqu’au 31 décembre 2021, sous réserve qu’ils n’aient pas été propriétaires de leur résidence principale dans les 2 années qui précèdent la demande de prêt.</w:t>
      </w:r>
    </w:p>
    <w:p w14:paraId="3117F6BF" w14:textId="7ECBA420" w:rsidR="0019488D" w:rsidRPr="00A847B7" w:rsidRDefault="00A020E8" w:rsidP="00BF2BD6">
      <w:pPr>
        <w:spacing w:beforeAutospacing="1" w:after="100" w:afterAutospacing="1"/>
        <w:rPr>
          <w:rFonts w:cstheme="minorHAnsi"/>
        </w:rPr>
      </w:pPr>
      <w:r w:rsidRPr="00A847B7">
        <w:rPr>
          <w:rFonts w:cstheme="minorHAnsi"/>
        </w:rPr>
        <w:lastRenderedPageBreak/>
        <w:t>Ce dispositif est prolongé d’une année et s’appliquera donc aux achats de logements jusqu’au 31 décembre 2022.</w:t>
      </w:r>
    </w:p>
    <w:p w14:paraId="4DF72827" w14:textId="2EE31079" w:rsidR="00A020E8" w:rsidRPr="00A847B7" w:rsidRDefault="00A020E8" w:rsidP="00A020E8">
      <w:pPr>
        <w:spacing w:beforeAutospacing="1" w:after="100" w:afterAutospacing="1"/>
        <w:rPr>
          <w:rFonts w:cstheme="minorHAnsi"/>
        </w:rPr>
      </w:pPr>
      <w:r w:rsidRPr="00A847B7">
        <w:rPr>
          <w:rFonts w:cstheme="minorHAnsi"/>
        </w:rPr>
        <w:t xml:space="preserve">Il n’est possible de bénéficier que d’un seul PTZ par opération. </w:t>
      </w:r>
    </w:p>
    <w:p w14:paraId="1DCC434D" w14:textId="4AA7B51B" w:rsidR="00A020E8" w:rsidRPr="00A847B7" w:rsidRDefault="00A020E8" w:rsidP="00A020E8">
      <w:pPr>
        <w:spacing w:beforeAutospacing="1" w:after="100" w:afterAutospacing="1"/>
        <w:rPr>
          <w:rFonts w:cstheme="minorHAnsi"/>
        </w:rPr>
      </w:pPr>
      <w:r w:rsidRPr="00A847B7">
        <w:rPr>
          <w:rFonts w:cstheme="minorHAnsi"/>
        </w:rPr>
        <w:t>Le montant du prêt accordé dans le cadre de ce dispositif ne couvrira pas le coût total de l’achat. Il est en effet limité à :</w:t>
      </w:r>
    </w:p>
    <w:p w14:paraId="403EA05D" w14:textId="7069C8B9" w:rsidR="00A020E8" w:rsidRPr="00A847B7" w:rsidRDefault="00A020E8" w:rsidP="00EE0687">
      <w:pPr>
        <w:pStyle w:val="Paragraphedeliste"/>
        <w:numPr>
          <w:ilvl w:val="0"/>
          <w:numId w:val="47"/>
        </w:numPr>
        <w:spacing w:beforeAutospacing="1" w:after="100" w:afterAutospacing="1"/>
        <w:rPr>
          <w:rFonts w:cstheme="minorHAnsi"/>
        </w:rPr>
      </w:pPr>
      <w:r w:rsidRPr="00A847B7">
        <w:rPr>
          <w:rFonts w:cstheme="minorHAnsi"/>
        </w:rPr>
        <w:t>40 % du coût de l’opération pour les logements neufs et pour les logements anciens accompagnés de travaux de réhabilitation ;</w:t>
      </w:r>
    </w:p>
    <w:p w14:paraId="2E020BAD" w14:textId="68E7DCAF" w:rsidR="00A020E8" w:rsidRPr="00A847B7" w:rsidRDefault="00A020E8" w:rsidP="00EE0687">
      <w:pPr>
        <w:pStyle w:val="Paragraphedeliste"/>
        <w:numPr>
          <w:ilvl w:val="0"/>
          <w:numId w:val="47"/>
        </w:numPr>
        <w:spacing w:beforeAutospacing="1" w:after="100" w:afterAutospacing="1"/>
        <w:rPr>
          <w:rFonts w:cstheme="minorHAnsi"/>
        </w:rPr>
      </w:pPr>
      <w:r w:rsidRPr="00A847B7">
        <w:rPr>
          <w:rFonts w:cstheme="minorHAnsi"/>
        </w:rPr>
        <w:t>10 % pour les logements anciens sans travaux (logements HLM ou conventionnés).</w:t>
      </w:r>
    </w:p>
    <w:p w14:paraId="0CF9898A" w14:textId="442477DF" w:rsidR="00A020E8" w:rsidRPr="00A847B7" w:rsidRDefault="0074797A" w:rsidP="00BF2BD6">
      <w:pPr>
        <w:spacing w:beforeAutospacing="1" w:after="100" w:afterAutospacing="1"/>
        <w:rPr>
          <w:rFonts w:cstheme="minorHAnsi"/>
        </w:rPr>
      </w:pPr>
      <w:r w:rsidRPr="00A847B7">
        <w:rPr>
          <w:rFonts w:cstheme="minorHAnsi"/>
        </w:rPr>
        <w:t>Il est aussi encadré par un plafond global, au regard du coût de l’opération, qui varie selon le nombre d’occupants et le lieu de situation du logement, et par un plafond maximal du montant du prêt qui peut être accordé au titre d’un achat.</w:t>
      </w:r>
    </w:p>
    <w:p w14:paraId="46178612" w14:textId="7225A623" w:rsidR="0074797A" w:rsidRPr="00A847B7" w:rsidRDefault="00191DB1" w:rsidP="00BF2BD6">
      <w:pPr>
        <w:spacing w:beforeAutospacing="1" w:after="100" w:afterAutospacing="1"/>
        <w:rPr>
          <w:rFonts w:cstheme="minorHAnsi"/>
        </w:rPr>
      </w:pPr>
      <w:r w:rsidRPr="00A847B7">
        <w:rPr>
          <w:rFonts w:cstheme="minorHAnsi"/>
        </w:rPr>
        <w:t>Le bénéfice du PTZ est réservé aux personnes qui disposent de ressources ne dépassant pas un certain plafond, qui varie selon le lieu de situation du logement dont l’acquisition est envisagée, selon la nature du logement (neuf ou ancien) et selon le nombre de personnes qui doivent l’occuper.</w:t>
      </w:r>
    </w:p>
    <w:p w14:paraId="296393F6" w14:textId="07D5F47D" w:rsidR="00191DB1" w:rsidRPr="00A847B7" w:rsidRDefault="00191DB1" w:rsidP="00BF2BD6">
      <w:pPr>
        <w:spacing w:beforeAutospacing="1" w:after="100" w:afterAutospacing="1"/>
        <w:rPr>
          <w:rFonts w:cstheme="minorHAnsi"/>
        </w:rPr>
      </w:pPr>
      <w:r w:rsidRPr="00A847B7">
        <w:rPr>
          <w:rFonts w:cstheme="minorHAnsi"/>
        </w:rPr>
        <w:t>A compter du 1</w:t>
      </w:r>
      <w:r w:rsidRPr="00A847B7">
        <w:rPr>
          <w:rFonts w:cstheme="minorHAnsi"/>
          <w:vertAlign w:val="superscript"/>
        </w:rPr>
        <w:t>er</w:t>
      </w:r>
      <w:r w:rsidRPr="00A847B7">
        <w:rPr>
          <w:rFonts w:cstheme="minorHAnsi"/>
        </w:rPr>
        <w:t xml:space="preserve"> janvier 2022, le montant total des ressources est apprécié à la date d’émission de l’offre de prêt, selon des modalités qui seront fixées par un </w:t>
      </w:r>
      <w:r w:rsidR="00570B44">
        <w:rPr>
          <w:rFonts w:cstheme="minorHAnsi"/>
        </w:rPr>
        <w:t>d</w:t>
      </w:r>
      <w:r w:rsidRPr="00A847B7">
        <w:rPr>
          <w:rFonts w:cstheme="minorHAnsi"/>
        </w:rPr>
        <w:t>écret à paraître.</w:t>
      </w:r>
    </w:p>
    <w:p w14:paraId="2B4FF59B" w14:textId="6DAC3812" w:rsidR="007B0F21" w:rsidRDefault="007B0F21">
      <w:pPr>
        <w:rPr>
          <w:rFonts w:cstheme="minorHAnsi"/>
        </w:rPr>
      </w:pPr>
      <w:r>
        <w:rPr>
          <w:rFonts w:cstheme="minorHAnsi"/>
        </w:rPr>
        <w:br w:type="page"/>
      </w:r>
    </w:p>
    <w:p w14:paraId="02EFE967" w14:textId="77777777" w:rsidR="00191DB1" w:rsidRPr="00A847B7" w:rsidRDefault="00191DB1" w:rsidP="00BF2BD6">
      <w:pPr>
        <w:spacing w:beforeAutospacing="1" w:after="100" w:afterAutospacing="1"/>
        <w:rPr>
          <w:rFonts w:cstheme="minorHAnsi"/>
        </w:rPr>
      </w:pPr>
    </w:p>
    <w:p w14:paraId="7C3E5D18" w14:textId="77777777" w:rsidR="00941D62" w:rsidRPr="00A847B7" w:rsidRDefault="00941D62" w:rsidP="00941D62">
      <w:pPr>
        <w:pStyle w:val="Titre2"/>
      </w:pPr>
      <w:bookmarkStart w:id="41" w:name="_Toc30149245"/>
      <w:bookmarkStart w:id="42" w:name="_Toc60780975"/>
      <w:r w:rsidRPr="00A847B7">
        <w:rPr>
          <w:rFonts w:cstheme="minorHAnsi"/>
        </w:rPr>
        <w:t>Mesures fiscales diverses</w:t>
      </w:r>
      <w:bookmarkEnd w:id="41"/>
      <w:bookmarkEnd w:id="42"/>
    </w:p>
    <w:p w14:paraId="668F899B" w14:textId="77777777" w:rsidR="00BF2BD6" w:rsidRPr="00A847B7" w:rsidRDefault="00BF2BD6" w:rsidP="00BF2BD6"/>
    <w:p w14:paraId="2B9EF339" w14:textId="0EE4773A" w:rsidR="00BF2BD6" w:rsidRPr="00A847B7" w:rsidRDefault="00BF2BD6" w:rsidP="00BF2BD6">
      <w:pPr>
        <w:pStyle w:val="Titre3"/>
      </w:pPr>
      <w:bookmarkStart w:id="43" w:name="_Toc60780976"/>
      <w:r w:rsidRPr="00A847B7">
        <w:t xml:space="preserve">Slide </w:t>
      </w:r>
      <w:r w:rsidR="00210A5B">
        <w:t>25</w:t>
      </w:r>
      <w:r w:rsidRPr="00A847B7">
        <w:t xml:space="preserve"> : </w:t>
      </w:r>
      <w:r w:rsidR="00340D01" w:rsidRPr="00A847B7">
        <w:t>Plus-value mobilières</w:t>
      </w:r>
      <w:bookmarkEnd w:id="43"/>
    </w:p>
    <w:p w14:paraId="6F2E3AB5" w14:textId="79F8E12A" w:rsidR="00824292" w:rsidRPr="00A847B7" w:rsidRDefault="001B3BFF" w:rsidP="001B3BFF">
      <w:r w:rsidRPr="004F587E">
        <w:rPr>
          <w:u w:val="single"/>
        </w:rPr>
        <w:t xml:space="preserve">Source </w:t>
      </w:r>
      <w:r w:rsidRPr="00A847B7">
        <w:t>:</w:t>
      </w:r>
      <w:r w:rsidR="00824292" w:rsidRPr="00A847B7">
        <w:t xml:space="preserve"> Loi de Finances pour 2021, </w:t>
      </w:r>
      <w:r w:rsidR="00824292" w:rsidRPr="00905C0E">
        <w:t xml:space="preserve">article </w:t>
      </w:r>
      <w:r w:rsidR="00CD0DCC" w:rsidRPr="00CD0DCC">
        <w:t>13</w:t>
      </w:r>
    </w:p>
    <w:p w14:paraId="4DFC18C8" w14:textId="681AC543" w:rsidR="00E05EB9" w:rsidRPr="00A847B7" w:rsidRDefault="00B31D84" w:rsidP="00716663">
      <w:pPr>
        <w:spacing w:beforeAutospacing="1" w:after="100" w:afterAutospacing="1"/>
        <w:rPr>
          <w:rFonts w:cstheme="minorHAnsi"/>
        </w:rPr>
      </w:pPr>
      <w:r w:rsidRPr="00A847B7">
        <w:rPr>
          <w:rFonts w:cstheme="minorHAnsi"/>
        </w:rPr>
        <w:t xml:space="preserve">En cas de vente de titres, </w:t>
      </w:r>
      <w:r w:rsidR="00E05EB9" w:rsidRPr="00A847B7">
        <w:t xml:space="preserve">les moins-values subies </w:t>
      </w:r>
      <w:r w:rsidR="00716663" w:rsidRPr="00A847B7">
        <w:t xml:space="preserve">(c’est-à-dire les pertes) </w:t>
      </w:r>
      <w:r w:rsidR="00E05EB9" w:rsidRPr="00A847B7">
        <w:t>au cours d’une année sont imputées impérativement sur les plus-values de même nature imposables au titre de la même année</w:t>
      </w:r>
      <w:r w:rsidR="00716663" w:rsidRPr="00A847B7">
        <w:t>.</w:t>
      </w:r>
    </w:p>
    <w:p w14:paraId="07FC2FE9" w14:textId="10AB46F0" w:rsidR="00BF2BD6" w:rsidRPr="00A847B7" w:rsidRDefault="00716663" w:rsidP="00E05EB9">
      <w:r w:rsidRPr="00A847B7">
        <w:t>E</w:t>
      </w:r>
      <w:r w:rsidR="00E05EB9" w:rsidRPr="00A847B7">
        <w:t xml:space="preserve">n cas de solde négatif, l’excèdent de </w:t>
      </w:r>
      <w:proofErr w:type="gramStart"/>
      <w:r w:rsidR="00E05EB9" w:rsidRPr="00A847B7">
        <w:t>moins-value non imputé</w:t>
      </w:r>
      <w:proofErr w:type="gramEnd"/>
      <w:r w:rsidR="00E05EB9" w:rsidRPr="00A847B7">
        <w:t xml:space="preserve"> est reporté</w:t>
      </w:r>
      <w:r w:rsidRPr="00A847B7">
        <w:t>,</w:t>
      </w:r>
      <w:r w:rsidR="00E05EB9" w:rsidRPr="00A847B7">
        <w:t xml:space="preserve"> et imputé dans les mêmes conditions au titre des années suivantes jusqu’à la 10</w:t>
      </w:r>
      <w:r w:rsidR="00E05EB9" w:rsidRPr="00A847B7">
        <w:rPr>
          <w:vertAlign w:val="superscript"/>
        </w:rPr>
        <w:t>ème</w:t>
      </w:r>
      <w:r w:rsidR="00E05EB9" w:rsidRPr="00A847B7">
        <w:t xml:space="preserve"> inclusivement.</w:t>
      </w:r>
    </w:p>
    <w:p w14:paraId="29C54005" w14:textId="716BD5A7" w:rsidR="00EB7B65" w:rsidRPr="00A847B7" w:rsidRDefault="007A642B" w:rsidP="00BF2BD6">
      <w:r w:rsidRPr="00A847B7">
        <w:t>Ce principe d’imputation s’applique également</w:t>
      </w:r>
      <w:r w:rsidR="00771B02" w:rsidRPr="00A847B7">
        <w:t>, toutes conditions par ailleurs remplies,</w:t>
      </w:r>
      <w:r w:rsidRPr="00A847B7">
        <w:t xml:space="preserve"> en cas d’annulation de titres </w:t>
      </w:r>
      <w:r w:rsidR="00A26A7F" w:rsidRPr="00A847B7">
        <w:t>intervenant dans le cadre de procédures collectives</w:t>
      </w:r>
      <w:r w:rsidR="00771B02" w:rsidRPr="00A847B7">
        <w:t xml:space="preserve"> (redressement ou liquidation judiciaire)</w:t>
      </w:r>
      <w:r w:rsidR="00160226" w:rsidRPr="00A847B7">
        <w:t>.</w:t>
      </w:r>
    </w:p>
    <w:p w14:paraId="0DC1D4B7" w14:textId="20C716EC" w:rsidR="00A23D61" w:rsidRPr="00A847B7" w:rsidRDefault="00735AE5" w:rsidP="00BF2BD6">
      <w:r w:rsidRPr="00A847B7">
        <w:t>Le juge de l’impôt a admis la possibilité d’appliquer ce mécanisme aux</w:t>
      </w:r>
      <w:r w:rsidR="007364AE" w:rsidRPr="00A847B7">
        <w:t xml:space="preserve"> moins-values réalisées à l’oc</w:t>
      </w:r>
      <w:r w:rsidR="007055FE" w:rsidRPr="00A847B7">
        <w:t>casion d’une annulation de titres</w:t>
      </w:r>
      <w:r w:rsidR="00D249F6" w:rsidRPr="00A847B7">
        <w:t>,</w:t>
      </w:r>
      <w:r w:rsidR="00792A86" w:rsidRPr="00A847B7">
        <w:t xml:space="preserve"> </w:t>
      </w:r>
      <w:r w:rsidR="007055FE" w:rsidRPr="00A847B7">
        <w:t>dès lors que les pertes sont supérieures ou égales aux capitaux propres</w:t>
      </w:r>
      <w:r w:rsidR="00C57E3C" w:rsidRPr="00A847B7">
        <w:t xml:space="preserve"> (Arrêt du Conseil d’Etat du 22 novembre 2019, n°431867)</w:t>
      </w:r>
      <w:r w:rsidR="008F3EF9">
        <w:t>.</w:t>
      </w:r>
    </w:p>
    <w:p w14:paraId="3A7319C7" w14:textId="0C66CF34" w:rsidR="00B63692" w:rsidRPr="00A847B7" w:rsidRDefault="00C57E3C" w:rsidP="00B54BB1">
      <w:r w:rsidRPr="00A847B7">
        <w:t xml:space="preserve">La Loi de </w:t>
      </w:r>
      <w:r w:rsidR="00796A15">
        <w:t>F</w:t>
      </w:r>
      <w:r w:rsidRPr="00A847B7">
        <w:t xml:space="preserve">inances pour 2021 </w:t>
      </w:r>
      <w:r w:rsidR="00B63692" w:rsidRPr="00A847B7">
        <w:t>légalise cette po</w:t>
      </w:r>
      <w:r w:rsidR="005374FF" w:rsidRPr="00A847B7">
        <w:t xml:space="preserve">sition et prévoit la possibilité d’imputer les </w:t>
      </w:r>
      <w:r w:rsidR="00F31898" w:rsidRPr="00A847B7">
        <w:t xml:space="preserve">moins-values </w:t>
      </w:r>
      <w:r w:rsidR="009D1A17" w:rsidRPr="00A847B7">
        <w:t xml:space="preserve">sur les plus-values de même nature en cas de réduction totale de capital de la société </w:t>
      </w:r>
      <w:r w:rsidR="006E1EF8" w:rsidRPr="00A847B7">
        <w:t>dont les capitaux propres</w:t>
      </w:r>
      <w:r w:rsidR="006E6C2C" w:rsidRPr="00A847B7">
        <w:t xml:space="preserve"> </w:t>
      </w:r>
      <w:r w:rsidR="006E1EF8" w:rsidRPr="00A847B7">
        <w:t>devenus inférieurs à la moitié du capital social</w:t>
      </w:r>
      <w:r w:rsidR="001118B6" w:rsidRPr="00A847B7">
        <w:t xml:space="preserve"> n’ont pas été reconstitués</w:t>
      </w:r>
      <w:r w:rsidR="006E1EF8" w:rsidRPr="00A847B7">
        <w:t xml:space="preserve">, </w:t>
      </w:r>
      <w:r w:rsidR="00CA39F3" w:rsidRPr="00A847B7">
        <w:t xml:space="preserve">dès lors que les pertes </w:t>
      </w:r>
      <w:r w:rsidR="00605B39" w:rsidRPr="00A847B7">
        <w:t>sont égales ou supérieures aux capitaux propres.</w:t>
      </w:r>
    </w:p>
    <w:p w14:paraId="507E6E99" w14:textId="77777777" w:rsidR="00B63692" w:rsidRPr="00A847B7" w:rsidRDefault="00B63692" w:rsidP="00B54BB1"/>
    <w:p w14:paraId="70C6A521" w14:textId="779BA8C2" w:rsidR="00BF2BD6" w:rsidRPr="00A847B7" w:rsidRDefault="00BF2BD6" w:rsidP="00BF2BD6">
      <w:pPr>
        <w:pStyle w:val="Titre3"/>
      </w:pPr>
      <w:bookmarkStart w:id="44" w:name="_Toc60780977"/>
      <w:r w:rsidRPr="00A847B7">
        <w:t xml:space="preserve">Slide </w:t>
      </w:r>
      <w:r w:rsidR="007D7482">
        <w:t>26</w:t>
      </w:r>
      <w:r w:rsidRPr="00A847B7">
        <w:t xml:space="preserve"> : </w:t>
      </w:r>
      <w:r w:rsidR="000C77F1" w:rsidRPr="00A847B7">
        <w:t>Revenus distribués et majoration de 1,25</w:t>
      </w:r>
      <w:bookmarkEnd w:id="44"/>
    </w:p>
    <w:p w14:paraId="52C97C94" w14:textId="6BFFB059" w:rsidR="000C77F1" w:rsidRPr="00A847B7" w:rsidRDefault="001B3BFF" w:rsidP="001B3BFF">
      <w:r w:rsidRPr="004F587E">
        <w:rPr>
          <w:u w:val="single"/>
        </w:rPr>
        <w:t xml:space="preserve">Source </w:t>
      </w:r>
      <w:r w:rsidRPr="00A847B7">
        <w:t>:</w:t>
      </w:r>
      <w:r w:rsidR="000C77F1" w:rsidRPr="00A847B7">
        <w:t xml:space="preserve"> Loi de Finances pour 2021, </w:t>
      </w:r>
      <w:r w:rsidR="000C77F1" w:rsidRPr="00905C0E">
        <w:t xml:space="preserve">article </w:t>
      </w:r>
      <w:r w:rsidR="008B119C" w:rsidRPr="008B119C">
        <w:t>39</w:t>
      </w:r>
    </w:p>
    <w:p w14:paraId="67B852DB" w14:textId="5D6BF39A" w:rsidR="00BF2BD6" w:rsidRPr="00A847B7" w:rsidRDefault="00F7258A" w:rsidP="001B3BFF">
      <w:pPr>
        <w:spacing w:beforeAutospacing="1" w:after="100" w:afterAutospacing="1"/>
        <w:rPr>
          <w:rFonts w:cstheme="minorHAnsi"/>
        </w:rPr>
      </w:pPr>
      <w:r w:rsidRPr="00A847B7">
        <w:rPr>
          <w:rFonts w:cstheme="minorHAnsi"/>
        </w:rPr>
        <w:t xml:space="preserve">Certains revenus distribués </w:t>
      </w:r>
      <w:r w:rsidR="00756DD1" w:rsidRPr="00A847B7">
        <w:rPr>
          <w:rFonts w:cstheme="minorHAnsi"/>
        </w:rPr>
        <w:t xml:space="preserve">limitativement énumérés </w:t>
      </w:r>
      <w:r w:rsidRPr="00A847B7">
        <w:rPr>
          <w:rFonts w:cstheme="minorHAnsi"/>
        </w:rPr>
        <w:t>sont majorés de 25 % pour le calcul de l’impôt sur le revenu (IR)</w:t>
      </w:r>
      <w:r w:rsidR="00756DD1" w:rsidRPr="00A847B7">
        <w:rPr>
          <w:rFonts w:cstheme="minorHAnsi"/>
        </w:rPr>
        <w:t xml:space="preserve"> au titre du barème progressif. Sont concernés :</w:t>
      </w:r>
    </w:p>
    <w:p w14:paraId="116D3310" w14:textId="74875854" w:rsidR="00756DD1" w:rsidRPr="00A847B7" w:rsidRDefault="00E15427" w:rsidP="00EE0687">
      <w:pPr>
        <w:pStyle w:val="Paragraphedeliste"/>
        <w:numPr>
          <w:ilvl w:val="0"/>
          <w:numId w:val="8"/>
        </w:numPr>
        <w:spacing w:beforeAutospacing="1" w:after="100" w:afterAutospacing="1"/>
        <w:rPr>
          <w:rFonts w:cstheme="minorHAnsi"/>
        </w:rPr>
      </w:pPr>
      <w:r w:rsidRPr="00A847B7">
        <w:rPr>
          <w:rFonts w:cstheme="minorHAnsi"/>
        </w:rPr>
        <w:t>les distributions occultes ;</w:t>
      </w:r>
    </w:p>
    <w:p w14:paraId="07548222" w14:textId="132D4140" w:rsidR="00E15427" w:rsidRPr="00A847B7" w:rsidRDefault="00E15427" w:rsidP="00EE0687">
      <w:pPr>
        <w:pStyle w:val="Paragraphedeliste"/>
        <w:numPr>
          <w:ilvl w:val="0"/>
          <w:numId w:val="8"/>
        </w:numPr>
        <w:spacing w:beforeAutospacing="1" w:after="100" w:afterAutospacing="1"/>
        <w:rPr>
          <w:rFonts w:cstheme="minorHAnsi"/>
        </w:rPr>
      </w:pPr>
      <w:r w:rsidRPr="00A847B7">
        <w:rPr>
          <w:rFonts w:cstheme="minorHAnsi"/>
        </w:rPr>
        <w:t>la fraction des revenus correspondant à des charges somptuaire</w:t>
      </w:r>
      <w:r w:rsidR="002E225D">
        <w:rPr>
          <w:rFonts w:cstheme="minorHAnsi"/>
        </w:rPr>
        <w:t>s</w:t>
      </w:r>
      <w:r w:rsidRPr="00A847B7">
        <w:rPr>
          <w:rFonts w:cstheme="minorHAnsi"/>
        </w:rPr>
        <w:t xml:space="preserve"> non déductibles ;</w:t>
      </w:r>
    </w:p>
    <w:p w14:paraId="0C3706DA" w14:textId="7628400E" w:rsidR="00E15427" w:rsidRPr="00A847B7" w:rsidRDefault="008D1A7F" w:rsidP="00EE0687">
      <w:pPr>
        <w:pStyle w:val="Paragraphedeliste"/>
        <w:numPr>
          <w:ilvl w:val="0"/>
          <w:numId w:val="8"/>
        </w:numPr>
        <w:spacing w:beforeAutospacing="1" w:after="100" w:afterAutospacing="1"/>
        <w:rPr>
          <w:rFonts w:cstheme="minorHAnsi"/>
        </w:rPr>
      </w:pPr>
      <w:r w:rsidRPr="00A847B7">
        <w:rPr>
          <w:rFonts w:cstheme="minorHAnsi"/>
        </w:rPr>
        <w:t>les r</w:t>
      </w:r>
      <w:r w:rsidR="00DC025D" w:rsidRPr="00A847B7">
        <w:rPr>
          <w:rFonts w:cstheme="minorHAnsi"/>
        </w:rPr>
        <w:t>émunérations exagérées ;</w:t>
      </w:r>
    </w:p>
    <w:p w14:paraId="012E5579" w14:textId="1A28ECB5" w:rsidR="00DC025D" w:rsidRPr="00A847B7" w:rsidRDefault="00DC025D" w:rsidP="00EE0687">
      <w:pPr>
        <w:pStyle w:val="Paragraphedeliste"/>
        <w:numPr>
          <w:ilvl w:val="0"/>
          <w:numId w:val="8"/>
        </w:numPr>
        <w:spacing w:beforeAutospacing="1" w:after="100" w:afterAutospacing="1"/>
        <w:rPr>
          <w:rFonts w:cstheme="minorHAnsi"/>
        </w:rPr>
      </w:pPr>
      <w:r w:rsidRPr="00A847B7">
        <w:rPr>
          <w:rFonts w:cstheme="minorHAnsi"/>
        </w:rPr>
        <w:t>les revenus distribués qui résultent d’une rectification des résultats de la société distributrice</w:t>
      </w:r>
      <w:r w:rsidR="0030553F" w:rsidRPr="00A847B7">
        <w:rPr>
          <w:rFonts w:cstheme="minorHAnsi"/>
        </w:rPr>
        <w:t>.</w:t>
      </w:r>
    </w:p>
    <w:p w14:paraId="2F0D9C91" w14:textId="6AF4CFC7" w:rsidR="0030553F" w:rsidRPr="00A847B7" w:rsidRDefault="0030553F" w:rsidP="0030553F">
      <w:pPr>
        <w:spacing w:beforeAutospacing="1" w:after="100" w:afterAutospacing="1"/>
        <w:rPr>
          <w:rFonts w:cstheme="minorHAnsi"/>
        </w:rPr>
      </w:pPr>
      <w:r w:rsidRPr="00A847B7">
        <w:rPr>
          <w:rFonts w:cstheme="minorHAnsi"/>
        </w:rPr>
        <w:t xml:space="preserve">Dès l’imposition des revenus 2020, cette majoration de 25 % s’appliquera également au calcul de l’impôt sur le revenu au titre du prélèvement forfaitaire unique (PFU, aussi appelé « Flat </w:t>
      </w:r>
      <w:proofErr w:type="spellStart"/>
      <w:r w:rsidRPr="00A847B7">
        <w:rPr>
          <w:rFonts w:cstheme="minorHAnsi"/>
        </w:rPr>
        <w:t>tax</w:t>
      </w:r>
      <w:proofErr w:type="spellEnd"/>
      <w:r w:rsidRPr="00A847B7">
        <w:rPr>
          <w:rFonts w:cstheme="minorHAnsi"/>
        </w:rPr>
        <w:t> »).</w:t>
      </w:r>
    </w:p>
    <w:p w14:paraId="267A4021" w14:textId="3F503F24" w:rsidR="00BF2BD6" w:rsidRPr="00A847B7" w:rsidRDefault="00BF2BD6" w:rsidP="00A8095A">
      <w:pPr>
        <w:spacing w:beforeAutospacing="1" w:after="100" w:afterAutospacing="1"/>
        <w:rPr>
          <w:rFonts w:cstheme="minorHAnsi"/>
        </w:rPr>
      </w:pPr>
    </w:p>
    <w:p w14:paraId="1C88DA89" w14:textId="2B3EE9FC" w:rsidR="00D15269" w:rsidRPr="00A847B7" w:rsidRDefault="00D15269" w:rsidP="00D15269">
      <w:pPr>
        <w:pStyle w:val="Titre3"/>
      </w:pPr>
      <w:bookmarkStart w:id="45" w:name="_Toc60780978"/>
      <w:r w:rsidRPr="00A847B7">
        <w:t xml:space="preserve">Slide </w:t>
      </w:r>
      <w:r w:rsidR="00B511E3">
        <w:t>27</w:t>
      </w:r>
      <w:r w:rsidRPr="00A847B7">
        <w:t xml:space="preserve"> : </w:t>
      </w:r>
      <w:r w:rsidR="00D4333D" w:rsidRPr="00A847B7">
        <w:t>Prélèvement forfaitaire unique et plan d’éparg</w:t>
      </w:r>
      <w:r w:rsidR="007B2202" w:rsidRPr="00A847B7">
        <w:t>ne retraite</w:t>
      </w:r>
      <w:bookmarkEnd w:id="45"/>
    </w:p>
    <w:p w14:paraId="046C8B01" w14:textId="55C3C6F0" w:rsidR="007B2202" w:rsidRPr="00A847B7" w:rsidRDefault="00FC77C8" w:rsidP="00FC77C8">
      <w:r w:rsidRPr="004F587E">
        <w:rPr>
          <w:u w:val="single"/>
        </w:rPr>
        <w:lastRenderedPageBreak/>
        <w:t xml:space="preserve">Source </w:t>
      </w:r>
      <w:r w:rsidRPr="00A847B7">
        <w:t>:</w:t>
      </w:r>
      <w:r w:rsidR="007B2202" w:rsidRPr="00A847B7">
        <w:t xml:space="preserve"> Loi de Finances pour 2021, </w:t>
      </w:r>
      <w:r w:rsidR="007B2202" w:rsidRPr="00905C0E">
        <w:t xml:space="preserve">article </w:t>
      </w:r>
      <w:r w:rsidR="00407E65" w:rsidRPr="00905C0E">
        <w:t>40</w:t>
      </w:r>
    </w:p>
    <w:p w14:paraId="53B97454" w14:textId="77777777" w:rsidR="00FE2F07" w:rsidRPr="00A847B7" w:rsidRDefault="00D92EF0" w:rsidP="00FE2F07">
      <w:pPr>
        <w:spacing w:beforeAutospacing="1" w:after="100" w:afterAutospacing="1"/>
        <w:rPr>
          <w:rFonts w:cstheme="minorHAnsi"/>
        </w:rPr>
      </w:pPr>
      <w:r w:rsidRPr="00A847B7">
        <w:rPr>
          <w:rFonts w:cstheme="minorHAnsi"/>
        </w:rPr>
        <w:t>Dans le cadre d</w:t>
      </w:r>
      <w:r w:rsidR="0084173E" w:rsidRPr="00A847B7">
        <w:rPr>
          <w:rFonts w:cstheme="minorHAnsi"/>
        </w:rPr>
        <w:t xml:space="preserve">’un plan d’épargne retraite tel qu’issu de la Loi PACTE publiée le 22 mai 2019, </w:t>
      </w:r>
      <w:r w:rsidR="004278D3" w:rsidRPr="00A847B7">
        <w:rPr>
          <w:rFonts w:cstheme="minorHAnsi"/>
        </w:rPr>
        <w:t>les sommes versées à l’échéance du plan sous forme de capital sont soumises à l’impôt sur le revenu (IR) au titre du prélèvement forfaitaire unique (PFU) au taux de 12,8 %</w:t>
      </w:r>
      <w:r w:rsidR="00AE1ABC" w:rsidRPr="00A847B7">
        <w:rPr>
          <w:rFonts w:cstheme="minorHAnsi"/>
        </w:rPr>
        <w:t>, sauf à ce que le bénéficiaire fasse le choix d’opter pour une imposition au titre du barème progressif.</w:t>
      </w:r>
    </w:p>
    <w:p w14:paraId="3E823C7D" w14:textId="19B86164" w:rsidR="00FE2F07" w:rsidRPr="00A847B7" w:rsidRDefault="00FE2F07" w:rsidP="00FE2F07">
      <w:pPr>
        <w:spacing w:beforeAutospacing="1" w:after="100" w:afterAutospacing="1"/>
        <w:rPr>
          <w:rFonts w:cstheme="minorHAnsi"/>
        </w:rPr>
      </w:pPr>
      <w:r w:rsidRPr="00A847B7">
        <w:rPr>
          <w:rFonts w:cstheme="minorHAnsi"/>
        </w:rPr>
        <w:t>L’imposition se fait en 2 temps :</w:t>
      </w:r>
    </w:p>
    <w:p w14:paraId="255761ED" w14:textId="23418D81" w:rsidR="00FE2F07" w:rsidRPr="00A847B7" w:rsidRDefault="00FE2F07" w:rsidP="00EE0687">
      <w:pPr>
        <w:pStyle w:val="Paragraphedeliste"/>
        <w:numPr>
          <w:ilvl w:val="0"/>
          <w:numId w:val="22"/>
        </w:numPr>
        <w:spacing w:beforeAutospacing="1" w:after="100" w:afterAutospacing="1"/>
        <w:rPr>
          <w:rFonts w:cstheme="minorHAnsi"/>
        </w:rPr>
      </w:pPr>
      <w:r w:rsidRPr="00A847B7">
        <w:rPr>
          <w:rFonts w:cstheme="minorHAnsi"/>
        </w:rPr>
        <w:t xml:space="preserve">l’année de leur versement, les revenus sont soumis, sauf exceptions, à un prélèvement forfaitaire non libératoire </w:t>
      </w:r>
      <w:r w:rsidR="00502EAB" w:rsidRPr="00A847B7">
        <w:rPr>
          <w:rFonts w:cstheme="minorHAnsi"/>
        </w:rPr>
        <w:t xml:space="preserve">obligatoire </w:t>
      </w:r>
      <w:r w:rsidR="00201440" w:rsidRPr="00A847B7">
        <w:rPr>
          <w:rFonts w:cstheme="minorHAnsi"/>
        </w:rPr>
        <w:t xml:space="preserve">(PFO) </w:t>
      </w:r>
      <w:r w:rsidRPr="00A847B7">
        <w:rPr>
          <w:rFonts w:cstheme="minorHAnsi"/>
        </w:rPr>
        <w:t>perçu à titre d’acompte au taux de 12,8 %</w:t>
      </w:r>
      <w:r w:rsidR="00201440" w:rsidRPr="00A847B7">
        <w:rPr>
          <w:rFonts w:cstheme="minorHAnsi"/>
        </w:rPr>
        <w:t> ;</w:t>
      </w:r>
    </w:p>
    <w:p w14:paraId="42966438" w14:textId="6CE8F10E" w:rsidR="00FE2F07" w:rsidRPr="00A847B7" w:rsidRDefault="00FE2F07" w:rsidP="00EE0687">
      <w:pPr>
        <w:pStyle w:val="Paragraphedeliste"/>
        <w:numPr>
          <w:ilvl w:val="0"/>
          <w:numId w:val="22"/>
        </w:numPr>
        <w:spacing w:beforeAutospacing="1" w:after="100" w:afterAutospacing="1"/>
        <w:rPr>
          <w:rFonts w:cstheme="minorHAnsi"/>
        </w:rPr>
      </w:pPr>
      <w:r w:rsidRPr="00A847B7">
        <w:rPr>
          <w:rFonts w:cstheme="minorHAnsi"/>
        </w:rPr>
        <w:t>l’année suivante, ils sont soumis à l’impôt sur le revenu (PFU ou, sur option, au barème progressif), sous déduction de l’impôt prélevé à la source au titre du prélèvement forfaitaire non libératoire.</w:t>
      </w:r>
    </w:p>
    <w:p w14:paraId="3C3050BD" w14:textId="79E7FC37" w:rsidR="00AE1ABC" w:rsidRPr="00A847B7" w:rsidRDefault="00251D0C" w:rsidP="00D15269">
      <w:pPr>
        <w:spacing w:beforeAutospacing="1" w:after="100" w:afterAutospacing="1"/>
        <w:rPr>
          <w:rFonts w:cstheme="minorHAnsi"/>
        </w:rPr>
      </w:pPr>
      <w:r w:rsidRPr="00A847B7">
        <w:rPr>
          <w:rFonts w:cstheme="minorHAnsi"/>
        </w:rPr>
        <w:t xml:space="preserve">Peuvent toujours demander à être dispensés du </w:t>
      </w:r>
      <w:r w:rsidR="00243FA8" w:rsidRPr="00A847B7">
        <w:rPr>
          <w:rFonts w:cstheme="minorHAnsi"/>
        </w:rPr>
        <w:t>PFO</w:t>
      </w:r>
      <w:r w:rsidRPr="00A847B7">
        <w:rPr>
          <w:rFonts w:cstheme="minorHAnsi"/>
        </w:rPr>
        <w:t xml:space="preserve">, au titre de l’année de versement des revenus, les particuliers dont le revenu fiscal de référence de l’avant-dernière année est inférieur à </w:t>
      </w:r>
      <w:r w:rsidR="00FC0B03" w:rsidRPr="00A847B7">
        <w:rPr>
          <w:rFonts w:cstheme="minorHAnsi"/>
        </w:rPr>
        <w:t>25 000 € (pour les célibataires, divorcés ou veufs), et 50 000 € (pour les contribuables soumis à imposition commune)</w:t>
      </w:r>
      <w:r w:rsidR="008F4310" w:rsidRPr="00A847B7">
        <w:rPr>
          <w:rFonts w:cstheme="minorHAnsi"/>
        </w:rPr>
        <w:t>.</w:t>
      </w:r>
    </w:p>
    <w:p w14:paraId="53C3C264" w14:textId="25E23301" w:rsidR="00243FA8" w:rsidRPr="00A847B7" w:rsidRDefault="00165A69" w:rsidP="00D15269">
      <w:pPr>
        <w:spacing w:beforeAutospacing="1" w:after="100" w:afterAutospacing="1"/>
        <w:rPr>
          <w:rFonts w:cstheme="minorHAnsi"/>
        </w:rPr>
      </w:pPr>
      <w:r w:rsidRPr="00A847B7">
        <w:rPr>
          <w:rFonts w:cstheme="minorHAnsi"/>
        </w:rPr>
        <w:t>Concernant l’imposition des sommes versées dans le cadre d’un plan d’épargne retraite, la demande de dispense peut être déposée au plus tard lors de l’encaissement des revenus</w:t>
      </w:r>
      <w:r w:rsidR="00846F44" w:rsidRPr="00A847B7">
        <w:rPr>
          <w:rFonts w:cstheme="minorHAnsi"/>
        </w:rPr>
        <w:t xml:space="preserve">, et non pas au plus tard le 30 novembre de l’année </w:t>
      </w:r>
      <w:r w:rsidR="00430E26" w:rsidRPr="00A847B7">
        <w:rPr>
          <w:rFonts w:cstheme="minorHAnsi"/>
        </w:rPr>
        <w:t>précédant</w:t>
      </w:r>
      <w:r w:rsidR="00846F44" w:rsidRPr="00A847B7">
        <w:rPr>
          <w:rFonts w:cstheme="minorHAnsi"/>
        </w:rPr>
        <w:t xml:space="preserve"> celle </w:t>
      </w:r>
      <w:r w:rsidR="001A2922" w:rsidRPr="00A847B7">
        <w:rPr>
          <w:rFonts w:cstheme="minorHAnsi"/>
        </w:rPr>
        <w:t>de leur</w:t>
      </w:r>
      <w:r w:rsidR="00846F44" w:rsidRPr="00A847B7">
        <w:rPr>
          <w:rFonts w:cstheme="minorHAnsi"/>
        </w:rPr>
        <w:t xml:space="preserve"> versement.</w:t>
      </w:r>
    </w:p>
    <w:p w14:paraId="17E36C66" w14:textId="77777777" w:rsidR="00D15269" w:rsidRPr="00A847B7" w:rsidRDefault="00D15269" w:rsidP="00D15269">
      <w:pPr>
        <w:spacing w:beforeAutospacing="1" w:after="100" w:afterAutospacing="1"/>
        <w:rPr>
          <w:rFonts w:cstheme="minorHAnsi"/>
        </w:rPr>
      </w:pPr>
    </w:p>
    <w:p w14:paraId="0AC2323D" w14:textId="51170608" w:rsidR="00D15269" w:rsidRPr="00A847B7" w:rsidRDefault="00D15269" w:rsidP="00D15269">
      <w:pPr>
        <w:pStyle w:val="Titre3"/>
      </w:pPr>
      <w:bookmarkStart w:id="46" w:name="_Toc60780979"/>
      <w:r w:rsidRPr="00A847B7">
        <w:t xml:space="preserve">Slide </w:t>
      </w:r>
      <w:r w:rsidR="008E7CAD">
        <w:t>28</w:t>
      </w:r>
      <w:r w:rsidRPr="00A847B7">
        <w:t xml:space="preserve"> : </w:t>
      </w:r>
      <w:r w:rsidR="00221E42" w:rsidRPr="00A847B7">
        <w:t xml:space="preserve">Droits </w:t>
      </w:r>
      <w:r w:rsidR="006E68D8" w:rsidRPr="00A847B7">
        <w:t>de mutation</w:t>
      </w:r>
      <w:bookmarkEnd w:id="46"/>
    </w:p>
    <w:p w14:paraId="7B497B6D" w14:textId="63B04A4B" w:rsidR="00407E65" w:rsidRDefault="00FC77C8" w:rsidP="00001043">
      <w:pPr>
        <w:rPr>
          <w:highlight w:val="yellow"/>
        </w:rPr>
      </w:pPr>
      <w:r w:rsidRPr="004F587E">
        <w:rPr>
          <w:u w:val="single"/>
        </w:rPr>
        <w:t xml:space="preserve">Source </w:t>
      </w:r>
      <w:r w:rsidRPr="00A847B7">
        <w:t>:</w:t>
      </w:r>
      <w:r w:rsidR="00E17C5E" w:rsidRPr="00A847B7">
        <w:t xml:space="preserve"> Loi de Finances pour 2021, </w:t>
      </w:r>
      <w:r w:rsidR="00E17C5E" w:rsidRPr="00905C0E">
        <w:t xml:space="preserve">articles </w:t>
      </w:r>
      <w:r w:rsidR="00407E65" w:rsidRPr="00905C0E">
        <w:t>158, 43</w:t>
      </w:r>
      <w:r w:rsidR="00BE4E76">
        <w:t>, 156</w:t>
      </w:r>
      <w:r w:rsidR="008972E6" w:rsidRPr="00905C0E">
        <w:t xml:space="preserve"> et 157</w:t>
      </w:r>
    </w:p>
    <w:p w14:paraId="6F131FFF" w14:textId="77777777" w:rsidR="00D15269" w:rsidRPr="00A847B7" w:rsidRDefault="001F2516" w:rsidP="00EE0687">
      <w:pPr>
        <w:pStyle w:val="Paragraphedeliste"/>
        <w:numPr>
          <w:ilvl w:val="0"/>
          <w:numId w:val="23"/>
        </w:numPr>
        <w:spacing w:beforeAutospacing="1" w:after="100" w:afterAutospacing="1"/>
        <w:rPr>
          <w:rFonts w:cstheme="minorHAnsi"/>
          <w:b/>
          <w:bCs/>
          <w:i/>
          <w:iCs/>
          <w:u w:val="single"/>
        </w:rPr>
      </w:pPr>
      <w:r w:rsidRPr="00A847B7">
        <w:rPr>
          <w:rFonts w:cstheme="minorHAnsi"/>
          <w:b/>
          <w:bCs/>
          <w:i/>
          <w:iCs/>
          <w:u w:val="single"/>
        </w:rPr>
        <w:t>Concernant l’exonération de</w:t>
      </w:r>
      <w:r w:rsidR="006E68D8" w:rsidRPr="00A847B7">
        <w:rPr>
          <w:rFonts w:cstheme="minorHAnsi"/>
          <w:b/>
          <w:bCs/>
          <w:i/>
          <w:iCs/>
          <w:u w:val="single"/>
        </w:rPr>
        <w:t xml:space="preserve"> droits de mutation </w:t>
      </w:r>
      <w:r w:rsidR="00501F6C" w:rsidRPr="00A847B7">
        <w:rPr>
          <w:rFonts w:cstheme="minorHAnsi"/>
          <w:b/>
          <w:bCs/>
          <w:i/>
          <w:iCs/>
          <w:u w:val="single"/>
        </w:rPr>
        <w:t>pour les dons et legs fait à certains établissements publics</w:t>
      </w:r>
    </w:p>
    <w:p w14:paraId="4BBF7D96" w14:textId="77777777" w:rsidR="00501F6C" w:rsidRPr="00A847B7" w:rsidRDefault="00217C46" w:rsidP="00501F6C">
      <w:pPr>
        <w:spacing w:beforeAutospacing="1" w:after="100" w:afterAutospacing="1"/>
        <w:rPr>
          <w:rFonts w:cstheme="minorHAnsi"/>
        </w:rPr>
      </w:pPr>
      <w:r w:rsidRPr="00A847B7">
        <w:rPr>
          <w:rFonts w:cstheme="minorHAnsi"/>
        </w:rPr>
        <w:t>Actuellement, les dons et legs faits à des établissements publics charitables, aux mutuelles et à toute autre société reconnue d’utilité publique dont les ressources sont affectées à des œuvres d’assistance, à la défense de l’environnement naturel ou à la protection des animaux sont exonérés de droits de mutation.</w:t>
      </w:r>
    </w:p>
    <w:p w14:paraId="0C41B864" w14:textId="77777777" w:rsidR="00217C46" w:rsidRPr="00A847B7" w:rsidRDefault="00104D02" w:rsidP="00501F6C">
      <w:pPr>
        <w:spacing w:beforeAutospacing="1" w:after="100" w:afterAutospacing="1"/>
        <w:rPr>
          <w:rFonts w:cstheme="minorHAnsi"/>
        </w:rPr>
      </w:pPr>
      <w:r w:rsidRPr="00A847B7">
        <w:rPr>
          <w:rFonts w:cstheme="minorHAnsi"/>
        </w:rPr>
        <w:t xml:space="preserve">Désormais, bénéficient aussi de cette exonération les associations simplement déclarée qui poursuivent un </w:t>
      </w:r>
      <w:r w:rsidR="00401CCB" w:rsidRPr="00A847B7">
        <w:rPr>
          <w:rFonts w:cstheme="minorHAnsi"/>
        </w:rPr>
        <w:t xml:space="preserve">but exclusif d’assistance et de bienfaisance. </w:t>
      </w:r>
    </w:p>
    <w:p w14:paraId="7B7DA8D3" w14:textId="77777777" w:rsidR="008835FF" w:rsidRPr="00A847B7" w:rsidRDefault="008835FF" w:rsidP="00EE0687">
      <w:pPr>
        <w:pStyle w:val="Paragraphedeliste"/>
        <w:numPr>
          <w:ilvl w:val="0"/>
          <w:numId w:val="23"/>
        </w:numPr>
        <w:spacing w:beforeAutospacing="1" w:after="100" w:afterAutospacing="1"/>
        <w:rPr>
          <w:rFonts w:cstheme="minorHAnsi"/>
        </w:rPr>
      </w:pPr>
      <w:r w:rsidRPr="00A847B7">
        <w:rPr>
          <w:rFonts w:cstheme="minorHAnsi"/>
          <w:b/>
          <w:bCs/>
          <w:i/>
          <w:iCs/>
          <w:u w:val="single"/>
        </w:rPr>
        <w:t xml:space="preserve">Concernant </w:t>
      </w:r>
      <w:r w:rsidR="00333A9B" w:rsidRPr="00A847B7">
        <w:rPr>
          <w:rFonts w:cstheme="minorHAnsi"/>
          <w:b/>
          <w:bCs/>
          <w:i/>
          <w:iCs/>
          <w:u w:val="single"/>
        </w:rPr>
        <w:t>l’exonération de</w:t>
      </w:r>
      <w:r w:rsidRPr="00A847B7">
        <w:rPr>
          <w:rFonts w:cstheme="minorHAnsi"/>
          <w:b/>
          <w:bCs/>
          <w:i/>
          <w:iCs/>
          <w:u w:val="single"/>
        </w:rPr>
        <w:t xml:space="preserve"> droits de mutation sur les successions des militaires déc</w:t>
      </w:r>
      <w:r w:rsidR="0054081A" w:rsidRPr="00A847B7">
        <w:rPr>
          <w:rFonts w:cstheme="minorHAnsi"/>
          <w:b/>
          <w:bCs/>
          <w:i/>
          <w:iCs/>
          <w:u w:val="single"/>
        </w:rPr>
        <w:t>é</w:t>
      </w:r>
      <w:r w:rsidRPr="00A847B7">
        <w:rPr>
          <w:rFonts w:cstheme="minorHAnsi"/>
          <w:b/>
          <w:bCs/>
          <w:i/>
          <w:iCs/>
          <w:u w:val="single"/>
        </w:rPr>
        <w:t>dés lors d</w:t>
      </w:r>
      <w:r w:rsidR="00F14515" w:rsidRPr="00A847B7">
        <w:rPr>
          <w:rFonts w:cstheme="minorHAnsi"/>
          <w:b/>
          <w:bCs/>
          <w:i/>
          <w:iCs/>
          <w:u w:val="single"/>
        </w:rPr>
        <w:t>e participation à une OPEX ou une opération de sécurité intérieure</w:t>
      </w:r>
    </w:p>
    <w:p w14:paraId="1EC2A8E1" w14:textId="77777777" w:rsidR="00795180" w:rsidRPr="00A847B7" w:rsidRDefault="00F72197" w:rsidP="00F72197">
      <w:pPr>
        <w:spacing w:beforeAutospacing="1" w:after="100" w:afterAutospacing="1"/>
        <w:rPr>
          <w:rFonts w:cstheme="minorHAnsi"/>
        </w:rPr>
      </w:pPr>
      <w:r w:rsidRPr="00A847B7">
        <w:rPr>
          <w:rFonts w:cstheme="minorHAnsi"/>
        </w:rPr>
        <w:t xml:space="preserve">Actuellement, </w:t>
      </w:r>
      <w:r w:rsidR="0054081A" w:rsidRPr="00A847B7">
        <w:rPr>
          <w:rFonts w:cstheme="minorHAnsi"/>
        </w:rPr>
        <w:t xml:space="preserve">sont exonérées de droit de mutation les successions des militaires décédés lors de leur participation à une opération </w:t>
      </w:r>
      <w:r w:rsidR="00A15450" w:rsidRPr="00A847B7">
        <w:rPr>
          <w:rFonts w:cstheme="minorHAnsi"/>
        </w:rPr>
        <w:t>extérieure (OPEX) ou à une opération de sécurité intérieure ou, dans les 3 ans qui suivent la fin de celles-ci, des blessures reçues ou des maladies contractées pendant ces opérations.</w:t>
      </w:r>
    </w:p>
    <w:p w14:paraId="2CD58DE4" w14:textId="518C75E5" w:rsidR="00795180" w:rsidRPr="00A847B7" w:rsidRDefault="00A15450" w:rsidP="00D15269">
      <w:pPr>
        <w:spacing w:beforeAutospacing="1" w:after="100" w:afterAutospacing="1"/>
      </w:pPr>
      <w:r w:rsidRPr="00A847B7">
        <w:rPr>
          <w:rFonts w:cstheme="minorHAnsi"/>
        </w:rPr>
        <w:t>Pour les successions ouvertes à compter du 1</w:t>
      </w:r>
      <w:r w:rsidRPr="00A847B7">
        <w:rPr>
          <w:rFonts w:cstheme="minorHAnsi"/>
          <w:vertAlign w:val="superscript"/>
        </w:rPr>
        <w:t>er</w:t>
      </w:r>
      <w:r w:rsidRPr="00A847B7">
        <w:rPr>
          <w:rFonts w:cstheme="minorHAnsi"/>
        </w:rPr>
        <w:t xml:space="preserve"> janvier 2021, </w:t>
      </w:r>
      <w:r w:rsidR="00AF4EC0" w:rsidRPr="00A847B7">
        <w:t xml:space="preserve">les termes </w:t>
      </w:r>
      <w:proofErr w:type="gramStart"/>
      <w:r w:rsidR="00AF4EC0" w:rsidRPr="00A847B7">
        <w:t>«  extérieures</w:t>
      </w:r>
      <w:proofErr w:type="gramEnd"/>
      <w:r w:rsidR="00AF4EC0" w:rsidRPr="00A847B7">
        <w:t> »</w:t>
      </w:r>
      <w:r w:rsidR="00335AEA">
        <w:t xml:space="preserve"> </w:t>
      </w:r>
      <w:r w:rsidR="00AF4EC0" w:rsidRPr="00A847B7">
        <w:t xml:space="preserve">et « d’opérations de sécurité intérieure » sont </w:t>
      </w:r>
      <w:r w:rsidR="008972E6">
        <w:t>supprimés</w:t>
      </w:r>
      <w:r w:rsidR="00AF4EC0" w:rsidRPr="00A847B7">
        <w:t>.</w:t>
      </w:r>
    </w:p>
    <w:p w14:paraId="026FDF23" w14:textId="77777777" w:rsidR="004D2F5E" w:rsidRPr="00A847B7" w:rsidRDefault="008371C3" w:rsidP="00EE0687">
      <w:pPr>
        <w:pStyle w:val="Paragraphedeliste"/>
        <w:numPr>
          <w:ilvl w:val="0"/>
          <w:numId w:val="23"/>
        </w:numPr>
        <w:spacing w:beforeAutospacing="1" w:after="100" w:afterAutospacing="1"/>
        <w:rPr>
          <w:rFonts w:cstheme="minorHAnsi"/>
        </w:rPr>
      </w:pPr>
      <w:r w:rsidRPr="00A847B7">
        <w:rPr>
          <w:rFonts w:cstheme="minorHAnsi"/>
          <w:b/>
          <w:bCs/>
          <w:i/>
          <w:iCs/>
          <w:u w:val="single"/>
        </w:rPr>
        <w:t xml:space="preserve">Concernant la formalité d’enregistrement </w:t>
      </w:r>
    </w:p>
    <w:p w14:paraId="18CFFBDD" w14:textId="77777777" w:rsidR="004D2F5E" w:rsidRPr="00A847B7" w:rsidRDefault="005E789A" w:rsidP="00D15269">
      <w:pPr>
        <w:spacing w:beforeAutospacing="1" w:after="100" w:afterAutospacing="1"/>
        <w:rPr>
          <w:rFonts w:cstheme="minorHAnsi"/>
        </w:rPr>
      </w:pPr>
      <w:r w:rsidRPr="00A847B7">
        <w:rPr>
          <w:rFonts w:cstheme="minorHAnsi"/>
        </w:rPr>
        <w:lastRenderedPageBreak/>
        <w:t xml:space="preserve">Actuellement, </w:t>
      </w:r>
      <w:r w:rsidR="00F8465A" w:rsidRPr="00A847B7">
        <w:rPr>
          <w:rFonts w:cstheme="minorHAnsi"/>
        </w:rPr>
        <w:t>l</w:t>
      </w:r>
      <w:r w:rsidR="00313136" w:rsidRPr="00A847B7">
        <w:rPr>
          <w:rFonts w:cstheme="minorHAnsi"/>
        </w:rPr>
        <w:t>es testaments-partages déposés chez les notaires ou reçus par eux doivent être enregistrés au plus tard lors de l'enregistrement de l'acte constatant le partage de la succession.</w:t>
      </w:r>
    </w:p>
    <w:p w14:paraId="7DFDFEF6" w14:textId="77777777" w:rsidR="00E17C5E" w:rsidRPr="00A847B7" w:rsidRDefault="00E17C5E" w:rsidP="00E17C5E">
      <w:pPr>
        <w:spacing w:beforeAutospacing="1" w:after="100" w:afterAutospacing="1"/>
        <w:rPr>
          <w:rFonts w:cstheme="minorHAnsi"/>
        </w:rPr>
      </w:pPr>
      <w:r w:rsidRPr="00A847B7">
        <w:rPr>
          <w:rFonts w:cstheme="minorHAnsi"/>
        </w:rPr>
        <w:t>La Loi de Finances pour 2021 rétablit, à compter du 1</w:t>
      </w:r>
      <w:r w:rsidRPr="00A847B7">
        <w:rPr>
          <w:rFonts w:cstheme="minorHAnsi"/>
          <w:vertAlign w:val="superscript"/>
        </w:rPr>
        <w:t>er</w:t>
      </w:r>
      <w:r w:rsidRPr="00A847B7">
        <w:rPr>
          <w:rFonts w:cstheme="minorHAnsi"/>
        </w:rPr>
        <w:t xml:space="preserve"> janvier 2021, l’obligation d’enregistrement des testaments reçus par les notaires, dans un délai de 3 mois à compter de la date du décès du testateur.</w:t>
      </w:r>
    </w:p>
    <w:p w14:paraId="142B249F" w14:textId="0E7D15FD" w:rsidR="00E17C5E" w:rsidRDefault="00E17C5E" w:rsidP="00E17C5E">
      <w:pPr>
        <w:spacing w:beforeAutospacing="1" w:after="100" w:afterAutospacing="1"/>
        <w:rPr>
          <w:rFonts w:cstheme="minorHAnsi"/>
        </w:rPr>
      </w:pPr>
      <w:r>
        <w:rPr>
          <w:rFonts w:cstheme="minorHAnsi"/>
        </w:rPr>
        <w:t xml:space="preserve">Elle prévoit également la possibilité de présenter à l’enregistrement une </w:t>
      </w:r>
      <w:r w:rsidR="00BE4E76" w:rsidRPr="00BE4E76">
        <w:rPr>
          <w:rFonts w:cstheme="minorHAnsi"/>
        </w:rPr>
        <w:t>expédition intégrale des actes notariés à enregistrer</w:t>
      </w:r>
      <w:r w:rsidR="00BE4E76">
        <w:rPr>
          <w:rFonts w:cstheme="minorHAnsi"/>
        </w:rPr>
        <w:t xml:space="preserve">, ou </w:t>
      </w:r>
      <w:r>
        <w:rPr>
          <w:rFonts w:cstheme="minorHAnsi"/>
        </w:rPr>
        <w:t>une copie des actes sous seing privé signés électroniquement, à l’exception des promesses unilatérales de vente immobilière. Dans cette hypothèse, la copie est déposée en 2 exemplaires.</w:t>
      </w:r>
    </w:p>
    <w:p w14:paraId="3B3D319F" w14:textId="77777777" w:rsidR="00DD1EF7" w:rsidRPr="00A847B7" w:rsidRDefault="00DD1EF7" w:rsidP="00D15269">
      <w:pPr>
        <w:spacing w:beforeAutospacing="1" w:after="100" w:afterAutospacing="1"/>
        <w:rPr>
          <w:rFonts w:cstheme="minorHAnsi"/>
        </w:rPr>
      </w:pPr>
    </w:p>
    <w:p w14:paraId="0F36AA30" w14:textId="6A28CC86" w:rsidR="00D52179" w:rsidRPr="00A847B7" w:rsidRDefault="00D52179" w:rsidP="00D52179">
      <w:pPr>
        <w:pStyle w:val="Titre3"/>
      </w:pPr>
      <w:bookmarkStart w:id="47" w:name="_Toc60780980"/>
      <w:r w:rsidRPr="00A847B7">
        <w:t xml:space="preserve">Slide </w:t>
      </w:r>
      <w:r w:rsidR="00AD340A">
        <w:t>29</w:t>
      </w:r>
      <w:r w:rsidRPr="00A847B7">
        <w:t xml:space="preserve"> : </w:t>
      </w:r>
      <w:r w:rsidR="0052347A" w:rsidRPr="00A847B7">
        <w:t>Mesures diverses</w:t>
      </w:r>
      <w:bookmarkEnd w:id="47"/>
    </w:p>
    <w:p w14:paraId="07C83C39" w14:textId="0E279666" w:rsidR="007F4E89" w:rsidRDefault="00001043" w:rsidP="00001043">
      <w:pPr>
        <w:rPr>
          <w:highlight w:val="yellow"/>
        </w:rPr>
      </w:pPr>
      <w:r w:rsidRPr="004F587E">
        <w:rPr>
          <w:u w:val="single"/>
        </w:rPr>
        <w:t xml:space="preserve">Source </w:t>
      </w:r>
      <w:r w:rsidRPr="00A847B7">
        <w:t>:</w:t>
      </w:r>
      <w:r w:rsidR="0052347A" w:rsidRPr="00A847B7">
        <w:t xml:space="preserve"> Loi de Finances pour </w:t>
      </w:r>
      <w:r w:rsidR="0052347A" w:rsidRPr="00905C0E">
        <w:t xml:space="preserve">2021, articles </w:t>
      </w:r>
      <w:r w:rsidR="007F4E89" w:rsidRPr="00905C0E">
        <w:t>197</w:t>
      </w:r>
      <w:r w:rsidR="006C5471">
        <w:t>, 65</w:t>
      </w:r>
      <w:r w:rsidR="00D95A2C">
        <w:t xml:space="preserve"> et 203</w:t>
      </w:r>
    </w:p>
    <w:p w14:paraId="615558A4" w14:textId="57DB01C3" w:rsidR="00B07AF9" w:rsidRPr="00A847B7" w:rsidRDefault="00B07AF9" w:rsidP="00EE0687">
      <w:pPr>
        <w:pStyle w:val="Paragraphedeliste"/>
        <w:numPr>
          <w:ilvl w:val="0"/>
          <w:numId w:val="23"/>
        </w:numPr>
        <w:spacing w:beforeAutospacing="1" w:after="100" w:afterAutospacing="1"/>
        <w:rPr>
          <w:rFonts w:cstheme="minorHAnsi"/>
        </w:rPr>
      </w:pPr>
      <w:r w:rsidRPr="00A847B7">
        <w:rPr>
          <w:rFonts w:cstheme="minorHAnsi"/>
          <w:b/>
          <w:bCs/>
          <w:i/>
          <w:iCs/>
          <w:u w:val="single"/>
        </w:rPr>
        <w:t>Réduction de loyer de solidarité</w:t>
      </w:r>
    </w:p>
    <w:p w14:paraId="07DF86E9" w14:textId="552930F8" w:rsidR="00B07AF9" w:rsidRPr="00A847B7" w:rsidRDefault="00B07AF9" w:rsidP="00001043">
      <w:pPr>
        <w:spacing w:beforeAutospacing="1" w:after="100" w:afterAutospacing="1"/>
        <w:rPr>
          <w:rFonts w:cstheme="minorHAnsi"/>
        </w:rPr>
      </w:pPr>
      <w:r w:rsidRPr="00A847B7">
        <w:rPr>
          <w:rFonts w:cstheme="minorHAnsi"/>
        </w:rPr>
        <w:t>Un</w:t>
      </w:r>
      <w:r w:rsidR="00C469C3" w:rsidRPr="00A847B7">
        <w:rPr>
          <w:rFonts w:cstheme="minorHAnsi"/>
        </w:rPr>
        <w:t>e réduction de loyer de solidarité est appliquée par les bailleurs aux locataires dont les ressources sont inférieures à un plafond, qui varie selon la composition du loyer et</w:t>
      </w:r>
      <w:r w:rsidR="005646A5" w:rsidRPr="00A847B7">
        <w:rPr>
          <w:rFonts w:cstheme="minorHAnsi"/>
        </w:rPr>
        <w:t xml:space="preserve"> la zone géographique, pour les logements </w:t>
      </w:r>
      <w:r w:rsidR="00361F2C" w:rsidRPr="00A847B7">
        <w:rPr>
          <w:rFonts w:cstheme="minorHAnsi"/>
        </w:rPr>
        <w:t xml:space="preserve">ouvrant </w:t>
      </w:r>
      <w:r w:rsidR="005646A5" w:rsidRPr="00A847B7">
        <w:rPr>
          <w:rFonts w:cstheme="minorHAnsi"/>
        </w:rPr>
        <w:t xml:space="preserve">droit à l’aide personnalisée au logement </w:t>
      </w:r>
      <w:r w:rsidR="00361F2C" w:rsidRPr="00A847B7">
        <w:rPr>
          <w:rFonts w:cstheme="minorHAnsi"/>
        </w:rPr>
        <w:t>et géré par les organismes d’habitation à loyer modéré.</w:t>
      </w:r>
    </w:p>
    <w:p w14:paraId="28487E6D" w14:textId="0E1B72DD" w:rsidR="00361F2C" w:rsidRPr="00A847B7" w:rsidRDefault="00361F2C" w:rsidP="00B07AF9">
      <w:pPr>
        <w:spacing w:beforeAutospacing="1" w:after="100" w:afterAutospacing="1"/>
        <w:rPr>
          <w:rFonts w:cstheme="minorHAnsi"/>
        </w:rPr>
      </w:pPr>
      <w:r w:rsidRPr="00A847B7">
        <w:rPr>
          <w:rFonts w:cstheme="minorHAnsi"/>
        </w:rPr>
        <w:t>Ne sont pas concernés par ce dispositif les logements-foyers conventionnés.</w:t>
      </w:r>
    </w:p>
    <w:p w14:paraId="4E123C5C" w14:textId="136CBF8F" w:rsidR="00361F2C" w:rsidRPr="00A847B7" w:rsidRDefault="00A44FA4" w:rsidP="00B07AF9">
      <w:pPr>
        <w:spacing w:beforeAutospacing="1" w:after="100" w:afterAutospacing="1"/>
        <w:rPr>
          <w:rFonts w:cstheme="minorHAnsi"/>
        </w:rPr>
      </w:pPr>
      <w:r w:rsidRPr="00A847B7">
        <w:rPr>
          <w:rFonts w:cstheme="minorHAnsi"/>
        </w:rPr>
        <w:t>En 2021, par dérogation, le montant des plafonds de ressources mensuelles ouvrant droit à la réduction de loyer de solidarité n’est pas indexé sur l’évolution en moyenne annuelle de l’indice des prix à la consommation des ménages hors tabac constatée en 2019.</w:t>
      </w:r>
    </w:p>
    <w:p w14:paraId="67010489" w14:textId="0FE0B9F1" w:rsidR="003E5220" w:rsidRPr="00A847B7" w:rsidRDefault="003E5220" w:rsidP="00EE0687">
      <w:pPr>
        <w:pStyle w:val="Paragraphedeliste"/>
        <w:numPr>
          <w:ilvl w:val="0"/>
          <w:numId w:val="23"/>
        </w:numPr>
        <w:spacing w:beforeAutospacing="1" w:after="100" w:afterAutospacing="1"/>
        <w:rPr>
          <w:rFonts w:cstheme="minorHAnsi"/>
        </w:rPr>
      </w:pPr>
      <w:r w:rsidRPr="00A847B7">
        <w:rPr>
          <w:rFonts w:cstheme="minorHAnsi"/>
          <w:b/>
          <w:bCs/>
          <w:i/>
          <w:iCs/>
          <w:u w:val="single"/>
        </w:rPr>
        <w:t>Permis de conduire des bateaux de plaisance à moteur</w:t>
      </w:r>
    </w:p>
    <w:p w14:paraId="60BE3D9A" w14:textId="5FF816F3" w:rsidR="005D1D90" w:rsidRPr="00A847B7" w:rsidRDefault="00782D82" w:rsidP="00D52179">
      <w:pPr>
        <w:spacing w:beforeAutospacing="1" w:after="100" w:afterAutospacing="1"/>
        <w:rPr>
          <w:rFonts w:cstheme="minorHAnsi"/>
        </w:rPr>
      </w:pPr>
      <w:r w:rsidRPr="00A847B7">
        <w:rPr>
          <w:rFonts w:cstheme="minorHAnsi"/>
        </w:rPr>
        <w:t>A une date fixée par un Décret à paraître, et au plus tard au 1</w:t>
      </w:r>
      <w:r w:rsidRPr="00A847B7">
        <w:rPr>
          <w:rFonts w:cstheme="minorHAnsi"/>
          <w:vertAlign w:val="superscript"/>
        </w:rPr>
        <w:t>er</w:t>
      </w:r>
      <w:r w:rsidRPr="00A847B7">
        <w:rPr>
          <w:rFonts w:cstheme="minorHAnsi"/>
        </w:rPr>
        <w:t xml:space="preserve"> novembre 2021, le montant d</w:t>
      </w:r>
      <w:r w:rsidR="00C87246" w:rsidRPr="00A847B7">
        <w:rPr>
          <w:rFonts w:cstheme="minorHAnsi"/>
        </w:rPr>
        <w:t>u droit fixe à payer au moment de la délivrance du permis de conduire les bateaux de plaisance à moteur</w:t>
      </w:r>
      <w:r w:rsidR="0039039B" w:rsidRPr="00A847B7">
        <w:rPr>
          <w:rFonts w:cstheme="minorHAnsi"/>
        </w:rPr>
        <w:t xml:space="preserve"> sera fixé à 78 € (contre 70 € actuellement).</w:t>
      </w:r>
    </w:p>
    <w:p w14:paraId="392D1E07" w14:textId="5C3416BA" w:rsidR="0039039B" w:rsidRPr="00A847B7" w:rsidRDefault="006F4160" w:rsidP="00D52179">
      <w:pPr>
        <w:spacing w:beforeAutospacing="1" w:after="100" w:afterAutospacing="1"/>
        <w:rPr>
          <w:rFonts w:cstheme="minorHAnsi"/>
        </w:rPr>
      </w:pPr>
      <w:r w:rsidRPr="00A847B7">
        <w:rPr>
          <w:rFonts w:cstheme="minorHAnsi"/>
        </w:rPr>
        <w:t>De même, le droit d'examen pour l'obtention de l'extension hauturière et de l'extension grande plaisance eaux intérieures, fixé à 38 €, ne sera plus dû pour l’obtention de l'option côtière et de l'option eaux intérieures.</w:t>
      </w:r>
    </w:p>
    <w:p w14:paraId="054B70DF" w14:textId="511B1A31" w:rsidR="001B0210" w:rsidRPr="00A847B7" w:rsidRDefault="006506E4" w:rsidP="00EE0687">
      <w:pPr>
        <w:pStyle w:val="Paragraphedeliste"/>
        <w:numPr>
          <w:ilvl w:val="0"/>
          <w:numId w:val="23"/>
        </w:numPr>
        <w:spacing w:beforeAutospacing="1" w:after="100" w:afterAutospacing="1"/>
        <w:rPr>
          <w:rFonts w:cstheme="minorHAnsi"/>
        </w:rPr>
      </w:pPr>
      <w:r w:rsidRPr="00A847B7">
        <w:rPr>
          <w:rFonts w:cstheme="minorHAnsi"/>
          <w:b/>
          <w:bCs/>
          <w:i/>
          <w:iCs/>
          <w:u w:val="single"/>
        </w:rPr>
        <w:t>Fabrication de bière par un particulier</w:t>
      </w:r>
    </w:p>
    <w:p w14:paraId="273BB678" w14:textId="66F4E194" w:rsidR="00BF574B" w:rsidRPr="00A847B7" w:rsidRDefault="0052166B" w:rsidP="00572CDA">
      <w:pPr>
        <w:spacing w:beforeAutospacing="1" w:after="100" w:afterAutospacing="1"/>
        <w:rPr>
          <w:rFonts w:cstheme="minorHAnsi"/>
        </w:rPr>
      </w:pPr>
      <w:r w:rsidRPr="00A847B7">
        <w:rPr>
          <w:rFonts w:cstheme="minorHAnsi"/>
        </w:rPr>
        <w:t>A compter du 1</w:t>
      </w:r>
      <w:r w:rsidRPr="00A847B7">
        <w:rPr>
          <w:rFonts w:cstheme="minorHAnsi"/>
          <w:vertAlign w:val="superscript"/>
        </w:rPr>
        <w:t>er</w:t>
      </w:r>
      <w:r w:rsidRPr="00A847B7">
        <w:rPr>
          <w:rFonts w:cstheme="minorHAnsi"/>
        </w:rPr>
        <w:t xml:space="preserve"> janvier 202</w:t>
      </w:r>
      <w:r w:rsidR="00DE721F" w:rsidRPr="00A847B7">
        <w:rPr>
          <w:rFonts w:cstheme="minorHAnsi"/>
        </w:rPr>
        <w:t>1, les bières fabriquées par un particulier</w:t>
      </w:r>
      <w:r w:rsidR="00B9459F" w:rsidRPr="00A847B7">
        <w:rPr>
          <w:rFonts w:cstheme="minorHAnsi"/>
        </w:rPr>
        <w:t>, hors de toute activité professionnelle</w:t>
      </w:r>
      <w:r w:rsidR="007A726E" w:rsidRPr="00A847B7">
        <w:rPr>
          <w:rFonts w:cstheme="minorHAnsi"/>
        </w:rPr>
        <w:t>, qui sont consommées par lui-même</w:t>
      </w:r>
      <w:r w:rsidR="00790803" w:rsidRPr="00A847B7">
        <w:rPr>
          <w:rFonts w:cstheme="minorHAnsi"/>
        </w:rPr>
        <w:t>, les membres de sa famille ou ses invités sont exonéré</w:t>
      </w:r>
      <w:r w:rsidR="00E37452" w:rsidRPr="00A847B7">
        <w:rPr>
          <w:rFonts w:cstheme="minorHAnsi"/>
        </w:rPr>
        <w:t xml:space="preserve">es </w:t>
      </w:r>
      <w:r w:rsidR="00E054E0" w:rsidRPr="00A847B7">
        <w:rPr>
          <w:rFonts w:cstheme="minorHAnsi"/>
        </w:rPr>
        <w:t>d’accise</w:t>
      </w:r>
      <w:r w:rsidR="008E2E24" w:rsidRPr="00A847B7">
        <w:rPr>
          <w:rFonts w:cstheme="minorHAnsi"/>
        </w:rPr>
        <w:t xml:space="preserve"> (donc de taxation</w:t>
      </w:r>
      <w:r w:rsidR="005751CB" w:rsidRPr="00A847B7">
        <w:rPr>
          <w:rFonts w:cstheme="minorHAnsi"/>
        </w:rPr>
        <w:t>)</w:t>
      </w:r>
      <w:r w:rsidR="001F1716" w:rsidRPr="00A847B7">
        <w:rPr>
          <w:rFonts w:cstheme="minorHAnsi"/>
        </w:rPr>
        <w:t>, sous réserve qu’elles ne donnent lieu à aucune vente.</w:t>
      </w:r>
    </w:p>
    <w:p w14:paraId="04932897" w14:textId="77777777" w:rsidR="00D15269" w:rsidRPr="00A847B7" w:rsidRDefault="00D15269" w:rsidP="00A8095A">
      <w:pPr>
        <w:spacing w:beforeAutospacing="1" w:after="100" w:afterAutospacing="1"/>
        <w:rPr>
          <w:rFonts w:cstheme="minorHAnsi"/>
        </w:rPr>
      </w:pPr>
    </w:p>
    <w:p w14:paraId="4FB8E229" w14:textId="0C859B55" w:rsidR="00A8095A" w:rsidRDefault="00A8095A">
      <w:pPr>
        <w:rPr>
          <w:rFonts w:cstheme="minorHAnsi"/>
        </w:rPr>
      </w:pPr>
      <w:r w:rsidRPr="00A847B7">
        <w:rPr>
          <w:rFonts w:cstheme="minorHAnsi"/>
        </w:rPr>
        <w:br w:type="page"/>
      </w:r>
    </w:p>
    <w:p w14:paraId="7CA4C8B8" w14:textId="77777777" w:rsidR="00001043" w:rsidRPr="00A847B7" w:rsidRDefault="00001043">
      <w:pPr>
        <w:rPr>
          <w:rFonts w:cstheme="minorHAnsi"/>
        </w:rPr>
      </w:pPr>
    </w:p>
    <w:p w14:paraId="115F6D66" w14:textId="77777777" w:rsidR="00132FB9" w:rsidRPr="00A847B7" w:rsidRDefault="00132FB9" w:rsidP="00132FB9">
      <w:pPr>
        <w:pStyle w:val="Titre2"/>
      </w:pPr>
      <w:bookmarkStart w:id="48" w:name="_Toc30149253"/>
      <w:bookmarkStart w:id="49" w:name="_Toc60780981"/>
      <w:r w:rsidRPr="00A847B7">
        <w:rPr>
          <w:rFonts w:cstheme="minorHAnsi"/>
        </w:rPr>
        <w:t>Mesures sociales</w:t>
      </w:r>
      <w:bookmarkEnd w:id="48"/>
      <w:bookmarkEnd w:id="49"/>
    </w:p>
    <w:p w14:paraId="2809893D" w14:textId="77777777" w:rsidR="00941D62" w:rsidRPr="00A847B7" w:rsidRDefault="00941D62" w:rsidP="00941D62"/>
    <w:p w14:paraId="7E14562B" w14:textId="4035FBB2" w:rsidR="00F018E8" w:rsidRPr="00F048D5" w:rsidRDefault="00F018E8" w:rsidP="00F018E8">
      <w:pPr>
        <w:pStyle w:val="Titre3"/>
      </w:pPr>
      <w:bookmarkStart w:id="50" w:name="_Toc60780982"/>
      <w:r w:rsidRPr="00F048D5">
        <w:t xml:space="preserve">Slide </w:t>
      </w:r>
      <w:r w:rsidR="00AD164C">
        <w:t>30</w:t>
      </w:r>
      <w:r w:rsidRPr="00F048D5">
        <w:t xml:space="preserve"> : </w:t>
      </w:r>
      <w:r>
        <w:t>Prime naissance</w:t>
      </w:r>
      <w:bookmarkEnd w:id="50"/>
    </w:p>
    <w:p w14:paraId="6D3AA8ED" w14:textId="05A13BB6" w:rsidR="00F018E8" w:rsidRPr="00F048D5" w:rsidRDefault="00F018E8" w:rsidP="00F018E8">
      <w:pPr>
        <w:rPr>
          <w:u w:val="single"/>
        </w:rPr>
      </w:pPr>
      <w:r w:rsidRPr="00F048D5">
        <w:rPr>
          <w:u w:val="single"/>
        </w:rPr>
        <w:t>Source :</w:t>
      </w:r>
      <w:r w:rsidRPr="00F048D5">
        <w:t xml:space="preserve"> Loi de Financement de la sécurité sociale pour 2021</w:t>
      </w:r>
      <w:r>
        <w:t>, art</w:t>
      </w:r>
      <w:r w:rsidR="002D2714">
        <w:t>icle</w:t>
      </w:r>
      <w:r>
        <w:t xml:space="preserve"> 75</w:t>
      </w:r>
    </w:p>
    <w:p w14:paraId="7E6F8F4B" w14:textId="77777777" w:rsidR="00F018E8" w:rsidRDefault="00F018E8" w:rsidP="00F018E8">
      <w:r>
        <w:t>Actuellement, la prime à la naissance est versée avant la fin du dernier jour du second mois civil suivant la naissance ou la justification de la fin de la grossesse. Il est prévu que son versement soit avancé et intervienne avant le dernier jour du mois civil suivant le 6</w:t>
      </w:r>
      <w:r w:rsidRPr="00C64949">
        <w:rPr>
          <w:vertAlign w:val="superscript"/>
        </w:rPr>
        <w:t>e</w:t>
      </w:r>
      <w:r>
        <w:t xml:space="preserve"> mois de la grossesse.</w:t>
      </w:r>
    </w:p>
    <w:p w14:paraId="18D9328D" w14:textId="1969A9BB" w:rsidR="00F018E8" w:rsidRDefault="00F018E8" w:rsidP="00F018E8">
      <w:r>
        <w:t>Par dérogation, la prime à la naissance sera attribuée à une date qui sera fixée par Décret et versée avant le dernier jour du mois civil suivant le 6</w:t>
      </w:r>
      <w:r w:rsidRPr="005E0EBD">
        <w:rPr>
          <w:vertAlign w:val="superscript"/>
        </w:rPr>
        <w:t>e</w:t>
      </w:r>
      <w:r>
        <w:t xml:space="preserve"> mois prévu de la grossesse :</w:t>
      </w:r>
    </w:p>
    <w:p w14:paraId="5F74F9E7" w14:textId="77777777" w:rsidR="00F018E8" w:rsidRDefault="00F018E8" w:rsidP="00EE0687">
      <w:pPr>
        <w:pStyle w:val="Paragraphedeliste"/>
        <w:numPr>
          <w:ilvl w:val="0"/>
          <w:numId w:val="242"/>
        </w:numPr>
      </w:pPr>
      <w:r>
        <w:t>lorsque la naissance intervient avant le 6</w:t>
      </w:r>
      <w:r w:rsidRPr="005E0EBD">
        <w:rPr>
          <w:vertAlign w:val="superscript"/>
        </w:rPr>
        <w:t>e</w:t>
      </w:r>
      <w:r>
        <w:t xml:space="preserve"> mois prévu de la grossesse ;</w:t>
      </w:r>
    </w:p>
    <w:p w14:paraId="25A3F2FA" w14:textId="77777777" w:rsidR="00F018E8" w:rsidRDefault="00F018E8" w:rsidP="00EE0687">
      <w:pPr>
        <w:pStyle w:val="Paragraphedeliste"/>
        <w:numPr>
          <w:ilvl w:val="0"/>
          <w:numId w:val="243"/>
        </w:numPr>
      </w:pPr>
      <w:r>
        <w:t>en cas de décès de l’enfant intervenant au-delà de la 20</w:t>
      </w:r>
      <w:r w:rsidRPr="005E0EBD">
        <w:rPr>
          <w:vertAlign w:val="superscript"/>
        </w:rPr>
        <w:t>e</w:t>
      </w:r>
      <w:r>
        <w:t xml:space="preserve"> semaine de grossesse.</w:t>
      </w:r>
    </w:p>
    <w:p w14:paraId="1DAD356B" w14:textId="508B5137" w:rsidR="00F018E8" w:rsidRDefault="00F018E8" w:rsidP="00F018E8">
      <w:r>
        <w:t xml:space="preserve">La prime à l’adoption, quant à elle, </w:t>
      </w:r>
      <w:r w:rsidR="00931A8E">
        <w:t>sera</w:t>
      </w:r>
      <w:r>
        <w:t xml:space="preserve"> versée à une date fixée par Décret. Actuellement, elle est versée au plus tard le 2</w:t>
      </w:r>
      <w:r w:rsidRPr="005E0EBD">
        <w:rPr>
          <w:vertAlign w:val="superscript"/>
        </w:rPr>
        <w:t>e</w:t>
      </w:r>
      <w:r>
        <w:t xml:space="preserve"> mois qui suit l'arrivée des enfants au foyer des adoptants. </w:t>
      </w:r>
    </w:p>
    <w:p w14:paraId="18E7001F" w14:textId="0BB77E01" w:rsidR="00F018E8" w:rsidRPr="009C2B8C" w:rsidRDefault="00F018E8" w:rsidP="00F018E8">
      <w:r w:rsidRPr="009C2B8C">
        <w:t>Ces dispositions</w:t>
      </w:r>
      <w:r w:rsidRPr="009C2B8C" w:rsidDel="00931A8E">
        <w:t xml:space="preserve"> </w:t>
      </w:r>
      <w:r w:rsidRPr="009C2B8C">
        <w:t>s'appliquer</w:t>
      </w:r>
      <w:r w:rsidR="00931A8E">
        <w:t>ont</w:t>
      </w:r>
      <w:r w:rsidRPr="009C2B8C">
        <w:t xml:space="preserve"> pour les grossesses ayant débuté à compter du 1</w:t>
      </w:r>
      <w:r w:rsidRPr="009C2B8C">
        <w:rPr>
          <w:vertAlign w:val="superscript"/>
        </w:rPr>
        <w:t>er</w:t>
      </w:r>
      <w:r w:rsidRPr="009C2B8C">
        <w:t xml:space="preserve"> octobre 2020 et la prime naissance devrait être versée au cours du mois d'avril 2021, pour les grossesses ayant débuté entre le 1</w:t>
      </w:r>
      <w:r w:rsidRPr="009C2B8C">
        <w:rPr>
          <w:vertAlign w:val="superscript"/>
        </w:rPr>
        <w:t>er</w:t>
      </w:r>
      <w:r w:rsidRPr="009C2B8C">
        <w:t xml:space="preserve"> juin et le 30 septembre 2020.</w:t>
      </w:r>
    </w:p>
    <w:p w14:paraId="70FC6C37" w14:textId="77777777" w:rsidR="00F018E8" w:rsidRPr="00F048D5" w:rsidRDefault="00F018E8" w:rsidP="00F018E8"/>
    <w:p w14:paraId="2AE821C5" w14:textId="0473584F" w:rsidR="00431D7F" w:rsidRPr="00F048D5" w:rsidRDefault="00431D7F" w:rsidP="00431D7F">
      <w:pPr>
        <w:pStyle w:val="Titre3"/>
      </w:pPr>
      <w:bookmarkStart w:id="51" w:name="_Toc60780983"/>
      <w:r w:rsidRPr="00F048D5">
        <w:t xml:space="preserve">Slide </w:t>
      </w:r>
      <w:r w:rsidR="00520BDC">
        <w:t>31</w:t>
      </w:r>
      <w:r w:rsidRPr="00F048D5">
        <w:t xml:space="preserve"> : </w:t>
      </w:r>
      <w:r>
        <w:t>Particuliers « vendeurs »</w:t>
      </w:r>
      <w:bookmarkEnd w:id="51"/>
      <w:r>
        <w:t xml:space="preserve"> </w:t>
      </w:r>
    </w:p>
    <w:p w14:paraId="26643CA3" w14:textId="469B9306" w:rsidR="00431D7F" w:rsidRPr="00C93654" w:rsidRDefault="00431D7F" w:rsidP="00431D7F">
      <w:pPr>
        <w:rPr>
          <w:u w:val="single"/>
        </w:rPr>
      </w:pPr>
      <w:r w:rsidRPr="00F048D5">
        <w:rPr>
          <w:u w:val="single"/>
        </w:rPr>
        <w:t>Source :</w:t>
      </w:r>
      <w:r w:rsidRPr="00F048D5">
        <w:t xml:space="preserve"> Loi de Financement de la sécurité sociale pour 2021</w:t>
      </w:r>
      <w:r>
        <w:t>, art</w:t>
      </w:r>
      <w:r w:rsidR="002D2714">
        <w:t>icle</w:t>
      </w:r>
      <w:r>
        <w:t xml:space="preserve"> 22</w:t>
      </w:r>
    </w:p>
    <w:p w14:paraId="6E770A49" w14:textId="5505B971" w:rsidR="00431D7F" w:rsidRDefault="00431D7F" w:rsidP="00431D7F">
      <w:r>
        <w:t>Les particuliers qui vendent des biens neufs qu'ils ont confectionnés ou achetés pour les revendre ou qui fournissent des services rémunérés de manière ponctuelle pourront, sur option à compter du 1</w:t>
      </w:r>
      <w:r w:rsidRPr="009A3497">
        <w:rPr>
          <w:vertAlign w:val="superscript"/>
        </w:rPr>
        <w:t>er</w:t>
      </w:r>
      <w:r>
        <w:t xml:space="preserve"> janvier 2022, </w:t>
      </w:r>
      <w:proofErr w:type="gramStart"/>
      <w:r>
        <w:t>s’affilier  au</w:t>
      </w:r>
      <w:proofErr w:type="gramEnd"/>
      <w:r>
        <w:t xml:space="preserve"> régime général de Sécurité sociale (assimilés salariés</w:t>
      </w:r>
      <w:r w:rsidR="000B31AD">
        <w:t>)</w:t>
      </w:r>
      <w:r>
        <w:t xml:space="preserve">. </w:t>
      </w:r>
    </w:p>
    <w:p w14:paraId="67D280E3" w14:textId="77777777" w:rsidR="00431D7F" w:rsidRDefault="00431D7F" w:rsidP="00431D7F">
      <w:r>
        <w:t>Sont visés les services ponctuels entre particuliers du type bricolage, coaching, aides diverses, micro-tâches, etc., les importations ponctuelles de produits revendus en France, la revente de produits artisanaux, etc.</w:t>
      </w:r>
    </w:p>
    <w:p w14:paraId="11A773BD" w14:textId="77777777" w:rsidR="00431D7F" w:rsidRDefault="00431D7F" w:rsidP="00431D7F">
      <w:r>
        <w:t xml:space="preserve">Les conditions à remplir sont les suivantes : </w:t>
      </w:r>
    </w:p>
    <w:p w14:paraId="600FC305" w14:textId="77777777" w:rsidR="00431D7F" w:rsidRDefault="00431D7F" w:rsidP="00EE0687">
      <w:pPr>
        <w:pStyle w:val="Paragraphedeliste"/>
        <w:numPr>
          <w:ilvl w:val="0"/>
          <w:numId w:val="253"/>
        </w:numPr>
      </w:pPr>
      <w:r>
        <w:t>être un particulier vendant des biens neufs , confectionnés ou achetés, afin de les revendre ou fournissant des services rémunérés de manière ponctuelle ;</w:t>
      </w:r>
    </w:p>
    <w:p w14:paraId="57B97AD8" w14:textId="77777777" w:rsidR="00431D7F" w:rsidRDefault="00431D7F" w:rsidP="00EE0687">
      <w:pPr>
        <w:pStyle w:val="Paragraphedeliste"/>
        <w:numPr>
          <w:ilvl w:val="0"/>
          <w:numId w:val="253"/>
        </w:numPr>
      </w:pPr>
      <w:r>
        <w:t>exercer l’option pour relever du régime général ;</w:t>
      </w:r>
    </w:p>
    <w:p w14:paraId="01AA9D1E" w14:textId="77777777" w:rsidR="00431D7F" w:rsidRDefault="00431D7F" w:rsidP="00EE0687">
      <w:pPr>
        <w:pStyle w:val="Paragraphedeliste"/>
        <w:numPr>
          <w:ilvl w:val="0"/>
          <w:numId w:val="253"/>
        </w:numPr>
      </w:pPr>
      <w:r>
        <w:t xml:space="preserve">avoir des recettes annuelles ne dépassant pas 1 500 €. </w:t>
      </w:r>
    </w:p>
    <w:p w14:paraId="095A49EA" w14:textId="0333CA93" w:rsidR="00431D7F" w:rsidRDefault="00431D7F" w:rsidP="00431D7F">
      <w:r>
        <w:t xml:space="preserve">Les cotisations et contributions de sécurité sociale dues seront calculées sur la base de leurs recettes diminuées d'un abattement forfaitaire fixé par </w:t>
      </w:r>
      <w:r w:rsidR="007C4A3E">
        <w:t>d</w:t>
      </w:r>
      <w:r>
        <w:t>écret. Cet abattement ne pourra, ni être inférieur à 305 €, ni supérieur à 71 % (pour les activités de vente) ou 50 % (pour les autres activités).</w:t>
      </w:r>
    </w:p>
    <w:p w14:paraId="67D24A75" w14:textId="77777777" w:rsidR="00431D7F" w:rsidRDefault="00431D7F" w:rsidP="00431D7F">
      <w:r>
        <w:t xml:space="preserve">Cette option cessera d’être applicable à compter de l’année suivante si : </w:t>
      </w:r>
    </w:p>
    <w:p w14:paraId="097F6109" w14:textId="77777777" w:rsidR="00431D7F" w:rsidRDefault="00431D7F" w:rsidP="00EE0687">
      <w:pPr>
        <w:pStyle w:val="Paragraphedeliste"/>
        <w:numPr>
          <w:ilvl w:val="0"/>
          <w:numId w:val="254"/>
        </w:numPr>
      </w:pPr>
      <w:r>
        <w:lastRenderedPageBreak/>
        <w:t>le seuil de 1 500 € est dépassé durant 2 années consécutives,</w:t>
      </w:r>
    </w:p>
    <w:p w14:paraId="76BA4818" w14:textId="77777777" w:rsidR="00431D7F" w:rsidRDefault="00431D7F" w:rsidP="00EE0687">
      <w:pPr>
        <w:pStyle w:val="Paragraphedeliste"/>
        <w:numPr>
          <w:ilvl w:val="0"/>
          <w:numId w:val="254"/>
        </w:numPr>
      </w:pPr>
      <w:r>
        <w:t xml:space="preserve">les recettes atteignent 4 500 € au titre d’une seule année. </w:t>
      </w:r>
    </w:p>
    <w:p w14:paraId="636CB8E7" w14:textId="77777777" w:rsidR="00431D7F" w:rsidRDefault="00431D7F" w:rsidP="00431D7F">
      <w:r>
        <w:t>Nous attirons votre attention sur le fait que ce dispositif d’</w:t>
      </w:r>
      <w:proofErr w:type="spellStart"/>
      <w:r>
        <w:t>abatteement</w:t>
      </w:r>
      <w:proofErr w:type="spellEnd"/>
      <w:r>
        <w:t xml:space="preserve"> pour les particuliers réalisant des activités ponctuelles ne pourra pas se cumuler avec le bénéfice de l’exonération au titre de l’</w:t>
      </w:r>
      <w:r w:rsidRPr="00D90F08">
        <w:t>Aide à la création ou à la reprise d'une entreprise</w:t>
      </w:r>
      <w:r>
        <w:t xml:space="preserve">. </w:t>
      </w:r>
    </w:p>
    <w:p w14:paraId="254BFFDF" w14:textId="77777777" w:rsidR="00431D7F" w:rsidRDefault="00431D7F" w:rsidP="00431D7F">
      <w:r>
        <w:t>Cette mesure sera applicable aux particuliers ayant une activité économique de faible importance en parallèle de leur activité principale, notamment sur les plateformes de biens et services. L’objectif est de faciliter le cumul d’activités pour les personnes n’ayant pas une activité principale en qualité de travailleur indépendant et d’éviter l’absence de déclaration de ces activités ponctuelles qui peuvent ouvrir des droits supplémentaires aux bénéficiaires de ces revenus accessoires.</w:t>
      </w:r>
    </w:p>
    <w:p w14:paraId="5D0F808C" w14:textId="77777777" w:rsidR="00CC3628" w:rsidRDefault="00CC3628" w:rsidP="00431D7F"/>
    <w:p w14:paraId="1D48BC03" w14:textId="1208C434" w:rsidR="00431D7F" w:rsidRPr="00F048D5" w:rsidRDefault="00431D7F" w:rsidP="00431D7F">
      <w:pPr>
        <w:pStyle w:val="Titre3"/>
      </w:pPr>
      <w:bookmarkStart w:id="52" w:name="_Toc60780984"/>
      <w:r w:rsidRPr="00F048D5">
        <w:t xml:space="preserve">Slide </w:t>
      </w:r>
      <w:r w:rsidR="00894D0B">
        <w:t>32</w:t>
      </w:r>
      <w:r w:rsidRPr="00F048D5">
        <w:t xml:space="preserve"> : </w:t>
      </w:r>
      <w:r>
        <w:t>Particuliers « loueurs »</w:t>
      </w:r>
      <w:bookmarkEnd w:id="52"/>
    </w:p>
    <w:p w14:paraId="0A617963" w14:textId="438A655E" w:rsidR="00431D7F" w:rsidRDefault="00431D7F" w:rsidP="00431D7F">
      <w:r w:rsidRPr="00510B4B">
        <w:rPr>
          <w:u w:val="single"/>
        </w:rPr>
        <w:t>Source</w:t>
      </w:r>
      <w:r w:rsidRPr="00327CBB">
        <w:t xml:space="preserve"> : Loi de Financement de la sécurité sociale pour 2021, art</w:t>
      </w:r>
      <w:r w:rsidR="002D2714">
        <w:t>icles</w:t>
      </w:r>
      <w:r w:rsidRPr="00327CBB">
        <w:t>.</w:t>
      </w:r>
      <w:r>
        <w:t xml:space="preserve">22, 3° et 4° </w:t>
      </w:r>
    </w:p>
    <w:p w14:paraId="587A8A94" w14:textId="77777777" w:rsidR="00431D7F" w:rsidRPr="00AB7C9F" w:rsidRDefault="00431D7F" w:rsidP="00EE0687">
      <w:pPr>
        <w:pStyle w:val="Paragraphedeliste"/>
        <w:numPr>
          <w:ilvl w:val="0"/>
          <w:numId w:val="255"/>
        </w:numPr>
        <w:rPr>
          <w:b/>
          <w:bCs/>
          <w:i/>
          <w:iCs/>
          <w:u w:val="single"/>
        </w:rPr>
      </w:pPr>
      <w:r w:rsidRPr="00AB7C9F">
        <w:rPr>
          <w:b/>
          <w:bCs/>
          <w:i/>
          <w:iCs/>
          <w:u w:val="single"/>
        </w:rPr>
        <w:t xml:space="preserve">Les « loueurs » relevant du régime des indépendants </w:t>
      </w:r>
    </w:p>
    <w:p w14:paraId="702331C5" w14:textId="77777777" w:rsidR="00431D7F" w:rsidRPr="00EC3E32" w:rsidRDefault="00431D7F" w:rsidP="00431D7F">
      <w:pPr>
        <w:spacing w:beforeAutospacing="1" w:after="100" w:afterAutospacing="1"/>
        <w:rPr>
          <w:rFonts w:cstheme="minorHAnsi"/>
        </w:rPr>
      </w:pPr>
      <w:r w:rsidRPr="00EC3E32">
        <w:rPr>
          <w:rFonts w:cstheme="minorHAnsi"/>
        </w:rPr>
        <w:t xml:space="preserve">Par cohérence avec l'évolution du droit fiscal, les critères d'affiliation aux régimes des travailleurs indépendants des loueurs de meublés de courte durée sont redéfinis. </w:t>
      </w:r>
    </w:p>
    <w:p w14:paraId="113942E3" w14:textId="77777777" w:rsidR="00431D7F" w:rsidRPr="00EC3E32" w:rsidRDefault="00431D7F" w:rsidP="00431D7F">
      <w:pPr>
        <w:spacing w:beforeAutospacing="1" w:after="100" w:afterAutospacing="1"/>
        <w:rPr>
          <w:rFonts w:cstheme="minorHAnsi"/>
        </w:rPr>
      </w:pPr>
      <w:r w:rsidRPr="00EC3E32">
        <w:rPr>
          <w:rFonts w:cstheme="minorHAnsi"/>
        </w:rPr>
        <w:t xml:space="preserve">Ainsi, </w:t>
      </w:r>
      <w:r>
        <w:rPr>
          <w:rFonts w:cstheme="minorHAnsi"/>
        </w:rPr>
        <w:t>au 1</w:t>
      </w:r>
      <w:r w:rsidRPr="00611721">
        <w:rPr>
          <w:rFonts w:cstheme="minorHAnsi"/>
          <w:vertAlign w:val="superscript"/>
        </w:rPr>
        <w:t>er</w:t>
      </w:r>
      <w:r>
        <w:rPr>
          <w:rFonts w:cstheme="minorHAnsi"/>
        </w:rPr>
        <w:t xml:space="preserve"> janvier 2021, </w:t>
      </w:r>
      <w:r w:rsidRPr="00EC3E32">
        <w:rPr>
          <w:rFonts w:cstheme="minorHAnsi"/>
        </w:rPr>
        <w:t>les personnes exerçant une activité de location de locaux d'habitation meublés seront obligatoirement affiliées aux régimes de sécurité sociale des travailleurs indépendants non agricoles dès lors que les recettes tirées de cette activité par l'ensemble des membres du foyer fiscal dépassent 23 000 € par an et qu'une des deux conditions suivantes est remplie :</w:t>
      </w:r>
    </w:p>
    <w:p w14:paraId="5CC7BCBB" w14:textId="77777777" w:rsidR="00431D7F" w:rsidRDefault="00431D7F" w:rsidP="00EE0687">
      <w:pPr>
        <w:pStyle w:val="Paragraphedeliste"/>
        <w:numPr>
          <w:ilvl w:val="0"/>
          <w:numId w:val="257"/>
        </w:numPr>
        <w:spacing w:beforeAutospacing="1" w:after="100" w:afterAutospacing="1"/>
        <w:rPr>
          <w:rFonts w:cstheme="minorHAnsi"/>
        </w:rPr>
      </w:pPr>
      <w:r w:rsidRPr="00EC3E32">
        <w:rPr>
          <w:rFonts w:cstheme="minorHAnsi"/>
        </w:rPr>
        <w:t>ces locaux sont loués à une clientèle y effectuant un séjour à la journée, à la semaine ou au mois et n'y élisant pas domicile. Dans ce cas, les personnes concernées pourraient toutefois opter, lors de leur affiliation, pour le régime général des salariés (régime micro-social)</w:t>
      </w:r>
      <w:r>
        <w:rPr>
          <w:rFonts w:cstheme="minorHAnsi"/>
        </w:rPr>
        <w:t> ;</w:t>
      </w:r>
    </w:p>
    <w:p w14:paraId="75A02999" w14:textId="77777777" w:rsidR="00431D7F" w:rsidRPr="000E5B4E" w:rsidRDefault="00431D7F" w:rsidP="00EE0687">
      <w:pPr>
        <w:pStyle w:val="Paragraphedeliste"/>
        <w:numPr>
          <w:ilvl w:val="0"/>
          <w:numId w:val="257"/>
        </w:numPr>
        <w:spacing w:beforeAutospacing="1" w:after="100" w:afterAutospacing="1"/>
      </w:pPr>
      <w:r w:rsidRPr="00EC3E32">
        <w:rPr>
          <w:rFonts w:cstheme="minorHAnsi"/>
        </w:rPr>
        <w:t>ces recettes excèdent les revenus du foyer fiscal soumis à l'impôt sur le revenu dans les catégories des traitements et salaires, des bénéfices industriels et commerciaux autres que ceux tirés de l'activité de location meublée, des bénéfices agricoles, commerciaux et des revenus des gérants et associés.</w:t>
      </w:r>
    </w:p>
    <w:p w14:paraId="1C68C05B" w14:textId="77777777" w:rsidR="00431D7F" w:rsidRPr="000E5B4E" w:rsidRDefault="00431D7F" w:rsidP="00431D7F">
      <w:pPr>
        <w:pStyle w:val="Paragraphedeliste"/>
        <w:spacing w:beforeAutospacing="1" w:after="100" w:afterAutospacing="1"/>
      </w:pPr>
    </w:p>
    <w:p w14:paraId="79A81A94" w14:textId="77777777" w:rsidR="00431D7F" w:rsidRPr="00AB7C9F" w:rsidRDefault="00431D7F" w:rsidP="00EE0687">
      <w:pPr>
        <w:pStyle w:val="Paragraphedeliste"/>
        <w:numPr>
          <w:ilvl w:val="0"/>
          <w:numId w:val="255"/>
        </w:numPr>
        <w:rPr>
          <w:b/>
          <w:i/>
          <w:u w:val="single"/>
        </w:rPr>
      </w:pPr>
      <w:r w:rsidRPr="00AB7C9F">
        <w:rPr>
          <w:b/>
          <w:bCs/>
          <w:i/>
          <w:iCs/>
          <w:u w:val="single"/>
        </w:rPr>
        <w:t xml:space="preserve">Les « loueurs » relevant du régime salarié </w:t>
      </w:r>
    </w:p>
    <w:p w14:paraId="41109075" w14:textId="056352B4" w:rsidR="00431D7F" w:rsidRDefault="00431D7F" w:rsidP="00431D7F">
      <w:r w:rsidRPr="00AB7C9F">
        <w:t xml:space="preserve">Actuellement, </w:t>
      </w:r>
      <w:r>
        <w:t xml:space="preserve">les loueurs de meublés dont les recettes annuelles dépassent 23 000 € ainsi que les personnes exerçant une activité de location de biens meubles dont les recettes sont supérieures à 20 % du plafond de la sécurité sociale (8 227 € en </w:t>
      </w:r>
      <w:r w:rsidR="00C54F6B">
        <w:t>2021</w:t>
      </w:r>
      <w:r>
        <w:t>) sont en principe affiliés au régime de sécurité sociale des travailleurs indépendants.</w:t>
      </w:r>
    </w:p>
    <w:p w14:paraId="3382B98A" w14:textId="77777777" w:rsidR="00431D7F" w:rsidRDefault="00431D7F" w:rsidP="00431D7F">
      <w:r>
        <w:t xml:space="preserve">Toutefois, ils peuvent </w:t>
      </w:r>
      <w:r w:rsidRPr="00AB7C9F">
        <w:t>opter pour une affiliation au régime général « assimilé salarié »</w:t>
      </w:r>
      <w:r>
        <w:t xml:space="preserve"> lorsque leurs recettes ne dépassent pas : </w:t>
      </w:r>
    </w:p>
    <w:p w14:paraId="39149F3A" w14:textId="77777777" w:rsidR="00431D7F" w:rsidRDefault="00431D7F" w:rsidP="00EE0687">
      <w:pPr>
        <w:pStyle w:val="Paragraphedeliste"/>
        <w:numPr>
          <w:ilvl w:val="0"/>
          <w:numId w:val="293"/>
        </w:numPr>
      </w:pPr>
      <w:r>
        <w:t xml:space="preserve">85 800 € au titre de l’année civile précédente, </w:t>
      </w:r>
    </w:p>
    <w:p w14:paraId="672D4178" w14:textId="77777777" w:rsidR="00431D7F" w:rsidRDefault="00431D7F" w:rsidP="00EE0687">
      <w:pPr>
        <w:pStyle w:val="Paragraphedeliste"/>
        <w:numPr>
          <w:ilvl w:val="0"/>
          <w:numId w:val="293"/>
        </w:numPr>
      </w:pPr>
      <w:r>
        <w:t xml:space="preserve">ou 94 300 € au titre de l’année civile précédente lorsque le chiffre d’affaire de l’année n-2 n’a pas excédé 85 800 €. </w:t>
      </w:r>
    </w:p>
    <w:p w14:paraId="4E358AC9" w14:textId="19A3FEB0" w:rsidR="00431D7F" w:rsidRDefault="00431D7F" w:rsidP="00431D7F">
      <w:r>
        <w:lastRenderedPageBreak/>
        <w:t>Désormais, à compter du 1</w:t>
      </w:r>
      <w:r w:rsidRPr="00611721">
        <w:rPr>
          <w:vertAlign w:val="superscript"/>
        </w:rPr>
        <w:t>er</w:t>
      </w:r>
      <w:r>
        <w:t xml:space="preserve"> janvier 2021, pour opter pour ce régime, les recettes perçues par ces personnes au titre de ces activités ne doivent pas excéder la somme de 72 600 €.</w:t>
      </w:r>
    </w:p>
    <w:p w14:paraId="436E6BB2" w14:textId="77777777" w:rsidR="00001043" w:rsidRDefault="00001043" w:rsidP="00431D7F"/>
    <w:p w14:paraId="701BCA58" w14:textId="792A7070" w:rsidR="00DD1560" w:rsidRPr="00F048D5" w:rsidRDefault="00DD1560" w:rsidP="00DD1560">
      <w:pPr>
        <w:pStyle w:val="Titre3"/>
      </w:pPr>
      <w:bookmarkStart w:id="53" w:name="_Toc60780985"/>
      <w:r w:rsidRPr="00F048D5">
        <w:t xml:space="preserve">Slide </w:t>
      </w:r>
      <w:r w:rsidR="004E77BF">
        <w:t>33</w:t>
      </w:r>
      <w:r w:rsidRPr="00F048D5">
        <w:t xml:space="preserve"> : </w:t>
      </w:r>
      <w:r>
        <w:t>Allocation de proche aidant</w:t>
      </w:r>
      <w:bookmarkEnd w:id="53"/>
    </w:p>
    <w:p w14:paraId="752E72B3" w14:textId="77777777" w:rsidR="00DD1560" w:rsidRPr="00F048D5" w:rsidRDefault="00DD1560" w:rsidP="00DD1560">
      <w:pPr>
        <w:rPr>
          <w:u w:val="single"/>
        </w:rPr>
      </w:pPr>
      <w:r w:rsidRPr="00F048D5">
        <w:rPr>
          <w:u w:val="single"/>
        </w:rPr>
        <w:t>Source :</w:t>
      </w:r>
      <w:r w:rsidRPr="00F048D5">
        <w:t xml:space="preserve"> Loi de Financement de la sécurité sociale pour 2021</w:t>
      </w:r>
      <w:r>
        <w:t>, article 105</w:t>
      </w:r>
    </w:p>
    <w:p w14:paraId="11F32A0D" w14:textId="77777777" w:rsidR="00DD1560" w:rsidRDefault="00DD1560" w:rsidP="00DD1560">
      <w:pPr>
        <w:spacing w:beforeAutospacing="1" w:after="100" w:afterAutospacing="1"/>
      </w:pPr>
      <w:r>
        <w:t xml:space="preserve">Le congé de proche aidant est indemnisé par l’Assurance maladie, via </w:t>
      </w:r>
      <w:r w:rsidRPr="00664915">
        <w:t xml:space="preserve">une allocation journalière. Le nombre maximal d'allocations journalières versées à un bénéficiaire pour l'ensemble de sa carrière </w:t>
      </w:r>
      <w:r>
        <w:t>est</w:t>
      </w:r>
      <w:r w:rsidRPr="00664915">
        <w:t xml:space="preserve"> égal à 66. Ce nombre ne peut excéder 22 par mois civil.</w:t>
      </w:r>
    </w:p>
    <w:p w14:paraId="38A0F34A" w14:textId="77777777" w:rsidR="00DD1560" w:rsidRDefault="00DD1560" w:rsidP="00DD1560">
      <w:pPr>
        <w:spacing w:beforeAutospacing="1" w:after="100" w:afterAutospacing="1"/>
      </w:pPr>
      <w:r>
        <w:t xml:space="preserve">Le bénéfice de l’allocation journalière du proche aidant est désormais soumis au respect des conditions de régularité de séjour et de stabilité de résidence en France. </w:t>
      </w:r>
    </w:p>
    <w:p w14:paraId="11A22B10" w14:textId="77777777" w:rsidR="00DD1560" w:rsidRDefault="00DD1560" w:rsidP="00DD1560">
      <w:pPr>
        <w:spacing w:beforeAutospacing="1" w:after="100" w:afterAutospacing="1"/>
      </w:pPr>
      <w:r>
        <w:t>Par principe, la personne bénéficiaire du congé de proche aidant est obligatoirement affiliée à l'assurance vieillesse du régime général de sécurité sociale pour les périodes pour lesquelles elle ne bénéficie pas de l'allocation journalière, dès lors qu'elle produit des justificatifs.</w:t>
      </w:r>
    </w:p>
    <w:p w14:paraId="155ABBBD" w14:textId="77777777" w:rsidR="00DD1560" w:rsidRDefault="00DD1560" w:rsidP="00DD1560">
      <w:pPr>
        <w:spacing w:beforeAutospacing="1" w:after="100" w:afterAutospacing="1"/>
      </w:pPr>
      <w:r>
        <w:t>Notez toutefois que la production de ces justificatifs ne sera pas nécessaire si la personne a bénéficié dans les 2 dernières années d’une allocation journalière du proche aidant.</w:t>
      </w:r>
    </w:p>
    <w:p w14:paraId="54E0FA9B" w14:textId="77777777" w:rsidR="00DD1560" w:rsidRDefault="00DD1560" w:rsidP="00DD1560">
      <w:r>
        <w:t>Rappelons enfin que le proche aidé ne peut être que :</w:t>
      </w:r>
    </w:p>
    <w:p w14:paraId="55FAE7F2" w14:textId="77777777" w:rsidR="00DD1560" w:rsidRDefault="00DD1560" w:rsidP="00EE0687">
      <w:pPr>
        <w:pStyle w:val="Paragraphedeliste"/>
        <w:numPr>
          <w:ilvl w:val="0"/>
          <w:numId w:val="247"/>
        </w:numPr>
      </w:pPr>
      <w:r>
        <w:t>le conjoint de l’intéressé ;</w:t>
      </w:r>
    </w:p>
    <w:p w14:paraId="15A10E60" w14:textId="77777777" w:rsidR="00DD1560" w:rsidRDefault="00DD1560" w:rsidP="00EE0687">
      <w:pPr>
        <w:pStyle w:val="Paragraphedeliste"/>
        <w:numPr>
          <w:ilvl w:val="0"/>
          <w:numId w:val="247"/>
        </w:numPr>
      </w:pPr>
      <w:r>
        <w:t>son concubin ;</w:t>
      </w:r>
    </w:p>
    <w:p w14:paraId="5EB13C16" w14:textId="77777777" w:rsidR="00DD1560" w:rsidRDefault="00DD1560" w:rsidP="00EE0687">
      <w:pPr>
        <w:pStyle w:val="Paragraphedeliste"/>
        <w:numPr>
          <w:ilvl w:val="0"/>
          <w:numId w:val="247"/>
        </w:numPr>
      </w:pPr>
      <w:r>
        <w:t>son partenaire de PACS ;</w:t>
      </w:r>
    </w:p>
    <w:p w14:paraId="505AEF35" w14:textId="77777777" w:rsidR="00DD1560" w:rsidRDefault="00DD1560" w:rsidP="00EE0687">
      <w:pPr>
        <w:pStyle w:val="Paragraphedeliste"/>
        <w:numPr>
          <w:ilvl w:val="0"/>
          <w:numId w:val="247"/>
        </w:numPr>
      </w:pPr>
      <w:r>
        <w:t>un ascendant ;</w:t>
      </w:r>
    </w:p>
    <w:p w14:paraId="4B97AE94" w14:textId="77777777" w:rsidR="00DD1560" w:rsidRDefault="00DD1560" w:rsidP="00EE0687">
      <w:pPr>
        <w:pStyle w:val="Paragraphedeliste"/>
        <w:numPr>
          <w:ilvl w:val="0"/>
          <w:numId w:val="247"/>
        </w:numPr>
      </w:pPr>
      <w:r>
        <w:t>un descendant ;</w:t>
      </w:r>
    </w:p>
    <w:p w14:paraId="151133F1" w14:textId="77777777" w:rsidR="00DD1560" w:rsidRDefault="00DD1560" w:rsidP="00EE0687">
      <w:pPr>
        <w:pStyle w:val="Paragraphedeliste"/>
        <w:numPr>
          <w:ilvl w:val="0"/>
          <w:numId w:val="247"/>
        </w:numPr>
      </w:pPr>
      <w:r>
        <w:t>un enfant dont il assume la charge ;</w:t>
      </w:r>
    </w:p>
    <w:p w14:paraId="500265AA" w14:textId="77777777" w:rsidR="00DD1560" w:rsidRDefault="00DD1560" w:rsidP="00EE0687">
      <w:pPr>
        <w:pStyle w:val="Paragraphedeliste"/>
        <w:numPr>
          <w:ilvl w:val="0"/>
          <w:numId w:val="247"/>
        </w:numPr>
      </w:pPr>
      <w:r>
        <w:t>un collatéral jusqu'au quatrième degré ;</w:t>
      </w:r>
    </w:p>
    <w:p w14:paraId="0702FEAE" w14:textId="77777777" w:rsidR="00DD1560" w:rsidRDefault="00DD1560" w:rsidP="00EE0687">
      <w:pPr>
        <w:pStyle w:val="Paragraphedeliste"/>
        <w:numPr>
          <w:ilvl w:val="0"/>
          <w:numId w:val="247"/>
        </w:numPr>
      </w:pPr>
      <w:r>
        <w:t>un ascendant, un descendant ou un collatéral jusqu'au quatrième degré de son conjoint, concubin ou partenaire lié par un pacte civil de solidarité ;</w:t>
      </w:r>
    </w:p>
    <w:p w14:paraId="18F11D79" w14:textId="77777777" w:rsidR="00DD1560" w:rsidRDefault="00DD1560" w:rsidP="00EE0687">
      <w:pPr>
        <w:pStyle w:val="Paragraphedeliste"/>
        <w:numPr>
          <w:ilvl w:val="0"/>
          <w:numId w:val="247"/>
        </w:numPr>
      </w:pPr>
      <w:r>
        <w:t>une personne âgée ou handicapée avec laquelle il réside ou avec laquelle il entretient des liens étroits et stables, à qui il vient en aide de manière régulière et fréquente, à titre non professionnel, pour accomplir tout ou partie des actes ou des activités de la vie quotidienne.</w:t>
      </w:r>
    </w:p>
    <w:p w14:paraId="750470A3" w14:textId="77777777" w:rsidR="00DD1560" w:rsidRPr="00F048D5" w:rsidRDefault="00DD1560" w:rsidP="00DD1560"/>
    <w:p w14:paraId="15BEB50C" w14:textId="2D1069E2" w:rsidR="00CC3628" w:rsidRPr="00F048D5" w:rsidRDefault="00CC3628" w:rsidP="00CC3628">
      <w:pPr>
        <w:pStyle w:val="Titre3"/>
      </w:pPr>
      <w:bookmarkStart w:id="54" w:name="_Toc60780986"/>
      <w:r w:rsidRPr="00F048D5">
        <w:t xml:space="preserve">Slide </w:t>
      </w:r>
      <w:r w:rsidR="00D405B7">
        <w:t>34</w:t>
      </w:r>
      <w:r w:rsidRPr="00F048D5">
        <w:t xml:space="preserve"> : </w:t>
      </w:r>
      <w:r>
        <w:t>Prise en charge des frais de santé</w:t>
      </w:r>
      <w:bookmarkEnd w:id="54"/>
    </w:p>
    <w:p w14:paraId="50343D17" w14:textId="4E6868A1" w:rsidR="00CC3628" w:rsidRPr="00C93654" w:rsidRDefault="00CC3628" w:rsidP="00CC3628">
      <w:pPr>
        <w:rPr>
          <w:u w:val="single"/>
        </w:rPr>
      </w:pPr>
      <w:r w:rsidRPr="00F048D5">
        <w:rPr>
          <w:u w:val="single"/>
        </w:rPr>
        <w:t>Source :</w:t>
      </w:r>
      <w:r w:rsidRPr="00F048D5">
        <w:t xml:space="preserve"> Loi de Financement de la sécurité sociale pour 2021</w:t>
      </w:r>
      <w:r>
        <w:t>, art</w:t>
      </w:r>
      <w:r w:rsidR="002D2714">
        <w:t>icles</w:t>
      </w:r>
      <w:r>
        <w:t xml:space="preserve"> 61, 63, 65, 70, 71, 76</w:t>
      </w:r>
    </w:p>
    <w:p w14:paraId="66A2C45D" w14:textId="77777777" w:rsidR="00CC3628" w:rsidRPr="00DA1F0F" w:rsidRDefault="00CC3628" w:rsidP="00EE0687">
      <w:pPr>
        <w:pStyle w:val="Paragraphedeliste"/>
        <w:numPr>
          <w:ilvl w:val="0"/>
          <w:numId w:val="244"/>
        </w:numPr>
        <w:rPr>
          <w:b/>
          <w:bCs/>
          <w:i/>
          <w:iCs/>
          <w:u w:val="single"/>
        </w:rPr>
      </w:pPr>
      <w:r>
        <w:rPr>
          <w:b/>
          <w:bCs/>
          <w:i/>
          <w:iCs/>
          <w:u w:val="single"/>
        </w:rPr>
        <w:t xml:space="preserve">Concernant les </w:t>
      </w:r>
      <w:r w:rsidRPr="00DA1F0F">
        <w:rPr>
          <w:b/>
          <w:bCs/>
          <w:i/>
          <w:iCs/>
          <w:u w:val="single"/>
        </w:rPr>
        <w:t>contrats responsables</w:t>
      </w:r>
    </w:p>
    <w:p w14:paraId="0D5405B8" w14:textId="77777777" w:rsidR="00CC3628" w:rsidRDefault="00CC3628" w:rsidP="00CC3628">
      <w:r w:rsidRPr="00DA1F0F">
        <w:t xml:space="preserve">La pratique du tiers payant sera obligatoire dans les </w:t>
      </w:r>
      <w:r>
        <w:t>« </w:t>
      </w:r>
      <w:r w:rsidRPr="00DA1F0F">
        <w:t>contrats responsables</w:t>
      </w:r>
      <w:r>
        <w:t> »</w:t>
      </w:r>
      <w:r w:rsidRPr="00DA1F0F">
        <w:t xml:space="preserve"> sur les prestations du </w:t>
      </w:r>
      <w:r>
        <w:t xml:space="preserve">dispositif </w:t>
      </w:r>
      <w:r w:rsidRPr="00DA1F0F">
        <w:t>100 % santé</w:t>
      </w:r>
      <w:r>
        <w:t>, pour les c</w:t>
      </w:r>
      <w:r w:rsidRPr="00DA1F0F">
        <w:t>ontrats conclus ou renouvelés à compter du 1</w:t>
      </w:r>
      <w:r w:rsidRPr="00DA1F0F">
        <w:rPr>
          <w:vertAlign w:val="superscript"/>
        </w:rPr>
        <w:t>er</w:t>
      </w:r>
      <w:r w:rsidRPr="00DA1F0F">
        <w:t xml:space="preserve"> janvier 2022</w:t>
      </w:r>
      <w:r>
        <w:t>.</w:t>
      </w:r>
    </w:p>
    <w:p w14:paraId="6B6C26D4" w14:textId="77777777" w:rsidR="00CC3628" w:rsidRPr="004972D3" w:rsidRDefault="00CC3628" w:rsidP="00EE0687">
      <w:pPr>
        <w:pStyle w:val="Paragraphedeliste"/>
        <w:numPr>
          <w:ilvl w:val="0"/>
          <w:numId w:val="244"/>
        </w:numPr>
        <w:rPr>
          <w:b/>
          <w:bCs/>
          <w:i/>
          <w:iCs/>
          <w:u w:val="single"/>
        </w:rPr>
      </w:pPr>
      <w:r w:rsidRPr="004972D3">
        <w:rPr>
          <w:b/>
          <w:bCs/>
          <w:i/>
          <w:iCs/>
          <w:u w:val="single"/>
        </w:rPr>
        <w:t>Concernant l’interruption volontaire de grossesse</w:t>
      </w:r>
    </w:p>
    <w:p w14:paraId="2F1A7BB1" w14:textId="77777777" w:rsidR="00CC3628" w:rsidRDefault="00CC3628" w:rsidP="00CC3628">
      <w:r>
        <w:lastRenderedPageBreak/>
        <w:t>Le tiers payant s'applique aux frais relatifs à l'interruption volontaire de grossesse.</w:t>
      </w:r>
    </w:p>
    <w:p w14:paraId="260805B3" w14:textId="77777777" w:rsidR="00CC3628" w:rsidRDefault="00CC3628" w:rsidP="00CC3628">
      <w:r>
        <w:t>En outre, la Loi prévoit désormais explicitement que la prise en charge de l’interruption volontaire de grossesse est protégée par le secret afin de pouvoir préserver, le cas échéant, l’anonymat de l’intéressée.</w:t>
      </w:r>
    </w:p>
    <w:p w14:paraId="1CCF7A0C" w14:textId="77777777" w:rsidR="00CC3628" w:rsidRDefault="00CC3628" w:rsidP="00CC3628">
      <w:r>
        <w:t>Par ailleurs, à titre expérimental et pour une durée de 3 ans, les interruptions volontaires de grossesse instrumentales pourront être réalisées en établissement de santé par des sages-femmes ayant réalisé la formation complémentaire obligatoire et justifiant des expériences spécifiques. Un Décret est attendu pour préciser les modalités de mise en œuvre de cette expérimentation et les établissements de santé retenus pour y participer seront visés par un arrêté ministériel.</w:t>
      </w:r>
    </w:p>
    <w:p w14:paraId="5E89E5EA" w14:textId="77777777" w:rsidR="00CC3628" w:rsidRPr="006311EC" w:rsidRDefault="00CC3628" w:rsidP="00EE0687">
      <w:pPr>
        <w:pStyle w:val="Paragraphedeliste"/>
        <w:numPr>
          <w:ilvl w:val="0"/>
          <w:numId w:val="244"/>
        </w:numPr>
        <w:rPr>
          <w:b/>
          <w:bCs/>
          <w:i/>
          <w:iCs/>
          <w:u w:val="single"/>
        </w:rPr>
      </w:pPr>
      <w:r w:rsidRPr="006311EC">
        <w:rPr>
          <w:b/>
          <w:bCs/>
          <w:i/>
          <w:iCs/>
          <w:u w:val="single"/>
        </w:rPr>
        <w:t>Concernant la téléconsultation</w:t>
      </w:r>
    </w:p>
    <w:p w14:paraId="6B462DC1" w14:textId="77777777" w:rsidR="00CC3628" w:rsidRDefault="00CC3628" w:rsidP="00CC3628">
      <w:r w:rsidRPr="006311EC">
        <w:t>La participation de l’assuré (ticket modérateur) relative aux actes de téléconsultation est supprimée jusqu’au 31 décembre 2021 afin d'accompagner l'essor de cette pratique.</w:t>
      </w:r>
    </w:p>
    <w:p w14:paraId="7E562697" w14:textId="77777777" w:rsidR="00CC3628" w:rsidRPr="00151A47" w:rsidRDefault="00CC3628" w:rsidP="00EE0687">
      <w:pPr>
        <w:pStyle w:val="Paragraphedeliste"/>
        <w:numPr>
          <w:ilvl w:val="0"/>
          <w:numId w:val="244"/>
        </w:numPr>
        <w:rPr>
          <w:b/>
          <w:bCs/>
          <w:i/>
          <w:iCs/>
          <w:u w:val="single"/>
        </w:rPr>
      </w:pPr>
      <w:r w:rsidRPr="00151A47">
        <w:rPr>
          <w:b/>
          <w:bCs/>
          <w:i/>
          <w:iCs/>
          <w:u w:val="single"/>
        </w:rPr>
        <w:t>Prise en charge du diabète de type 2</w:t>
      </w:r>
    </w:p>
    <w:p w14:paraId="4A137B32" w14:textId="77777777" w:rsidR="00CC3628" w:rsidRDefault="00CC3628" w:rsidP="00CC3628">
      <w:r>
        <w:t>A titre expérimental, pour une durée de 3 ans, certaines agences régionales de santé pourront mettre en place un parcours soumis à prescription médicale visant à accompagner les personnes pour lesquelles une complication du diabète de T2 est découverte et qui bénéficient de la suppression de leur participation aux frais de santé (ticket modérateur).</w:t>
      </w:r>
    </w:p>
    <w:p w14:paraId="686A0F3E" w14:textId="77777777" w:rsidR="00CC3628" w:rsidRDefault="00CC3628" w:rsidP="00CC3628">
      <w:r>
        <w:t>Le parcours peut comprendre un bilan d’activité physique, ainsi qu’un bilan et des consultations de suivi nutritionnels et psychologiques.</w:t>
      </w:r>
    </w:p>
    <w:p w14:paraId="47D7B4CF" w14:textId="77777777" w:rsidR="00CC3628" w:rsidRDefault="00CC3628" w:rsidP="00CC3628">
      <w:r>
        <w:t>Un Décret est attendu pour rendre cette expérimentation applicable.</w:t>
      </w:r>
    </w:p>
    <w:p w14:paraId="394049A2" w14:textId="77777777" w:rsidR="00CC3628" w:rsidRPr="00A967BA" w:rsidRDefault="00CC3628" w:rsidP="00EE0687">
      <w:pPr>
        <w:pStyle w:val="Paragraphedeliste"/>
        <w:numPr>
          <w:ilvl w:val="0"/>
          <w:numId w:val="244"/>
        </w:numPr>
        <w:rPr>
          <w:b/>
          <w:bCs/>
          <w:i/>
          <w:iCs/>
          <w:u w:val="single"/>
        </w:rPr>
      </w:pPr>
      <w:r w:rsidRPr="00A967BA">
        <w:rPr>
          <w:b/>
          <w:bCs/>
          <w:i/>
          <w:iCs/>
          <w:u w:val="single"/>
        </w:rPr>
        <w:t>Prise en charge d’une consultation longue pour les adolescents</w:t>
      </w:r>
    </w:p>
    <w:p w14:paraId="72559CEC" w14:textId="77777777" w:rsidR="00CC3628" w:rsidRDefault="00CC3628" w:rsidP="00CC3628">
      <w:r>
        <w:t>A titre expérimental et pour une durée d’un an, certains territoires pourront mettre en place un</w:t>
      </w:r>
      <w:r w:rsidRPr="00E05B57">
        <w:t>e consultation longue sur la santé sexuelle réalisée par le médecin généraliste, le gynécologue ou la sage-femme au bénéfice des assurés entre leur 15</w:t>
      </w:r>
      <w:r w:rsidRPr="00B3460B">
        <w:rPr>
          <w:vertAlign w:val="superscript"/>
        </w:rPr>
        <w:t>e</w:t>
      </w:r>
      <w:r>
        <w:t xml:space="preserve"> </w:t>
      </w:r>
      <w:r w:rsidRPr="00E05B57">
        <w:t>et leur 18</w:t>
      </w:r>
      <w:r w:rsidRPr="00B3460B">
        <w:rPr>
          <w:vertAlign w:val="superscript"/>
        </w:rPr>
        <w:t>e</w:t>
      </w:r>
      <w:r>
        <w:t xml:space="preserve"> </w:t>
      </w:r>
      <w:r w:rsidRPr="00E05B57">
        <w:t>anniversaire.</w:t>
      </w:r>
    </w:p>
    <w:p w14:paraId="5971F81A" w14:textId="77777777" w:rsidR="00CC3628" w:rsidRPr="00DB21FD" w:rsidRDefault="00CC3628" w:rsidP="00EE0687">
      <w:pPr>
        <w:pStyle w:val="Paragraphedeliste"/>
        <w:numPr>
          <w:ilvl w:val="0"/>
          <w:numId w:val="244"/>
        </w:numPr>
        <w:rPr>
          <w:b/>
          <w:bCs/>
          <w:i/>
          <w:iCs/>
          <w:u w:val="single"/>
        </w:rPr>
      </w:pPr>
      <w:r w:rsidRPr="00DB21FD">
        <w:rPr>
          <w:b/>
          <w:bCs/>
          <w:i/>
          <w:iCs/>
          <w:u w:val="single"/>
        </w:rPr>
        <w:t>Adaptation des prises en charge en cas de risque sanitaire grave et exceptionnel</w:t>
      </w:r>
    </w:p>
    <w:p w14:paraId="0447ECB8" w14:textId="77777777" w:rsidR="00CC3628" w:rsidRDefault="00CC3628" w:rsidP="00CC3628">
      <w:r>
        <w:t>En cas de risque sanitaire grave et exceptionnel, notamment d’épidémie, des règles de prise en charge renforcée des frais de santé et les conditions pour bénéficier des indemnités journalières de Sécurité sociale peuvent être adaptées par Décret.</w:t>
      </w:r>
    </w:p>
    <w:p w14:paraId="5650F834" w14:textId="77777777" w:rsidR="00CC3628" w:rsidRDefault="00CC3628" w:rsidP="00CC3628">
      <w:r>
        <w:t>Ainsi, par exemple, le ticket modérateur a pu être supprimé, par exemple, pour faire face à l’épidémie de covid-19.</w:t>
      </w:r>
    </w:p>
    <w:p w14:paraId="7B4EC6EB" w14:textId="77777777" w:rsidR="00CC3628" w:rsidRDefault="00CC3628" w:rsidP="00CC3628">
      <w:r>
        <w:t>Mais, tirant un certain nombre d’enseignements de cette épidémie, la Loi autorise que le Décret concerné porte dérogation :</w:t>
      </w:r>
    </w:p>
    <w:p w14:paraId="18321205" w14:textId="77777777" w:rsidR="00CC3628" w:rsidRDefault="00CC3628" w:rsidP="00EE0687">
      <w:pPr>
        <w:pStyle w:val="Paragraphedeliste"/>
        <w:numPr>
          <w:ilvl w:val="0"/>
          <w:numId w:val="245"/>
        </w:numPr>
      </w:pPr>
      <w:r>
        <w:t>non seulement sur :</w:t>
      </w:r>
    </w:p>
    <w:p w14:paraId="53EA0BFA" w14:textId="77777777" w:rsidR="00CC3628" w:rsidRDefault="00CC3628" w:rsidP="00EE0687">
      <w:pPr>
        <w:pStyle w:val="Paragraphedeliste"/>
        <w:numPr>
          <w:ilvl w:val="1"/>
          <w:numId w:val="245"/>
        </w:numPr>
      </w:pPr>
      <w:r>
        <w:t>la participation de l'assuré, la participation forfaitaire et la franchise médicale ;</w:t>
      </w:r>
    </w:p>
    <w:p w14:paraId="54DA5E92" w14:textId="77777777" w:rsidR="00CC3628" w:rsidRDefault="00CC3628" w:rsidP="00EE0687">
      <w:pPr>
        <w:pStyle w:val="Paragraphedeliste"/>
        <w:numPr>
          <w:ilvl w:val="1"/>
          <w:numId w:val="245"/>
        </w:numPr>
      </w:pPr>
      <w:r>
        <w:t>le forfait journalier hospitalier ;</w:t>
      </w:r>
    </w:p>
    <w:p w14:paraId="586ADE54" w14:textId="77777777" w:rsidR="00CC3628" w:rsidRDefault="00CC3628" w:rsidP="00EE0687">
      <w:pPr>
        <w:pStyle w:val="Paragraphedeliste"/>
        <w:numPr>
          <w:ilvl w:val="1"/>
          <w:numId w:val="245"/>
        </w:numPr>
      </w:pPr>
      <w:r>
        <w:t>la prise en charge par l’Assurance maladie des dépassements d'honoraires pour les actes et prestations ;</w:t>
      </w:r>
    </w:p>
    <w:p w14:paraId="16E02DCF" w14:textId="77777777" w:rsidR="00CC3628" w:rsidRDefault="00CC3628" w:rsidP="00EE0687">
      <w:pPr>
        <w:pStyle w:val="Paragraphedeliste"/>
        <w:numPr>
          <w:ilvl w:val="1"/>
          <w:numId w:val="245"/>
        </w:numPr>
      </w:pPr>
      <w:r>
        <w:t>la prise en charge par l’Assurance maladie des dépassements de tarifs pour les produits et prestations ou pour les prothèses dentaires ;</w:t>
      </w:r>
    </w:p>
    <w:p w14:paraId="314A2A41" w14:textId="77777777" w:rsidR="00CC3628" w:rsidRPr="005D5391" w:rsidRDefault="00CC3628" w:rsidP="00EE0687">
      <w:pPr>
        <w:pStyle w:val="Paragraphedeliste"/>
        <w:numPr>
          <w:ilvl w:val="1"/>
          <w:numId w:val="245"/>
        </w:numPr>
      </w:pPr>
      <w:r w:rsidRPr="005D5391">
        <w:lastRenderedPageBreak/>
        <w:t>- les conditions dans lesquelles est limitée à certaines situations la prise en charge par l'assurance maladie obligatoire de certaines prestations ou produits de santé</w:t>
      </w:r>
      <w:r>
        <w:t> </w:t>
      </w:r>
      <w:r w:rsidRPr="005D5391">
        <w:t>;</w:t>
      </w:r>
    </w:p>
    <w:p w14:paraId="0543C11B" w14:textId="77777777" w:rsidR="00CC3628" w:rsidRDefault="00CC3628" w:rsidP="00EE0687">
      <w:pPr>
        <w:pStyle w:val="Paragraphedeliste"/>
        <w:numPr>
          <w:ilvl w:val="0"/>
          <w:numId w:val="245"/>
        </w:numPr>
      </w:pPr>
      <w:r>
        <w:t>mais aussi, désormais :</w:t>
      </w:r>
    </w:p>
    <w:p w14:paraId="1353D2D9" w14:textId="77777777" w:rsidR="00CC3628" w:rsidRDefault="00CC3628" w:rsidP="00EE0687">
      <w:pPr>
        <w:pStyle w:val="Paragraphedeliste"/>
        <w:numPr>
          <w:ilvl w:val="1"/>
          <w:numId w:val="245"/>
        </w:numPr>
      </w:pPr>
      <w:r>
        <w:t>la prise en charge par l’Assurance maladie de frais de santé qui ne relèvent pas, en principe, de la protection sociale contre le risque et les conséquences de la maladie ou de la maternité ;</w:t>
      </w:r>
    </w:p>
    <w:p w14:paraId="11CC7E7D" w14:textId="77777777" w:rsidR="00CC3628" w:rsidRDefault="00CC3628" w:rsidP="00EE0687">
      <w:pPr>
        <w:pStyle w:val="Paragraphedeliste"/>
        <w:numPr>
          <w:ilvl w:val="1"/>
          <w:numId w:val="245"/>
        </w:numPr>
      </w:pPr>
      <w:r>
        <w:t>les conditions et la période d’attribution du droit à la protection complémentaire en matière de santé, à l’aide médicale de l’État et aux soins urgents ;</w:t>
      </w:r>
    </w:p>
    <w:p w14:paraId="6D1D48F7" w14:textId="77777777" w:rsidR="00CC3628" w:rsidRDefault="00CC3628" w:rsidP="00EE0687">
      <w:pPr>
        <w:pStyle w:val="Paragraphedeliste"/>
        <w:numPr>
          <w:ilvl w:val="1"/>
          <w:numId w:val="245"/>
        </w:numPr>
      </w:pPr>
      <w:r>
        <w:t>la condition de stabilité et de régularité de résidence pour l’affiliation à l’Assurance maladie et maternité ;</w:t>
      </w:r>
    </w:p>
    <w:p w14:paraId="1785177B" w14:textId="77777777" w:rsidR="00CC3628" w:rsidRDefault="00CC3628" w:rsidP="00EE0687">
      <w:pPr>
        <w:pStyle w:val="Paragraphedeliste"/>
        <w:numPr>
          <w:ilvl w:val="1"/>
          <w:numId w:val="245"/>
        </w:numPr>
      </w:pPr>
      <w:r>
        <w:t>les prestations en espèces d’assurance maladie, maternité et décès d’un régime obligatoire de sécurité sociale et le maintien du traitement ou de la rémunération des périodes de congés pour raisons de santé pour les assurés relevant d’un régime spécial s’agissant notamment des conditions d’ouverture de droit aux indemnités journalières, du délai de carence, ou encore des conditions d’attribution de l’allocation de remplacement de l’exploitant agricole ;</w:t>
      </w:r>
    </w:p>
    <w:p w14:paraId="67E284F3" w14:textId="77777777" w:rsidR="00CC3628" w:rsidRDefault="00CC3628" w:rsidP="00EE0687">
      <w:pPr>
        <w:pStyle w:val="Paragraphedeliste"/>
        <w:numPr>
          <w:ilvl w:val="1"/>
          <w:numId w:val="245"/>
        </w:numPr>
      </w:pPr>
      <w:r>
        <w:t>les délais de transmission des arrêts de travail (et les sanctions correspondantes) ;</w:t>
      </w:r>
    </w:p>
    <w:p w14:paraId="7813521D" w14:textId="77777777" w:rsidR="00CC3628" w:rsidRDefault="00CC3628" w:rsidP="00EE0687">
      <w:pPr>
        <w:pStyle w:val="Paragraphedeliste"/>
        <w:numPr>
          <w:ilvl w:val="1"/>
          <w:numId w:val="245"/>
        </w:numPr>
      </w:pPr>
      <w:r>
        <w:t>le délai dans lequel le recours préalable devant la commission de recours amiable doit être formé ainsi que les délais relatifs aux conditions d’examen de ce recours, les délais à l’issue desquels une décision, un accord ou un avis peut ou doit intervenir ou est acquis implicitement.</w:t>
      </w:r>
    </w:p>
    <w:p w14:paraId="18421BB2" w14:textId="77777777" w:rsidR="00CC3628" w:rsidRDefault="00CC3628" w:rsidP="00CC3628">
      <w:r>
        <w:t>Ce Décret pourra prévoir l’application rétroactive des dispositions qu’il contient, dans la limite d’un mois avant la date de sa publication.</w:t>
      </w:r>
    </w:p>
    <w:p w14:paraId="3B2D4A90" w14:textId="77777777" w:rsidR="00CC3628" w:rsidRDefault="00CC3628" w:rsidP="00CC3628">
      <w:r>
        <w:t>De la même manière, un Décret pourra prévoir, lorsque la protection de la santé publique le justifie, en cas de risque sanitaire grave et exceptionnel, des dérogations en matière d’indemnité complémentaire de l’employeur aux indemnités journalières de Sécurité sociale (comme cela a pu être mis en œuvre dans le cadre de l’épidémie de covid-19), pour une durée limitée qui ne pourra pas excéder un an.</w:t>
      </w:r>
    </w:p>
    <w:p w14:paraId="53925A6A" w14:textId="77777777" w:rsidR="00CC3628" w:rsidRDefault="00CC3628" w:rsidP="00CC3628">
      <w:r>
        <w:t>Ce Décret fixera les conditions et limites des dérogations qu’il prévoira et qui peuvent porter sur :</w:t>
      </w:r>
    </w:p>
    <w:p w14:paraId="30A38820" w14:textId="77777777" w:rsidR="00CC3628" w:rsidRDefault="00CC3628" w:rsidP="00EE0687">
      <w:pPr>
        <w:pStyle w:val="Paragraphedeliste"/>
        <w:numPr>
          <w:ilvl w:val="0"/>
          <w:numId w:val="245"/>
        </w:numPr>
      </w:pPr>
      <w:r>
        <w:t>la condition d’ancienneté pour bénéficier de l’indemnisation complémentaire de l’employeur ;</w:t>
      </w:r>
    </w:p>
    <w:p w14:paraId="0CA9F185" w14:textId="77777777" w:rsidR="00CC3628" w:rsidRDefault="00CC3628" w:rsidP="00EE0687">
      <w:pPr>
        <w:pStyle w:val="Paragraphedeliste"/>
        <w:numPr>
          <w:ilvl w:val="0"/>
          <w:numId w:val="245"/>
        </w:numPr>
      </w:pPr>
      <w:r>
        <w:t>le motif d’absence au travail justifiant le bénéfice de cette indemnisation complémentaire (concrètement, cela pourrait permettre aux personnes en isolement ou en quarantaine de bénéficier de l’indemnisation complémentaire de l’employeur) ;</w:t>
      </w:r>
    </w:p>
    <w:p w14:paraId="6EA33023" w14:textId="77777777" w:rsidR="00CC3628" w:rsidRDefault="00CC3628" w:rsidP="00EE0687">
      <w:pPr>
        <w:pStyle w:val="Paragraphedeliste"/>
        <w:numPr>
          <w:ilvl w:val="0"/>
          <w:numId w:val="245"/>
        </w:numPr>
      </w:pPr>
      <w:r>
        <w:t>les conditions justifiant le versement de l’indemnisation complémentaire ;</w:t>
      </w:r>
    </w:p>
    <w:p w14:paraId="057AB118" w14:textId="77777777" w:rsidR="00CC3628" w:rsidRDefault="00CC3628" w:rsidP="00EE0687">
      <w:pPr>
        <w:pStyle w:val="Paragraphedeliste"/>
        <w:numPr>
          <w:ilvl w:val="0"/>
          <w:numId w:val="245"/>
        </w:numPr>
      </w:pPr>
      <w:r>
        <w:t xml:space="preserve">l’exclusion des catégories de salariés (en principe, les </w:t>
      </w:r>
      <w:r w:rsidRPr="006F256A">
        <w:t xml:space="preserve">salariés travaillant à domicile, </w:t>
      </w:r>
      <w:r>
        <w:t>les</w:t>
      </w:r>
      <w:r w:rsidRPr="006F256A">
        <w:t xml:space="preserve"> salariés saisonniers, </w:t>
      </w:r>
      <w:r>
        <w:t xml:space="preserve">les </w:t>
      </w:r>
      <w:r w:rsidRPr="006F256A">
        <w:t>salariés intermittents et salariés temporaires</w:t>
      </w:r>
      <w:r>
        <w:t>) ;</w:t>
      </w:r>
    </w:p>
    <w:p w14:paraId="4EE89B4B" w14:textId="77777777" w:rsidR="00CC3628" w:rsidRDefault="00CC3628" w:rsidP="00EE0687">
      <w:pPr>
        <w:pStyle w:val="Paragraphedeliste"/>
        <w:numPr>
          <w:ilvl w:val="0"/>
          <w:numId w:val="245"/>
        </w:numPr>
      </w:pPr>
      <w:r>
        <w:t>les taux de l’indemnité complémentaire et les délais y afférant ;</w:t>
      </w:r>
    </w:p>
    <w:p w14:paraId="4C9A6137" w14:textId="77777777" w:rsidR="00CC3628" w:rsidRDefault="00CC3628" w:rsidP="00EE0687">
      <w:pPr>
        <w:pStyle w:val="Paragraphedeliste"/>
        <w:numPr>
          <w:ilvl w:val="0"/>
          <w:numId w:val="245"/>
        </w:numPr>
      </w:pPr>
      <w:r>
        <w:t>les modalités de calcul de l’indemnité complémentaire.</w:t>
      </w:r>
    </w:p>
    <w:p w14:paraId="59905412" w14:textId="77777777" w:rsidR="00CC3628" w:rsidRDefault="00CC3628" w:rsidP="00CC3628">
      <w:r>
        <w:t>Là encore, ce Décret pourra prévoir que ses dispositions seront rétroactives, dans la limite d’un mois avant la date de sa publication.</w:t>
      </w:r>
    </w:p>
    <w:p w14:paraId="10F60F42" w14:textId="77777777" w:rsidR="00CC3628" w:rsidRDefault="00CC3628" w:rsidP="00CC3628">
      <w:r>
        <w:t>Par ailleurs, pour faire face à l’épidémie de covid-19, le Gouvernement pourra prévoir par Décret des règles de prise en charge renforcée des frais de santé ainsi que des conditions adaptées pour le bénéfice des indemnités journalières. Cette faculté pourra être mise en œuvre jusqu’à une date qui sera précisée par Décret, et au plus tard jusqu’au 31 décembre 2021.</w:t>
      </w:r>
    </w:p>
    <w:p w14:paraId="4AB40CDA" w14:textId="77777777" w:rsidR="00CC3628" w:rsidRDefault="00CC3628" w:rsidP="00CC3628"/>
    <w:p w14:paraId="2AE2D252" w14:textId="5F350384" w:rsidR="00D72628" w:rsidRPr="00F048D5" w:rsidRDefault="00D72628" w:rsidP="00D72628">
      <w:pPr>
        <w:pStyle w:val="Titre3"/>
      </w:pPr>
      <w:bookmarkStart w:id="55" w:name="_Toc60780987"/>
      <w:r w:rsidRPr="00F048D5">
        <w:lastRenderedPageBreak/>
        <w:t xml:space="preserve">Slide </w:t>
      </w:r>
      <w:r w:rsidR="00A70964">
        <w:t>35</w:t>
      </w:r>
      <w:r w:rsidRPr="00F048D5">
        <w:t xml:space="preserve"> : </w:t>
      </w:r>
      <w:r w:rsidRPr="00436920">
        <w:t xml:space="preserve">Création </w:t>
      </w:r>
      <w:r>
        <w:t>d’une aide à la vie partagée</w:t>
      </w:r>
      <w:bookmarkEnd w:id="55"/>
      <w:r>
        <w:t xml:space="preserve"> </w:t>
      </w:r>
    </w:p>
    <w:p w14:paraId="5AAB56C6" w14:textId="391E73BA" w:rsidR="00D72628" w:rsidRDefault="00D72628" w:rsidP="00D72628">
      <w:r w:rsidRPr="00F048D5">
        <w:rPr>
          <w:u w:val="single"/>
        </w:rPr>
        <w:t>Source :</w:t>
      </w:r>
      <w:r w:rsidRPr="00F048D5">
        <w:t xml:space="preserve"> Loi de Financement de la sécurité sociale pour 2021</w:t>
      </w:r>
      <w:r>
        <w:t>, art</w:t>
      </w:r>
      <w:r w:rsidR="001D5B51">
        <w:t>icle</w:t>
      </w:r>
      <w:r>
        <w:t xml:space="preserve"> 34 </w:t>
      </w:r>
    </w:p>
    <w:p w14:paraId="7A2CD29A" w14:textId="77777777" w:rsidR="00D72628" w:rsidRDefault="00D72628" w:rsidP="00D72628">
      <w:r>
        <w:t>Pour rappel, l’</w:t>
      </w:r>
      <w:r w:rsidRPr="00F3665A">
        <w:t>habitat inclusif est destiné aux personnes handicapées et aux personnes âgées qui choisissent comme résidence principale un mode d’habitation regroupé, entre elles ou avec d’autres personnes, assorti d’un projet de vie sociale et partagée.</w:t>
      </w:r>
    </w:p>
    <w:p w14:paraId="249854A2" w14:textId="77777777" w:rsidR="00D72628" w:rsidRDefault="00D72628" w:rsidP="00D72628">
      <w:r w:rsidRPr="00743971">
        <w:t>Les habitants d</w:t>
      </w:r>
      <w:r>
        <w:t>e ses</w:t>
      </w:r>
      <w:r w:rsidRPr="00743971">
        <w:t xml:space="preserve"> habitat</w:t>
      </w:r>
      <w:r>
        <w:t>s</w:t>
      </w:r>
      <w:r w:rsidRPr="00743971">
        <w:t xml:space="preserve"> inclusif</w:t>
      </w:r>
      <w:r>
        <w:t>s pourront</w:t>
      </w:r>
      <w:r w:rsidRPr="00743971">
        <w:t xml:space="preserve"> bénéficier d’une aide à la vie partagée leur permettant de financer le projet de vie sociale et partagée, versée directement par le </w:t>
      </w:r>
      <w:r>
        <w:t>D</w:t>
      </w:r>
      <w:r w:rsidRPr="00743971">
        <w:t>épartement à la personne morale chargée d’assurer le projet de vie sociale et partagée</w:t>
      </w:r>
      <w:r>
        <w:t xml:space="preserve">. </w:t>
      </w:r>
    </w:p>
    <w:p w14:paraId="02F399E8" w14:textId="77777777" w:rsidR="00D72628" w:rsidRDefault="00D72628" w:rsidP="00D72628">
      <w:r>
        <w:t>L</w:t>
      </w:r>
      <w:r w:rsidRPr="00743971">
        <w:t>e bénéfice de l’aide est subordonné à la signature, au titre des logements concernés, d’une convention entre le département et cette personne morale.</w:t>
      </w:r>
    </w:p>
    <w:p w14:paraId="5663FE98" w14:textId="77777777" w:rsidR="00D72628" w:rsidRDefault="00D72628" w:rsidP="00D72628">
      <w:r w:rsidRPr="00FE3B6C">
        <w:t xml:space="preserve">Les conditions de cette aide sont fixées par un accord pour l’habitat inclusif, passé entre le </w:t>
      </w:r>
      <w:r>
        <w:t>D</w:t>
      </w:r>
      <w:r w:rsidRPr="00FE3B6C">
        <w:t>épartement et la Caisse nationale de solidarité pour l’autonomie. Celui-ci porte notamment sur le montant de l’aide et ses conditions d’attribution, ouvrant droit au versement par la caisse d’un concours pour le financement des dépenses départementales d’aide à la vie partagée.</w:t>
      </w:r>
    </w:p>
    <w:p w14:paraId="552AF898" w14:textId="77777777" w:rsidR="00D72628" w:rsidRDefault="00D72628" w:rsidP="00D72628">
      <w:r w:rsidRPr="00743971">
        <w:t>Cet accord peut prévoir d’autres engagements en matière de développement de l’habitat inclusif ou de politiques venant à son soutien</w:t>
      </w:r>
      <w:r>
        <w:t xml:space="preserve">. </w:t>
      </w:r>
    </w:p>
    <w:p w14:paraId="6C8FB4DC" w14:textId="77777777" w:rsidR="00D72628" w:rsidRPr="00743971" w:rsidRDefault="00D72628" w:rsidP="00D72628">
      <w:r>
        <w:t xml:space="preserve">L’accord peut également </w:t>
      </w:r>
      <w:r w:rsidRPr="00743971">
        <w:t xml:space="preserve">être signé par le représentant de l’État dans le </w:t>
      </w:r>
      <w:r>
        <w:t>D</w:t>
      </w:r>
      <w:r w:rsidRPr="00743971">
        <w:t>épartement ou le directeur général de l’</w:t>
      </w:r>
      <w:r>
        <w:t>A</w:t>
      </w:r>
      <w:r w:rsidRPr="00743971">
        <w:t xml:space="preserve">gence </w:t>
      </w:r>
      <w:r>
        <w:t>R</w:t>
      </w:r>
      <w:r w:rsidRPr="00743971">
        <w:t xml:space="preserve">égionale de </w:t>
      </w:r>
      <w:r>
        <w:t>S</w:t>
      </w:r>
      <w:r w:rsidRPr="00743971">
        <w:t>anté.</w:t>
      </w:r>
    </w:p>
    <w:p w14:paraId="601A4D5D" w14:textId="77777777" w:rsidR="00D72628" w:rsidRPr="00F048D5" w:rsidRDefault="00D72628" w:rsidP="00D72628">
      <w:r w:rsidRPr="00743971">
        <w:t xml:space="preserve">À titre transitoire, </w:t>
      </w:r>
      <w:r>
        <w:t xml:space="preserve">cet </w:t>
      </w:r>
      <w:r w:rsidRPr="00743971">
        <w:t>accord</w:t>
      </w:r>
      <w:r>
        <w:t xml:space="preserve"> doit</w:t>
      </w:r>
      <w:r w:rsidRPr="00743971">
        <w:t xml:space="preserve"> prévoi</w:t>
      </w:r>
      <w:r>
        <w:t>r</w:t>
      </w:r>
      <w:r w:rsidRPr="00743971">
        <w:t xml:space="preserve"> que, pour tout ou partie des conventions mentionnées </w:t>
      </w:r>
      <w:r>
        <w:t xml:space="preserve">ci-dessus et </w:t>
      </w:r>
      <w:r w:rsidRPr="00743971">
        <w:t>signées avant le 31 décembre 2022, le concours</w:t>
      </w:r>
      <w:r>
        <w:t xml:space="preserve"> de la caisse doit</w:t>
      </w:r>
      <w:r w:rsidRPr="00743971">
        <w:t xml:space="preserve">, pour la durée de la convention, </w:t>
      </w:r>
      <w:r>
        <w:t xml:space="preserve">prévoir </w:t>
      </w:r>
      <w:r w:rsidRPr="00743971">
        <w:t xml:space="preserve">la couverture des dépenses d’aide à la vie partagée à un taux, fixé par l’accord, d’au moins 80 % de la dépense du département. </w:t>
      </w:r>
    </w:p>
    <w:p w14:paraId="6C16C2EC" w14:textId="77777777" w:rsidR="00D72628" w:rsidRPr="00F048D5" w:rsidRDefault="00D72628" w:rsidP="00D72628"/>
    <w:p w14:paraId="7BBCB84E" w14:textId="6CEC99A7" w:rsidR="00F018E8" w:rsidRPr="00F048D5" w:rsidRDefault="00F018E8" w:rsidP="00F018E8">
      <w:pPr>
        <w:pStyle w:val="Titre3"/>
      </w:pPr>
      <w:bookmarkStart w:id="56" w:name="_Toc60780988"/>
      <w:r w:rsidRPr="00F048D5">
        <w:t xml:space="preserve">Slide </w:t>
      </w:r>
      <w:r w:rsidR="006916EF">
        <w:t>36</w:t>
      </w:r>
      <w:r w:rsidRPr="00F048D5">
        <w:t xml:space="preserve"> : Pension de </w:t>
      </w:r>
      <w:r>
        <w:t>ré</w:t>
      </w:r>
      <w:r w:rsidRPr="00F048D5">
        <w:t>version</w:t>
      </w:r>
      <w:bookmarkEnd w:id="56"/>
    </w:p>
    <w:p w14:paraId="11F77596" w14:textId="1D4AEB27" w:rsidR="00F018E8" w:rsidRPr="00F048D5" w:rsidRDefault="00F018E8" w:rsidP="00F018E8">
      <w:pPr>
        <w:rPr>
          <w:u w:val="single"/>
        </w:rPr>
      </w:pPr>
      <w:r w:rsidRPr="00F048D5">
        <w:rPr>
          <w:u w:val="single"/>
        </w:rPr>
        <w:t>Source :</w:t>
      </w:r>
      <w:r w:rsidRPr="00F048D5">
        <w:t xml:space="preserve"> Loi de Financement de la sécurité sociale pour 2021</w:t>
      </w:r>
      <w:r>
        <w:t>, art</w:t>
      </w:r>
      <w:r w:rsidR="001D5B51">
        <w:t>icle</w:t>
      </w:r>
      <w:r>
        <w:t xml:space="preserve"> 103</w:t>
      </w:r>
    </w:p>
    <w:p w14:paraId="5D66BF9A" w14:textId="77777777" w:rsidR="00F018E8" w:rsidRDefault="00F018E8" w:rsidP="00F018E8">
      <w:r>
        <w:t>La pension de réversion constitue le versement au bénéfice du conjoint survivant d’une partie de la pension de retraite qu’aurait pu percevoir le défunt époux.</w:t>
      </w:r>
    </w:p>
    <w:p w14:paraId="49D1550E" w14:textId="77777777" w:rsidR="00F018E8" w:rsidRDefault="00F018E8" w:rsidP="00F018E8">
      <w:r>
        <w:t>Seul le mariage ouvre droit à cette prestation qui est versée au conjoint survivant (ou à l’ex-conjoint survivant), que les liens de mariage fussent maintenus au moment du décès de l’assuré ou qu’un divorce ait déjà été prononcé.</w:t>
      </w:r>
    </w:p>
    <w:p w14:paraId="7EB8D951" w14:textId="77777777" w:rsidR="00F018E8" w:rsidRDefault="00F018E8" w:rsidP="00F018E8">
      <w:r>
        <w:t>Désormais, la pension de réversion ne sera pas due au conjoint survivant ou divorcé lorsque celui-ci aura été déclaré</w:t>
      </w:r>
      <w:r w:rsidRPr="007E42C9">
        <w:t xml:space="preserve"> coupable de meurtre, d'actes de torture ou de barbarie, de violences ayant entraîné la mort sans intention de la donner, de viol ou d'agressions sexuelles </w:t>
      </w:r>
      <w:r>
        <w:t>à l’encontre de l’assuré.</w:t>
      </w:r>
    </w:p>
    <w:p w14:paraId="1475F376" w14:textId="77777777" w:rsidR="00F018E8" w:rsidRDefault="00F018E8" w:rsidP="00F018E8">
      <w:r>
        <w:t>Dans de telles hypothèses, il serait</w:t>
      </w:r>
      <w:r w:rsidRPr="007E42C9">
        <w:t xml:space="preserve"> condamné à une peine complémentaire automatique le privant de pension de réversion. </w:t>
      </w:r>
      <w:r>
        <w:t>Toutefois, l</w:t>
      </w:r>
      <w:r w:rsidRPr="007E42C9">
        <w:t>e juge pénal pourrait</w:t>
      </w:r>
      <w:r>
        <w:t>,</w:t>
      </w:r>
      <w:r w:rsidRPr="007E42C9">
        <w:t xml:space="preserve"> par une décision spécialement motivée, décider de ne pas prononcer cette peine, en considération des circonstances de l’infraction et de la personnalité de son auteur.</w:t>
      </w:r>
    </w:p>
    <w:p w14:paraId="0C09B33D" w14:textId="77777777" w:rsidR="00F018E8" w:rsidRPr="00F048D5" w:rsidRDefault="00F018E8" w:rsidP="00F018E8">
      <w:r>
        <w:t>Notez que c</w:t>
      </w:r>
      <w:r w:rsidRPr="007E42C9">
        <w:t>ette règle serait également applicable à Mayotte.</w:t>
      </w:r>
    </w:p>
    <w:p w14:paraId="6B2DD591" w14:textId="77777777" w:rsidR="00F018E8" w:rsidRPr="00F048D5" w:rsidRDefault="00F018E8" w:rsidP="00F018E8"/>
    <w:p w14:paraId="0869700B" w14:textId="265CEDFE" w:rsidR="0007781F" w:rsidRPr="00A847B7" w:rsidRDefault="0007781F" w:rsidP="0007781F">
      <w:pPr>
        <w:pStyle w:val="Titre3"/>
      </w:pPr>
      <w:bookmarkStart w:id="57" w:name="_Toc60780989"/>
      <w:r w:rsidRPr="00A847B7">
        <w:t xml:space="preserve">Slide </w:t>
      </w:r>
      <w:r w:rsidR="0074550B">
        <w:t>37</w:t>
      </w:r>
      <w:r w:rsidRPr="00A847B7">
        <w:t xml:space="preserve"> : </w:t>
      </w:r>
      <w:r w:rsidR="004906A6" w:rsidRPr="00A847B7">
        <w:t>Mesures diverses</w:t>
      </w:r>
      <w:bookmarkEnd w:id="57"/>
    </w:p>
    <w:p w14:paraId="1164E06F" w14:textId="01114B86" w:rsidR="00ED6E9B" w:rsidRPr="000B6EE9" w:rsidRDefault="004906A6" w:rsidP="00001043">
      <w:pPr>
        <w:rPr>
          <w:u w:val="single"/>
        </w:rPr>
      </w:pPr>
      <w:r w:rsidRPr="000B6EE9">
        <w:rPr>
          <w:u w:val="single"/>
        </w:rPr>
        <w:t>Source</w:t>
      </w:r>
      <w:r w:rsidR="0064458B" w:rsidRPr="000B6EE9">
        <w:rPr>
          <w:u w:val="single"/>
        </w:rPr>
        <w:t>s</w:t>
      </w:r>
      <w:r w:rsidRPr="000B6EE9">
        <w:rPr>
          <w:u w:val="single"/>
        </w:rPr>
        <w:t xml:space="preserve"> : </w:t>
      </w:r>
    </w:p>
    <w:p w14:paraId="4BCC054D" w14:textId="68EF3BED" w:rsidR="009443CD" w:rsidRPr="00ED6E9B" w:rsidRDefault="004906A6" w:rsidP="00EE0687">
      <w:pPr>
        <w:pStyle w:val="Paragraphedeliste"/>
        <w:numPr>
          <w:ilvl w:val="0"/>
          <w:numId w:val="250"/>
        </w:numPr>
        <w:spacing w:after="100" w:afterAutospacing="1"/>
        <w:rPr>
          <w:rFonts w:cstheme="minorHAnsi"/>
        </w:rPr>
      </w:pPr>
      <w:r w:rsidRPr="00A847B7">
        <w:t xml:space="preserve">Loi de Finances pour 2021, </w:t>
      </w:r>
      <w:r w:rsidRPr="00905C0E">
        <w:t>articles</w:t>
      </w:r>
      <w:r w:rsidRPr="00905C0E">
        <w:rPr>
          <w:rFonts w:cstheme="minorHAnsi"/>
        </w:rPr>
        <w:t xml:space="preserve"> </w:t>
      </w:r>
      <w:r w:rsidR="000134D8" w:rsidRPr="00905C0E">
        <w:rPr>
          <w:rFonts w:cstheme="minorHAnsi"/>
        </w:rPr>
        <w:t>221 et 258</w:t>
      </w:r>
    </w:p>
    <w:p w14:paraId="19561E8B" w14:textId="5B74DB14" w:rsidR="00ED6E9B" w:rsidRDefault="00ED6E9B" w:rsidP="00EE0687">
      <w:pPr>
        <w:pStyle w:val="Paragraphedeliste"/>
        <w:numPr>
          <w:ilvl w:val="0"/>
          <w:numId w:val="249"/>
        </w:numPr>
        <w:spacing w:beforeAutospacing="1" w:after="100" w:afterAutospacing="1"/>
      </w:pPr>
      <w:r w:rsidRPr="00F048D5">
        <w:t>Loi de Financement de la sécurité sociale pour 2021</w:t>
      </w:r>
      <w:r>
        <w:t>, art</w:t>
      </w:r>
      <w:r w:rsidR="00893686">
        <w:t>icles</w:t>
      </w:r>
      <w:r>
        <w:t xml:space="preserve"> </w:t>
      </w:r>
      <w:r w:rsidR="00AF07AE">
        <w:t xml:space="preserve">20, </w:t>
      </w:r>
      <w:r w:rsidR="00BC16D4">
        <w:t xml:space="preserve">22, 24, 32, </w:t>
      </w:r>
      <w:r>
        <w:t>74, 82, 91, 92</w:t>
      </w:r>
    </w:p>
    <w:p w14:paraId="6E00070D" w14:textId="77777777" w:rsidR="00001043" w:rsidRDefault="00001043" w:rsidP="00001043">
      <w:pPr>
        <w:pStyle w:val="Paragraphedeliste"/>
        <w:spacing w:beforeAutospacing="1" w:after="100" w:afterAutospacing="1"/>
      </w:pPr>
    </w:p>
    <w:p w14:paraId="6E13F2D2" w14:textId="30159FB5" w:rsidR="009443CD" w:rsidRPr="00A847B7" w:rsidRDefault="009B5747" w:rsidP="00EE0687">
      <w:pPr>
        <w:pStyle w:val="Paragraphedeliste"/>
        <w:numPr>
          <w:ilvl w:val="0"/>
          <w:numId w:val="23"/>
        </w:numPr>
        <w:spacing w:beforeAutospacing="1" w:after="100" w:afterAutospacing="1"/>
        <w:rPr>
          <w:rFonts w:cstheme="minorHAnsi"/>
        </w:rPr>
      </w:pPr>
      <w:r w:rsidRPr="00A847B7">
        <w:rPr>
          <w:rFonts w:cstheme="minorHAnsi"/>
          <w:b/>
          <w:bCs/>
          <w:i/>
          <w:iCs/>
          <w:u w:val="single"/>
        </w:rPr>
        <w:t>Allocation pour conjoints survivant</w:t>
      </w:r>
      <w:r w:rsidR="007B71F0" w:rsidRPr="00A847B7">
        <w:rPr>
          <w:rFonts w:cstheme="minorHAnsi"/>
          <w:b/>
          <w:bCs/>
          <w:i/>
          <w:iCs/>
          <w:u w:val="single"/>
        </w:rPr>
        <w:t xml:space="preserve">s de militaires </w:t>
      </w:r>
      <w:r w:rsidRPr="00A847B7">
        <w:rPr>
          <w:rFonts w:cstheme="minorHAnsi"/>
          <w:b/>
          <w:bCs/>
          <w:i/>
          <w:iCs/>
          <w:u w:val="single"/>
        </w:rPr>
        <w:t>invalides</w:t>
      </w:r>
      <w:r w:rsidR="00C757AB" w:rsidRPr="00A847B7">
        <w:rPr>
          <w:rFonts w:cstheme="minorHAnsi"/>
          <w:b/>
          <w:bCs/>
          <w:i/>
          <w:iCs/>
          <w:u w:val="single"/>
        </w:rPr>
        <w:t xml:space="preserve"> ou victimes de guerre</w:t>
      </w:r>
    </w:p>
    <w:p w14:paraId="2E1065FB" w14:textId="51D45340" w:rsidR="009443CD" w:rsidRPr="00A847B7" w:rsidRDefault="003A22CD" w:rsidP="009443CD">
      <w:pPr>
        <w:spacing w:beforeAutospacing="1" w:after="100" w:afterAutospacing="1"/>
        <w:rPr>
          <w:rFonts w:cstheme="minorHAnsi"/>
        </w:rPr>
      </w:pPr>
      <w:r w:rsidRPr="00A847B7">
        <w:rPr>
          <w:rFonts w:cstheme="minorHAnsi"/>
        </w:rPr>
        <w:t>La pe</w:t>
      </w:r>
      <w:r w:rsidR="007930B3" w:rsidRPr="00A847B7">
        <w:rPr>
          <w:rFonts w:cstheme="minorHAnsi"/>
        </w:rPr>
        <w:t>nsion touchée par les conjoints ou partenaires survivants de militaires inva</w:t>
      </w:r>
      <w:r w:rsidR="00C6276F" w:rsidRPr="00A847B7">
        <w:rPr>
          <w:rFonts w:cstheme="minorHAnsi"/>
        </w:rPr>
        <w:t xml:space="preserve">lides ou victimes de guerres peut </w:t>
      </w:r>
      <w:r w:rsidR="00E91501" w:rsidRPr="00A847B7">
        <w:rPr>
          <w:rFonts w:cstheme="minorHAnsi"/>
        </w:rPr>
        <w:t xml:space="preserve">être </w:t>
      </w:r>
      <w:r w:rsidR="002404F2" w:rsidRPr="00A847B7">
        <w:rPr>
          <w:rFonts w:cstheme="minorHAnsi"/>
        </w:rPr>
        <w:t xml:space="preserve">majorée </w:t>
      </w:r>
      <w:r w:rsidR="00077DA9" w:rsidRPr="00A847B7">
        <w:rPr>
          <w:rFonts w:cstheme="minorHAnsi"/>
        </w:rPr>
        <w:t>lorsqu’avant</w:t>
      </w:r>
      <w:r w:rsidR="005B7B37" w:rsidRPr="00A847B7">
        <w:rPr>
          <w:rFonts w:cstheme="minorHAnsi"/>
        </w:rPr>
        <w:t xml:space="preserve"> son décès, l’invalide était détenteur d’une pension attribué</w:t>
      </w:r>
      <w:r w:rsidR="005B5CD3" w:rsidRPr="00A847B7">
        <w:rPr>
          <w:rFonts w:cstheme="minorHAnsi"/>
        </w:rPr>
        <w:t>e dont l’indice est d’au moins 10 000 points.</w:t>
      </w:r>
    </w:p>
    <w:p w14:paraId="36D3C6B0" w14:textId="331314F7" w:rsidR="00077DA9" w:rsidRPr="00A847B7" w:rsidRDefault="00313E4A" w:rsidP="009443CD">
      <w:pPr>
        <w:spacing w:beforeAutospacing="1" w:after="100" w:afterAutospacing="1"/>
        <w:rPr>
          <w:rFonts w:cstheme="minorHAnsi"/>
        </w:rPr>
      </w:pPr>
      <w:r w:rsidRPr="00A847B7">
        <w:rPr>
          <w:rFonts w:cstheme="minorHAnsi"/>
        </w:rPr>
        <w:t xml:space="preserve">Pour les pensions </w:t>
      </w:r>
      <w:r w:rsidR="00C50368" w:rsidRPr="00A847B7">
        <w:rPr>
          <w:rFonts w:cstheme="minorHAnsi"/>
        </w:rPr>
        <w:t>en paiement au 1</w:t>
      </w:r>
      <w:r w:rsidR="00C50368" w:rsidRPr="00A847B7">
        <w:rPr>
          <w:rFonts w:cstheme="minorHAnsi"/>
          <w:vertAlign w:val="superscript"/>
        </w:rPr>
        <w:t>er</w:t>
      </w:r>
      <w:r w:rsidR="00C50368" w:rsidRPr="00A847B7">
        <w:rPr>
          <w:rFonts w:cstheme="minorHAnsi"/>
        </w:rPr>
        <w:t xml:space="preserve"> janvier 2021, cette </w:t>
      </w:r>
      <w:r w:rsidR="0087678A" w:rsidRPr="00A847B7">
        <w:rPr>
          <w:rFonts w:cstheme="minorHAnsi"/>
        </w:rPr>
        <w:t>majoration sera accordée</w:t>
      </w:r>
      <w:r w:rsidR="000D7DA3" w:rsidRPr="00A847B7">
        <w:rPr>
          <w:rFonts w:cstheme="minorHAnsi"/>
        </w:rPr>
        <w:t xml:space="preserve"> aux conjoints ou partenaires survivants, à compter de leur demande, lorsqu’avant son décès l’invalide était détenteur d’une pension att</w:t>
      </w:r>
      <w:r w:rsidR="001746A9" w:rsidRPr="00A847B7">
        <w:rPr>
          <w:rFonts w:cstheme="minorHAnsi"/>
        </w:rPr>
        <w:t>ribué est d’au moins 6 000 points.</w:t>
      </w:r>
    </w:p>
    <w:p w14:paraId="73572335" w14:textId="5A4DEF53" w:rsidR="00A90254" w:rsidRPr="00A847B7" w:rsidRDefault="00A90254" w:rsidP="00EE0687">
      <w:pPr>
        <w:pStyle w:val="Paragraphedeliste"/>
        <w:numPr>
          <w:ilvl w:val="0"/>
          <w:numId w:val="23"/>
        </w:numPr>
        <w:rPr>
          <w:rFonts w:cstheme="minorHAnsi"/>
        </w:rPr>
      </w:pPr>
      <w:r w:rsidRPr="00A847B7">
        <w:rPr>
          <w:rFonts w:cstheme="minorHAnsi"/>
          <w:b/>
          <w:bCs/>
          <w:i/>
          <w:iCs/>
          <w:u w:val="single"/>
        </w:rPr>
        <w:t>Indemnisation des victimes du valproate de sodium ou de ses dérivés</w:t>
      </w:r>
    </w:p>
    <w:p w14:paraId="471FE7E7" w14:textId="7BD4FF18" w:rsidR="009443CD" w:rsidRPr="00A847B7" w:rsidRDefault="00FD41EA" w:rsidP="0007781F">
      <w:pPr>
        <w:spacing w:beforeAutospacing="1" w:after="100" w:afterAutospacing="1"/>
        <w:rPr>
          <w:rFonts w:cstheme="minorHAnsi"/>
        </w:rPr>
      </w:pPr>
      <w:r w:rsidRPr="00A847B7">
        <w:rPr>
          <w:rFonts w:cstheme="minorHAnsi"/>
        </w:rPr>
        <w:t>Les personnes considérées comme responsables par un collège d’experts ou les assureurs qui les garantissent doivent adresser à la victime du valproate de sodium ou de ses dérivés (ou à ses ayants-droits)</w:t>
      </w:r>
      <w:r w:rsidR="008879C9" w:rsidRPr="00A847B7">
        <w:rPr>
          <w:rFonts w:cstheme="minorHAnsi"/>
        </w:rPr>
        <w:t xml:space="preserve"> une offre d’indemnisation visant à la réparation intégrale de son préjudice</w:t>
      </w:r>
      <w:r w:rsidR="00C36283" w:rsidRPr="00A847B7">
        <w:rPr>
          <w:rFonts w:cstheme="minorHAnsi"/>
        </w:rPr>
        <w:t xml:space="preserve">. </w:t>
      </w:r>
    </w:p>
    <w:p w14:paraId="1B7D4E76" w14:textId="1A2BD17A" w:rsidR="00C36283" w:rsidRPr="00A847B7" w:rsidRDefault="00C36283" w:rsidP="0007781F">
      <w:pPr>
        <w:spacing w:beforeAutospacing="1" w:after="100" w:afterAutospacing="1"/>
        <w:rPr>
          <w:rFonts w:cstheme="minorHAnsi"/>
        </w:rPr>
      </w:pPr>
      <w:r w:rsidRPr="00A847B7">
        <w:rPr>
          <w:rFonts w:cstheme="minorHAnsi"/>
        </w:rPr>
        <w:t>La victime ou ses ayants-droits a/ont la possibilité de refuser cette offre</w:t>
      </w:r>
      <w:r w:rsidR="003E6D77" w:rsidRPr="00A847B7">
        <w:rPr>
          <w:rFonts w:cstheme="minorHAnsi"/>
        </w:rPr>
        <w:t xml:space="preserve"> et saisir le juge</w:t>
      </w:r>
      <w:r w:rsidR="00794950" w:rsidRPr="00A847B7">
        <w:rPr>
          <w:rFonts w:cstheme="minorHAnsi"/>
        </w:rPr>
        <w:t>.</w:t>
      </w:r>
    </w:p>
    <w:p w14:paraId="4CBD565C" w14:textId="7BB4C0EE" w:rsidR="0007781F" w:rsidRPr="00A847B7" w:rsidRDefault="0080635B" w:rsidP="0007781F">
      <w:pPr>
        <w:spacing w:beforeAutospacing="1" w:after="100" w:afterAutospacing="1"/>
        <w:rPr>
          <w:rFonts w:cstheme="minorHAnsi"/>
        </w:rPr>
      </w:pPr>
      <w:r w:rsidRPr="00A847B7">
        <w:rPr>
          <w:rFonts w:cstheme="minorHAnsi"/>
        </w:rPr>
        <w:t>Si le juge estime que l’offre proposée à la victime ou à ses ayants-droits est insuffisante</w:t>
      </w:r>
      <w:r w:rsidR="00776A3E" w:rsidRPr="00A847B7">
        <w:rPr>
          <w:rFonts w:cstheme="minorHAnsi"/>
        </w:rPr>
        <w:t xml:space="preserve">, il peut condamner le responsable ou son assureur </w:t>
      </w:r>
      <w:r w:rsidR="000B4037" w:rsidRPr="00A847B7">
        <w:rPr>
          <w:rFonts w:cstheme="minorHAnsi"/>
        </w:rPr>
        <w:t xml:space="preserve">à verser </w:t>
      </w:r>
      <w:r w:rsidR="001B2600" w:rsidRPr="00A847B7">
        <w:rPr>
          <w:rFonts w:cstheme="minorHAnsi"/>
        </w:rPr>
        <w:t>à l’office national d’indemnisation des accidents médicaux, des affections iatrogènes et des infections nosocomiales une somme au plus égale</w:t>
      </w:r>
      <w:r w:rsidR="00761E4F" w:rsidRPr="00A847B7">
        <w:rPr>
          <w:rFonts w:cstheme="minorHAnsi"/>
        </w:rPr>
        <w:t>, à compter du 1</w:t>
      </w:r>
      <w:r w:rsidR="00761E4F" w:rsidRPr="00A847B7">
        <w:rPr>
          <w:rFonts w:cstheme="minorHAnsi"/>
          <w:vertAlign w:val="superscript"/>
        </w:rPr>
        <w:t>er</w:t>
      </w:r>
      <w:r w:rsidR="00761E4F" w:rsidRPr="00A847B7">
        <w:rPr>
          <w:rFonts w:cstheme="minorHAnsi"/>
        </w:rPr>
        <w:t xml:space="preserve"> janvier 2021, </w:t>
      </w:r>
      <w:r w:rsidR="0085723C" w:rsidRPr="00A847B7">
        <w:rPr>
          <w:rFonts w:cstheme="minorHAnsi"/>
        </w:rPr>
        <w:t>à 50 % (au lieu de 30 %) de l’indemnité qu’il alloue à la victime ou à ses ayants-droits.</w:t>
      </w:r>
    </w:p>
    <w:p w14:paraId="45834630" w14:textId="77777777" w:rsidR="00ED6E9B" w:rsidRPr="00CC69D5" w:rsidRDefault="00ED6E9B" w:rsidP="00EE0687">
      <w:pPr>
        <w:pStyle w:val="Paragraphedeliste"/>
        <w:numPr>
          <w:ilvl w:val="0"/>
          <w:numId w:val="248"/>
        </w:numPr>
        <w:rPr>
          <w:b/>
          <w:bCs/>
          <w:i/>
          <w:iCs/>
          <w:u w:val="single"/>
        </w:rPr>
      </w:pPr>
      <w:r w:rsidRPr="00CC69D5">
        <w:rPr>
          <w:b/>
          <w:bCs/>
          <w:i/>
          <w:iCs/>
          <w:u w:val="single"/>
        </w:rPr>
        <w:t>Lutte contre le non-recours aux prestations sociale</w:t>
      </w:r>
      <w:r>
        <w:rPr>
          <w:b/>
          <w:bCs/>
          <w:i/>
          <w:iCs/>
          <w:u w:val="single"/>
        </w:rPr>
        <w:t>s</w:t>
      </w:r>
    </w:p>
    <w:p w14:paraId="58288111" w14:textId="3CDAD448" w:rsidR="00ED6E9B" w:rsidRDefault="00ED6E9B" w:rsidP="00ED6E9B">
      <w:r w:rsidRPr="009754E9">
        <w:t xml:space="preserve">Il est prévu que les organismes de sécurité sociale veillent à détecter les situations dans lesquelles des personnes sont susceptibles de bénéficier de droits ou de prestations et à les accompagner dans l'accès à leurs droits et au service des prestations auxquelles elles peuvent prétendre. </w:t>
      </w:r>
    </w:p>
    <w:p w14:paraId="24EC5D04" w14:textId="77777777" w:rsidR="00ED6E9B" w:rsidRPr="008E2D88" w:rsidRDefault="00ED6E9B" w:rsidP="00EE0687">
      <w:pPr>
        <w:pStyle w:val="Paragraphedeliste"/>
        <w:numPr>
          <w:ilvl w:val="0"/>
          <w:numId w:val="248"/>
        </w:numPr>
        <w:rPr>
          <w:b/>
          <w:bCs/>
          <w:i/>
          <w:iCs/>
          <w:u w:val="single"/>
        </w:rPr>
      </w:pPr>
      <w:r w:rsidRPr="008E2D88">
        <w:rPr>
          <w:b/>
          <w:bCs/>
          <w:i/>
          <w:iCs/>
          <w:u w:val="single"/>
        </w:rPr>
        <w:t>Validité de la carte vitale</w:t>
      </w:r>
    </w:p>
    <w:p w14:paraId="1AB93540" w14:textId="4BF58074" w:rsidR="00ED6E9B" w:rsidRDefault="00ED6E9B" w:rsidP="00ED6E9B">
      <w:r w:rsidRPr="00F43CD6">
        <w:t>Actuellement, la carte vitale est valable tout au long de la vie de son titulaire. Il est prévu qu'elle ne soit valable que pour la durée des droits de son titulaire.</w:t>
      </w:r>
    </w:p>
    <w:p w14:paraId="4E3CA713" w14:textId="77777777" w:rsidR="00ED6E9B" w:rsidRDefault="00ED6E9B" w:rsidP="00EE0687">
      <w:pPr>
        <w:pStyle w:val="Paragraphedeliste"/>
        <w:numPr>
          <w:ilvl w:val="0"/>
          <w:numId w:val="248"/>
        </w:numPr>
      </w:pPr>
      <w:r>
        <w:rPr>
          <w:b/>
          <w:bCs/>
          <w:i/>
          <w:iCs/>
          <w:u w:val="single"/>
        </w:rPr>
        <w:t>Informations communiquées à la CAF/MSA en cas de n</w:t>
      </w:r>
      <w:r w:rsidRPr="0097113E">
        <w:rPr>
          <w:b/>
          <w:bCs/>
          <w:i/>
          <w:iCs/>
          <w:u w:val="single"/>
        </w:rPr>
        <w:t>on-paiement de la pension alimentair</w:t>
      </w:r>
      <w:r>
        <w:rPr>
          <w:b/>
          <w:bCs/>
          <w:i/>
          <w:iCs/>
          <w:u w:val="single"/>
        </w:rPr>
        <w:t>e</w:t>
      </w:r>
    </w:p>
    <w:p w14:paraId="07E2610B" w14:textId="77777777" w:rsidR="00ED6E9B" w:rsidRDefault="00ED6E9B" w:rsidP="00ED6E9B">
      <w:r>
        <w:t>En cas de non-paiement de la pension alimentaire, les organismes de versement des prestations familiales (CAF, MSA) peuvent servir d’intermédiaire et collecter, auprès du parent débiteur, le montant de la pension qu’ils reverseront au parent créancier.</w:t>
      </w:r>
    </w:p>
    <w:p w14:paraId="12B18E02" w14:textId="77777777" w:rsidR="00ED6E9B" w:rsidRDefault="00ED6E9B" w:rsidP="00ED6E9B">
      <w:r>
        <w:t xml:space="preserve">Toutefois, pour protéger la vie privée des membres d’une famille, seuls les éléments strictement nécessaires au versement de la pension peuvent être communiqués à l'organisme débiteur des prestations familiales par les </w:t>
      </w:r>
      <w:r>
        <w:lastRenderedPageBreak/>
        <w:t>greffes, les avocats et les notaires, en plus des extraits exécutoires des décisions judiciaires ou des copies exécutoires des conventions et actes fixant les modalités et garanties de la pension alimentaire.</w:t>
      </w:r>
    </w:p>
    <w:p w14:paraId="40A1A03E" w14:textId="538AD0DE" w:rsidR="00ED6E9B" w:rsidRDefault="00ED6E9B" w:rsidP="00ED6E9B">
      <w:r>
        <w:t>Cette communication inclut désormais, le cas échéant, le fait que l’intermédiation est ordonnée sur décision du juge, même d'office, lorsque le parent débiteur a fait l'objet d'une plainte ou d'une condamnation pour des faits de menaces ou de violences volontaires sur le parent créancier ou l'enfant, ou lorsque de telles menaces ou violences sont mentionnées dans une décision de justice concernant le parent débiteur.</w:t>
      </w:r>
    </w:p>
    <w:p w14:paraId="138D493C" w14:textId="20C02A29" w:rsidR="00ED6E9B" w:rsidRPr="008A6631" w:rsidRDefault="00ED6E9B" w:rsidP="00EE0687">
      <w:pPr>
        <w:pStyle w:val="Paragraphedeliste"/>
        <w:numPr>
          <w:ilvl w:val="0"/>
          <w:numId w:val="248"/>
        </w:numPr>
        <w:rPr>
          <w:b/>
          <w:bCs/>
          <w:i/>
          <w:iCs/>
          <w:u w:val="single"/>
        </w:rPr>
      </w:pPr>
      <w:r w:rsidRPr="008A6631">
        <w:rPr>
          <w:b/>
          <w:bCs/>
          <w:i/>
          <w:iCs/>
          <w:u w:val="single"/>
        </w:rPr>
        <w:t>Vérifications de la CPAM avant prise en charge</w:t>
      </w:r>
      <w:r>
        <w:rPr>
          <w:b/>
          <w:bCs/>
          <w:i/>
          <w:iCs/>
          <w:u w:val="single"/>
        </w:rPr>
        <w:t xml:space="preserve"> des frais médicaux</w:t>
      </w:r>
    </w:p>
    <w:p w14:paraId="2E3F4D0D" w14:textId="7D172E2B" w:rsidR="00ED6E9B" w:rsidRDefault="00ED6E9B" w:rsidP="00ED6E9B">
      <w:pPr>
        <w:spacing w:beforeAutospacing="1" w:after="100" w:afterAutospacing="1"/>
        <w:rPr>
          <w:rFonts w:cstheme="minorHAnsi"/>
        </w:rPr>
      </w:pPr>
      <w:r w:rsidRPr="008A6631">
        <w:rPr>
          <w:rFonts w:cstheme="minorHAnsi"/>
        </w:rPr>
        <w:t>Parmi les vérifications opérées par la Caisse avant la prise en charge d'actes, elle devra notamment s'assurer que le professionnel de santé sollicitant un remboursement est inscrit au tableau de l’ordre dont il dépend, lorsque cette inscription est obligatoire.</w:t>
      </w:r>
    </w:p>
    <w:p w14:paraId="024E37F2" w14:textId="4AA430E7" w:rsidR="00AF07AE" w:rsidRPr="00001043" w:rsidRDefault="005219F2" w:rsidP="00EE0687">
      <w:pPr>
        <w:pStyle w:val="Paragraphedeliste"/>
        <w:numPr>
          <w:ilvl w:val="0"/>
          <w:numId w:val="248"/>
        </w:numPr>
        <w:spacing w:beforeAutospacing="1" w:after="100" w:afterAutospacing="1"/>
        <w:rPr>
          <w:rFonts w:cstheme="minorHAnsi"/>
        </w:rPr>
      </w:pPr>
      <w:r w:rsidRPr="00001043">
        <w:rPr>
          <w:rFonts w:cstheme="minorHAnsi"/>
          <w:b/>
          <w:bCs/>
          <w:i/>
          <w:iCs/>
          <w:u w:val="single"/>
        </w:rPr>
        <w:t>Sapeurs-pompiers professionnels et pension de retraite</w:t>
      </w:r>
    </w:p>
    <w:p w14:paraId="30ED9065" w14:textId="77777777" w:rsidR="005219F2" w:rsidRPr="005219F2" w:rsidRDefault="005219F2" w:rsidP="005219F2">
      <w:pPr>
        <w:spacing w:beforeAutospacing="1" w:after="100" w:afterAutospacing="1"/>
        <w:rPr>
          <w:rFonts w:cstheme="minorHAnsi"/>
        </w:rPr>
      </w:pPr>
      <w:r w:rsidRPr="005219F2">
        <w:rPr>
          <w:rFonts w:cstheme="minorHAnsi"/>
        </w:rPr>
        <w:t xml:space="preserve">Les sapeurs-pompiers professionnels, y compris ceux occupant ou ayant occupé les emplois de directeurs départementaux et directeurs départementaux adjoints des services d'incendie et de secours, bénéficient de la prise en compte de l'indemnité de feu pour le calcul de la pension de retraite. Cette indemnité n’est désormais plus prise en compte pour le calcul des retenues pour pension (cotisations dues au titre de cette pension). </w:t>
      </w:r>
    </w:p>
    <w:p w14:paraId="24C92EC9" w14:textId="5E84A367" w:rsidR="005219F2" w:rsidRPr="005219F2" w:rsidRDefault="005219F2" w:rsidP="005219F2">
      <w:pPr>
        <w:spacing w:beforeAutospacing="1" w:after="100" w:afterAutospacing="1"/>
        <w:rPr>
          <w:rFonts w:cstheme="minorHAnsi"/>
        </w:rPr>
      </w:pPr>
      <w:r w:rsidRPr="005219F2">
        <w:rPr>
          <w:rFonts w:cstheme="minorHAnsi"/>
        </w:rPr>
        <w:t xml:space="preserve">En effet, </w:t>
      </w:r>
      <w:r w:rsidR="00073FD2">
        <w:rPr>
          <w:rFonts w:cstheme="minorHAnsi"/>
        </w:rPr>
        <w:t>depuis le</w:t>
      </w:r>
      <w:r w:rsidRPr="005219F2">
        <w:rPr>
          <w:rFonts w:cstheme="minorHAnsi"/>
        </w:rPr>
        <w:t xml:space="preserve"> 1</w:t>
      </w:r>
      <w:r w:rsidRPr="0073310C">
        <w:rPr>
          <w:rFonts w:cstheme="minorHAnsi"/>
          <w:vertAlign w:val="superscript"/>
        </w:rPr>
        <w:t>er</w:t>
      </w:r>
      <w:r w:rsidRPr="005219F2">
        <w:rPr>
          <w:rFonts w:cstheme="minorHAnsi"/>
        </w:rPr>
        <w:t xml:space="preserve"> janvier 2021, l’indemnité de prime de feu </w:t>
      </w:r>
      <w:r w:rsidR="00073FD2">
        <w:rPr>
          <w:rFonts w:cstheme="minorHAnsi"/>
        </w:rPr>
        <w:t>est</w:t>
      </w:r>
      <w:r w:rsidR="00073FD2" w:rsidRPr="005219F2">
        <w:rPr>
          <w:rFonts w:cstheme="minorHAnsi"/>
        </w:rPr>
        <w:t xml:space="preserve"> </w:t>
      </w:r>
      <w:r w:rsidRPr="005219F2">
        <w:rPr>
          <w:rFonts w:cstheme="minorHAnsi"/>
        </w:rPr>
        <w:t xml:space="preserve">assujettie aux retenues et contributions supportées au titre des pensions par les intéressés et leurs collectivités employeurs dans des conditions fixées par </w:t>
      </w:r>
      <w:r w:rsidR="00E45A49">
        <w:rPr>
          <w:rFonts w:cstheme="minorHAnsi"/>
        </w:rPr>
        <w:t>D</w:t>
      </w:r>
      <w:r w:rsidR="00E45A49" w:rsidRPr="005219F2">
        <w:rPr>
          <w:rFonts w:cstheme="minorHAnsi"/>
        </w:rPr>
        <w:t>écret</w:t>
      </w:r>
      <w:r w:rsidRPr="005219F2">
        <w:rPr>
          <w:rFonts w:cstheme="minorHAnsi"/>
        </w:rPr>
        <w:t xml:space="preserve">. </w:t>
      </w:r>
    </w:p>
    <w:p w14:paraId="44E27D22" w14:textId="05C5ED0F" w:rsidR="00AF07AE" w:rsidRPr="00EB1F8F" w:rsidRDefault="005219F2" w:rsidP="00AF07AE">
      <w:pPr>
        <w:spacing w:beforeAutospacing="1" w:after="100" w:afterAutospacing="1"/>
        <w:rPr>
          <w:rFonts w:cstheme="minorHAnsi"/>
        </w:rPr>
      </w:pPr>
      <w:r w:rsidRPr="005219F2">
        <w:rPr>
          <w:rFonts w:cstheme="minorHAnsi"/>
        </w:rPr>
        <w:t>Cette retenue peut, si besoin, être majorée pour couvrir les dépenses supplémentaires engagées par la Caisse nationale de retraite des agents des collectivités locales.</w:t>
      </w:r>
    </w:p>
    <w:p w14:paraId="464165AD" w14:textId="00A2490E" w:rsidR="00AF07AE" w:rsidRPr="00001043" w:rsidRDefault="00F156B2" w:rsidP="00EE0687">
      <w:pPr>
        <w:pStyle w:val="Paragraphedeliste"/>
        <w:numPr>
          <w:ilvl w:val="0"/>
          <w:numId w:val="248"/>
        </w:numPr>
        <w:spacing w:beforeAutospacing="1" w:after="100" w:afterAutospacing="1"/>
        <w:rPr>
          <w:rFonts w:cstheme="minorHAnsi"/>
          <w:b/>
          <w:bCs/>
          <w:i/>
          <w:iCs/>
          <w:u w:val="single"/>
        </w:rPr>
      </w:pPr>
      <w:r w:rsidRPr="00001043">
        <w:rPr>
          <w:rFonts w:cstheme="minorHAnsi"/>
          <w:b/>
          <w:bCs/>
          <w:i/>
          <w:iCs/>
          <w:u w:val="single"/>
        </w:rPr>
        <w:t xml:space="preserve">Régime des militaires et recours contre tiers </w:t>
      </w:r>
    </w:p>
    <w:p w14:paraId="55E66E05" w14:textId="217D8D7C" w:rsidR="00AF07AE" w:rsidRPr="00593CF0" w:rsidRDefault="00AF07AE" w:rsidP="00AF07AE">
      <w:pPr>
        <w:spacing w:beforeAutospacing="1" w:after="100" w:afterAutospacing="1"/>
        <w:rPr>
          <w:rFonts w:cstheme="minorHAnsi"/>
        </w:rPr>
      </w:pPr>
      <w:r w:rsidRPr="00593CF0">
        <w:rPr>
          <w:rFonts w:cstheme="minorHAnsi"/>
        </w:rPr>
        <w:t xml:space="preserve">Les dispositions du </w:t>
      </w:r>
      <w:r>
        <w:rPr>
          <w:rFonts w:cstheme="minorHAnsi"/>
        </w:rPr>
        <w:t>Co</w:t>
      </w:r>
      <w:r w:rsidRPr="00593CF0">
        <w:rPr>
          <w:rFonts w:cstheme="minorHAnsi"/>
        </w:rPr>
        <w:t xml:space="preserve">de </w:t>
      </w:r>
      <w:r w:rsidR="00F156B2">
        <w:rPr>
          <w:rFonts w:cstheme="minorHAnsi"/>
        </w:rPr>
        <w:t>de la Sécurité sociale,</w:t>
      </w:r>
      <w:r w:rsidRPr="00593CF0">
        <w:rPr>
          <w:rFonts w:cstheme="minorHAnsi"/>
        </w:rPr>
        <w:t xml:space="preserve"> relatives </w:t>
      </w:r>
      <w:r>
        <w:rPr>
          <w:rFonts w:cstheme="minorHAnsi"/>
        </w:rPr>
        <w:t>à la possibilité pour les caisses de sécurité sociale de se retourner contre les tiers, y compris en matière d’</w:t>
      </w:r>
      <w:r w:rsidR="007870A1">
        <w:rPr>
          <w:rFonts w:cstheme="minorHAnsi"/>
        </w:rPr>
        <w:t>a</w:t>
      </w:r>
      <w:r>
        <w:rPr>
          <w:rFonts w:cstheme="minorHAnsi"/>
        </w:rPr>
        <w:t xml:space="preserve">ccident du travail </w:t>
      </w:r>
      <w:r w:rsidRPr="00593CF0">
        <w:rPr>
          <w:rFonts w:cstheme="minorHAnsi"/>
        </w:rPr>
        <w:t>et de maladies professionnelles</w:t>
      </w:r>
      <w:r>
        <w:rPr>
          <w:rFonts w:cstheme="minorHAnsi"/>
        </w:rPr>
        <w:t>, sont étendues</w:t>
      </w:r>
      <w:r w:rsidRPr="00593CF0">
        <w:rPr>
          <w:rFonts w:cstheme="minorHAnsi"/>
        </w:rPr>
        <w:t xml:space="preserve"> au régime des militaires. </w:t>
      </w:r>
    </w:p>
    <w:p w14:paraId="04179D4C" w14:textId="316BE28C" w:rsidR="00AF07AE" w:rsidRPr="00593CF0" w:rsidRDefault="00AF07AE" w:rsidP="00AF07AE">
      <w:pPr>
        <w:spacing w:beforeAutospacing="1" w:after="100" w:afterAutospacing="1"/>
        <w:rPr>
          <w:rFonts w:cstheme="minorHAnsi"/>
        </w:rPr>
      </w:pPr>
      <w:r w:rsidRPr="00593CF0">
        <w:rPr>
          <w:rFonts w:cstheme="minorHAnsi"/>
        </w:rPr>
        <w:t>Les personnes visées par ce régime sont les militaires de carrière et les militaires servant en vertu d'un contrat, les retraités militaires et</w:t>
      </w:r>
      <w:r w:rsidR="00876F83">
        <w:rPr>
          <w:rFonts w:cstheme="minorHAnsi"/>
        </w:rPr>
        <w:t>,</w:t>
      </w:r>
      <w:r w:rsidRPr="00593CF0">
        <w:rPr>
          <w:rFonts w:cstheme="minorHAnsi"/>
        </w:rPr>
        <w:t xml:space="preserve"> le cas échéant, les membres majeurs de la famille de ces assurés lorsqu’ils n’exercent pas d’activité professionnelle et qu’ils en font la demande, ainsi que les enfants mineurs de ces mêmes assurés. </w:t>
      </w:r>
    </w:p>
    <w:p w14:paraId="18FA1A2B" w14:textId="3FE75D10" w:rsidR="00AF07AE" w:rsidRDefault="00AF07AE" w:rsidP="00AF07AE">
      <w:pPr>
        <w:spacing w:beforeAutospacing="1" w:after="100" w:afterAutospacing="1"/>
        <w:rPr>
          <w:rFonts w:cstheme="minorHAnsi"/>
        </w:rPr>
      </w:pPr>
      <w:r w:rsidRPr="00593CF0">
        <w:rPr>
          <w:rFonts w:cstheme="minorHAnsi"/>
        </w:rPr>
        <w:t xml:space="preserve">De cette manière, si </w:t>
      </w:r>
      <w:r>
        <w:rPr>
          <w:rFonts w:cstheme="minorHAnsi"/>
        </w:rPr>
        <w:t>c</w:t>
      </w:r>
      <w:r w:rsidRPr="00593CF0">
        <w:rPr>
          <w:rFonts w:cstheme="minorHAnsi"/>
        </w:rPr>
        <w:t>es assurés sont victime</w:t>
      </w:r>
      <w:r>
        <w:rPr>
          <w:rFonts w:cstheme="minorHAnsi"/>
        </w:rPr>
        <w:t>s</w:t>
      </w:r>
      <w:r w:rsidRPr="00593CF0">
        <w:rPr>
          <w:rFonts w:cstheme="minorHAnsi"/>
        </w:rPr>
        <w:t xml:space="preserve"> d’un accident </w:t>
      </w:r>
      <w:r>
        <w:rPr>
          <w:rFonts w:cstheme="minorHAnsi"/>
        </w:rPr>
        <w:t>dont l’origine est imputable à un tiers</w:t>
      </w:r>
      <w:r w:rsidRPr="00593CF0">
        <w:rPr>
          <w:rFonts w:cstheme="minorHAnsi"/>
        </w:rPr>
        <w:t>, les organismes de sécurité sociale concernés ont dorénavant la possibilité de se retourner contre le tiers fautif afin de demander réparation des différents frais engagés.</w:t>
      </w:r>
    </w:p>
    <w:p w14:paraId="4DCAA7E1" w14:textId="3CDF6D97" w:rsidR="00AF07AE" w:rsidRPr="00001043" w:rsidRDefault="00AF07AE" w:rsidP="00EE0687">
      <w:pPr>
        <w:pStyle w:val="Paragraphedeliste"/>
        <w:numPr>
          <w:ilvl w:val="0"/>
          <w:numId w:val="248"/>
        </w:numPr>
        <w:spacing w:beforeAutospacing="1" w:after="100" w:afterAutospacing="1"/>
        <w:rPr>
          <w:rFonts w:cstheme="minorHAnsi"/>
          <w:b/>
          <w:bCs/>
          <w:i/>
          <w:iCs/>
          <w:u w:val="single"/>
        </w:rPr>
      </w:pPr>
      <w:r w:rsidRPr="00001043">
        <w:rPr>
          <w:rFonts w:cstheme="minorHAnsi"/>
          <w:b/>
          <w:bCs/>
          <w:i/>
          <w:iCs/>
          <w:u w:val="single"/>
        </w:rPr>
        <w:t xml:space="preserve">Contribution additionnelle de solidarité pour l’autonomie </w:t>
      </w:r>
      <w:r w:rsidR="00F156B2" w:rsidRPr="00001043">
        <w:rPr>
          <w:rFonts w:cstheme="minorHAnsi"/>
          <w:b/>
          <w:bCs/>
          <w:i/>
          <w:iCs/>
          <w:u w:val="single"/>
        </w:rPr>
        <w:t xml:space="preserve">(CASA) </w:t>
      </w:r>
    </w:p>
    <w:p w14:paraId="5C0166A8" w14:textId="68A98EC8" w:rsidR="00F156B2" w:rsidRPr="00F156B2" w:rsidRDefault="00F156B2" w:rsidP="00F156B2">
      <w:pPr>
        <w:spacing w:beforeAutospacing="1" w:after="100" w:afterAutospacing="1"/>
        <w:rPr>
          <w:rFonts w:cstheme="minorHAnsi"/>
        </w:rPr>
      </w:pPr>
      <w:r w:rsidRPr="00F156B2">
        <w:rPr>
          <w:rFonts w:cstheme="minorHAnsi"/>
        </w:rPr>
        <w:t>La contribution additionnelle de solidarité pour l’autonomie</w:t>
      </w:r>
      <w:r w:rsidR="000811C5">
        <w:rPr>
          <w:rFonts w:cstheme="minorHAnsi"/>
        </w:rPr>
        <w:t xml:space="preserve"> (CASA)</w:t>
      </w:r>
      <w:r w:rsidRPr="00F156B2">
        <w:rPr>
          <w:rFonts w:cstheme="minorHAnsi"/>
        </w:rPr>
        <w:t xml:space="preserve"> d’un taux de 0,3 % connaît un changement d’assiette à compter du 1er janvier 2021. </w:t>
      </w:r>
    </w:p>
    <w:p w14:paraId="7F8B1B2D" w14:textId="4BD78C76" w:rsidR="00F156B2" w:rsidRPr="00F156B2" w:rsidRDefault="00F156B2" w:rsidP="00F156B2">
      <w:pPr>
        <w:spacing w:beforeAutospacing="1" w:after="100" w:afterAutospacing="1"/>
        <w:rPr>
          <w:rFonts w:cstheme="minorHAnsi"/>
        </w:rPr>
      </w:pPr>
      <w:r w:rsidRPr="00F156B2">
        <w:rPr>
          <w:rFonts w:cstheme="minorHAnsi"/>
        </w:rPr>
        <w:t>Cette contribution se base toujours sur les avantages de retraite et d’invalidité</w:t>
      </w:r>
      <w:r w:rsidR="000811C5">
        <w:rPr>
          <w:rFonts w:cstheme="minorHAnsi"/>
        </w:rPr>
        <w:t>,</w:t>
      </w:r>
      <w:r w:rsidRPr="00F156B2">
        <w:rPr>
          <w:rFonts w:cstheme="minorHAnsi"/>
        </w:rPr>
        <w:t xml:space="preserve"> ainsi que sur les allocations de préretraite non assujettis à l’impôt sur les sociétés (IS) perçus par les personnes physiques, à la fois considérées </w:t>
      </w:r>
      <w:r w:rsidRPr="00F156B2">
        <w:rPr>
          <w:rFonts w:cstheme="minorHAnsi"/>
        </w:rPr>
        <w:lastRenderedPageBreak/>
        <w:t xml:space="preserve">comme domiciliées en France pour l'établissement de l'impôt sur le revenu (IR) et à la charge, à quelque titre que ce soit, d'un régime obligatoire français d'assurance maladie. </w:t>
      </w:r>
    </w:p>
    <w:p w14:paraId="5AB7B6D5" w14:textId="6644F24D" w:rsidR="00F156B2" w:rsidRPr="00F156B2" w:rsidRDefault="00F156B2" w:rsidP="00F156B2">
      <w:pPr>
        <w:spacing w:beforeAutospacing="1" w:after="100" w:afterAutospacing="1"/>
        <w:rPr>
          <w:rFonts w:cstheme="minorHAnsi"/>
        </w:rPr>
      </w:pPr>
      <w:r w:rsidRPr="00F156B2">
        <w:rPr>
          <w:rFonts w:cstheme="minorHAnsi"/>
        </w:rPr>
        <w:t xml:space="preserve">Pour rappel, la CASA n’est pas due lorsque le revenu fiscal de référence de la personne, au titre de l’année n-2 et n-3, est inférieur au seuil à partir duquel la Contribution sociale généralisée (CSG) au titre des revenu de remplacement cesse d’être calculée au taux réduit de 3.80%. </w:t>
      </w:r>
    </w:p>
    <w:p w14:paraId="54EDEAA3" w14:textId="273463BC" w:rsidR="00F156B2" w:rsidRPr="00F156B2" w:rsidRDefault="00F156B2" w:rsidP="00F156B2">
      <w:pPr>
        <w:spacing w:beforeAutospacing="1" w:after="100" w:afterAutospacing="1"/>
        <w:rPr>
          <w:rFonts w:cstheme="minorHAnsi"/>
        </w:rPr>
      </w:pPr>
      <w:r w:rsidRPr="00F156B2">
        <w:rPr>
          <w:rFonts w:cstheme="minorHAnsi"/>
        </w:rPr>
        <w:t xml:space="preserve">Ainsi, en pratique, un bénéficiaire d’avantage de retraite, d’invalidité ou de pré-retraite est exonéré de CASA lorsque, en considérant ces revenus de référence, il est exonéré de CSG/CRDS ou bénéficie du taux réduit de CSG sur ces revenus. </w:t>
      </w:r>
    </w:p>
    <w:p w14:paraId="1CC720A1" w14:textId="578ADC6D" w:rsidR="00AF07AE" w:rsidRDefault="00F156B2" w:rsidP="00AF07AE">
      <w:pPr>
        <w:spacing w:beforeAutospacing="1" w:after="100" w:afterAutospacing="1"/>
        <w:rPr>
          <w:rFonts w:cstheme="minorHAnsi"/>
        </w:rPr>
      </w:pPr>
      <w:r w:rsidRPr="00F156B2">
        <w:rPr>
          <w:rFonts w:cstheme="minorHAnsi"/>
        </w:rPr>
        <w:t>Désormais, les bénéficiaires des différentes prestations servies par un plan d’épargne retraite (dans le cas de versements volontaires du titulaire), pour lesquels ces derniers n’ont pas renoncé à sa déductibilité fiscale, ne pourront plus bénéficier de cette exonération</w:t>
      </w:r>
      <w:r>
        <w:rPr>
          <w:rFonts w:cstheme="minorHAnsi"/>
        </w:rPr>
        <w:t>.</w:t>
      </w:r>
    </w:p>
    <w:p w14:paraId="398EE495" w14:textId="77777777" w:rsidR="00AF07AE" w:rsidRPr="00001043" w:rsidRDefault="00AF07AE" w:rsidP="00EE0687">
      <w:pPr>
        <w:pStyle w:val="Paragraphedeliste"/>
        <w:numPr>
          <w:ilvl w:val="0"/>
          <w:numId w:val="248"/>
        </w:numPr>
        <w:spacing w:beforeAutospacing="1" w:after="100" w:afterAutospacing="1"/>
        <w:rPr>
          <w:rFonts w:cstheme="minorHAnsi"/>
          <w:b/>
          <w:bCs/>
          <w:i/>
          <w:iCs/>
          <w:u w:val="single"/>
        </w:rPr>
      </w:pPr>
      <w:r w:rsidRPr="00001043">
        <w:rPr>
          <w:rFonts w:cstheme="minorHAnsi"/>
          <w:b/>
          <w:bCs/>
          <w:i/>
          <w:iCs/>
          <w:u w:val="single"/>
        </w:rPr>
        <w:t xml:space="preserve">Activité partielle et retraite </w:t>
      </w:r>
    </w:p>
    <w:p w14:paraId="5AD54B41" w14:textId="1E362EFE" w:rsidR="00ED6E9B" w:rsidRPr="00A847B7" w:rsidRDefault="00AF07AE" w:rsidP="0007781F">
      <w:pPr>
        <w:spacing w:beforeAutospacing="1" w:after="100" w:afterAutospacing="1"/>
        <w:rPr>
          <w:rFonts w:cstheme="minorHAnsi"/>
        </w:rPr>
      </w:pPr>
      <w:r w:rsidRPr="008A1F08">
        <w:rPr>
          <w:rFonts w:cstheme="minorHAnsi"/>
        </w:rPr>
        <w:t>Les indemnités touchées par les salariés placés en situation d’activité partielle sont prises en considération pour l’ouverture des droits à pension de retraite. Cela concerne les périodes de perception de cette indemnité à compter du 12 mars 2020</w:t>
      </w:r>
      <w:r w:rsidR="005013A4">
        <w:rPr>
          <w:rFonts w:cstheme="minorHAnsi"/>
        </w:rPr>
        <w:t>.</w:t>
      </w:r>
    </w:p>
    <w:p w14:paraId="36FCE37F" w14:textId="77777777" w:rsidR="00941D62" w:rsidRPr="00A847B7" w:rsidRDefault="00941D62" w:rsidP="00941D62">
      <w:pPr>
        <w:rPr>
          <w:rFonts w:cstheme="minorHAnsi"/>
        </w:rPr>
      </w:pPr>
      <w:r w:rsidRPr="00A847B7">
        <w:rPr>
          <w:rFonts w:cstheme="minorHAnsi"/>
        </w:rPr>
        <w:br w:type="page"/>
      </w:r>
    </w:p>
    <w:p w14:paraId="629504DA" w14:textId="77777777" w:rsidR="00941D62" w:rsidRPr="00A847B7" w:rsidRDefault="00941D62">
      <w:pPr>
        <w:rPr>
          <w:rFonts w:cstheme="minorHAnsi"/>
        </w:rPr>
      </w:pPr>
    </w:p>
    <w:p w14:paraId="2C10D493" w14:textId="77777777" w:rsidR="00A8095A" w:rsidRPr="00A847B7" w:rsidRDefault="00A8095A" w:rsidP="00A8095A"/>
    <w:p w14:paraId="1CB7E5B2" w14:textId="77777777" w:rsidR="00A8095A" w:rsidRPr="00A847B7" w:rsidRDefault="00A8095A" w:rsidP="00A8095A"/>
    <w:p w14:paraId="55F38C6B" w14:textId="77777777" w:rsidR="00A8095A" w:rsidRPr="00A847B7" w:rsidRDefault="00A8095A" w:rsidP="00A8095A"/>
    <w:p w14:paraId="7B5ECBE5" w14:textId="77777777" w:rsidR="00A8095A" w:rsidRPr="00A847B7" w:rsidRDefault="00A8095A" w:rsidP="00A8095A"/>
    <w:p w14:paraId="7EC10706" w14:textId="77777777" w:rsidR="00A8095A" w:rsidRPr="00A847B7" w:rsidRDefault="00A8095A" w:rsidP="00A8095A"/>
    <w:p w14:paraId="4E3774AE" w14:textId="77777777" w:rsidR="00A8095A" w:rsidRPr="00A847B7" w:rsidRDefault="00A8095A" w:rsidP="00A8095A"/>
    <w:p w14:paraId="408408A9" w14:textId="77777777" w:rsidR="00A8095A" w:rsidRPr="00A847B7" w:rsidRDefault="00A8095A" w:rsidP="00A8095A"/>
    <w:p w14:paraId="244CFFE2" w14:textId="77777777" w:rsidR="00A8095A" w:rsidRPr="00A847B7" w:rsidRDefault="00A8095A" w:rsidP="00A8095A"/>
    <w:p w14:paraId="475FA18E" w14:textId="79F1468C" w:rsidR="009D3D7A" w:rsidRPr="00A847B7" w:rsidRDefault="009D3D7A" w:rsidP="009D3D7A">
      <w:pPr>
        <w:pStyle w:val="Titre1"/>
        <w:rPr>
          <w:caps/>
        </w:rPr>
      </w:pPr>
      <w:bookmarkStart w:id="58" w:name="_Toc30149255"/>
      <w:bookmarkStart w:id="59" w:name="_Toc60780990"/>
      <w:r w:rsidRPr="00A847B7">
        <w:rPr>
          <w:caps/>
        </w:rPr>
        <w:t xml:space="preserve">Dispositions applicables aux </w:t>
      </w:r>
      <w:r w:rsidR="003418D0">
        <w:rPr>
          <w:caps/>
        </w:rPr>
        <w:t xml:space="preserve">dirigeants et aux </w:t>
      </w:r>
      <w:r w:rsidRPr="00A847B7">
        <w:rPr>
          <w:caps/>
        </w:rPr>
        <w:t>travailleurs indépendants</w:t>
      </w:r>
      <w:bookmarkEnd w:id="58"/>
      <w:bookmarkEnd w:id="59"/>
    </w:p>
    <w:p w14:paraId="3DA0121B" w14:textId="77777777" w:rsidR="00A8095A" w:rsidRPr="00A847B7" w:rsidRDefault="00A8095A" w:rsidP="00A8095A"/>
    <w:p w14:paraId="40E37BC9" w14:textId="77777777" w:rsidR="00A8095A" w:rsidRPr="00A847B7" w:rsidRDefault="00A8095A" w:rsidP="00A8095A">
      <w:r w:rsidRPr="00A847B7">
        <w:br w:type="page"/>
      </w:r>
    </w:p>
    <w:p w14:paraId="7210B006" w14:textId="77777777" w:rsidR="00A8095A" w:rsidRPr="00A847B7" w:rsidRDefault="00A8095A" w:rsidP="00A8095A">
      <w:pPr>
        <w:jc w:val="center"/>
        <w:rPr>
          <w:b/>
        </w:rPr>
      </w:pPr>
    </w:p>
    <w:p w14:paraId="328B26C2" w14:textId="1B0475EB" w:rsidR="003872CA" w:rsidRPr="00A847B7" w:rsidRDefault="003872CA" w:rsidP="003872CA">
      <w:pPr>
        <w:pStyle w:val="Titre2"/>
      </w:pPr>
      <w:bookmarkStart w:id="60" w:name="_Toc60780991"/>
      <w:r w:rsidRPr="00A847B7">
        <w:t>Mesures sociales concernant les travailleurs indépendants</w:t>
      </w:r>
      <w:bookmarkEnd w:id="60"/>
    </w:p>
    <w:p w14:paraId="1F5AC1D0" w14:textId="77777777" w:rsidR="003872CA" w:rsidRPr="00A847B7" w:rsidRDefault="003872CA" w:rsidP="003872CA"/>
    <w:p w14:paraId="7E7BB9C0" w14:textId="355C3928" w:rsidR="00742701" w:rsidRPr="00F048D5" w:rsidRDefault="00742701" w:rsidP="00742701">
      <w:pPr>
        <w:pStyle w:val="Titre3"/>
      </w:pPr>
      <w:bookmarkStart w:id="61" w:name="_Toc60780992"/>
      <w:bookmarkStart w:id="62" w:name="_Toc515285975"/>
      <w:r w:rsidRPr="00F048D5">
        <w:t xml:space="preserve">Slide </w:t>
      </w:r>
      <w:r w:rsidR="00C2587D">
        <w:t>39</w:t>
      </w:r>
      <w:r w:rsidRPr="00F048D5">
        <w:t xml:space="preserve"> : </w:t>
      </w:r>
      <w:r>
        <w:t>Congé de paternité du travailleur indépendant</w:t>
      </w:r>
      <w:bookmarkEnd w:id="61"/>
    </w:p>
    <w:p w14:paraId="6B91FEEC" w14:textId="1FE2E71C" w:rsidR="00742701" w:rsidRPr="00F048D5" w:rsidRDefault="00742701" w:rsidP="00742701">
      <w:pPr>
        <w:rPr>
          <w:u w:val="single"/>
        </w:rPr>
      </w:pPr>
      <w:r w:rsidRPr="00F048D5">
        <w:rPr>
          <w:u w:val="single"/>
        </w:rPr>
        <w:t>Source :</w:t>
      </w:r>
      <w:r w:rsidRPr="00F048D5">
        <w:t xml:space="preserve"> Loi de Financement de la sécurité sociale pour 2021</w:t>
      </w:r>
      <w:r>
        <w:t>, art</w:t>
      </w:r>
      <w:r w:rsidR="00C65AAC">
        <w:t>icle</w:t>
      </w:r>
      <w:r>
        <w:t xml:space="preserve"> 73</w:t>
      </w:r>
    </w:p>
    <w:p w14:paraId="42279E66" w14:textId="5B2F887F" w:rsidR="00DB0EB2" w:rsidRDefault="00DB0EB2" w:rsidP="00742701">
      <w:r>
        <w:t xml:space="preserve">Pour rappel, </w:t>
      </w:r>
      <w:r w:rsidR="00267B16">
        <w:t xml:space="preserve">la Loi de Financement de Sécurité Sociale pour 2021 </w:t>
      </w:r>
      <w:r w:rsidR="004F6608">
        <w:t xml:space="preserve">allonge </w:t>
      </w:r>
      <w:r w:rsidR="008E2130">
        <w:t>le congé de paternité et d’accueil de l’enfant</w:t>
      </w:r>
      <w:r w:rsidR="000500BF">
        <w:t xml:space="preserve"> qui </w:t>
      </w:r>
      <w:r w:rsidR="000132DE">
        <w:t>passera</w:t>
      </w:r>
      <w:r w:rsidR="000500BF">
        <w:t xml:space="preserve"> de 11 jours actuellement à </w:t>
      </w:r>
      <w:r w:rsidR="003B26FC">
        <w:t xml:space="preserve">25 jours </w:t>
      </w:r>
      <w:r w:rsidR="000132DE">
        <w:t xml:space="preserve">calendaires pour une naissance simple, et de 18 jours à 32 jours calendaires </w:t>
      </w:r>
      <w:r w:rsidR="005B3E01">
        <w:t>en cas de</w:t>
      </w:r>
      <w:r w:rsidR="000132DE">
        <w:t xml:space="preserve"> naissance</w:t>
      </w:r>
      <w:r w:rsidR="00AD172F">
        <w:t>s</w:t>
      </w:r>
      <w:r w:rsidR="000132DE">
        <w:t xml:space="preserve"> multiple</w:t>
      </w:r>
      <w:r w:rsidR="00AD172F">
        <w:t>s</w:t>
      </w:r>
      <w:r w:rsidR="000132DE">
        <w:t>. Cette mesure, applicable aux salariés et développé</w:t>
      </w:r>
      <w:r w:rsidR="00C13DB8">
        <w:t>e</w:t>
      </w:r>
      <w:r w:rsidR="000132DE">
        <w:t xml:space="preserve"> sur le présent document dans la partie dédiée aux entreprises, a vocation à s’appliquer aux travailleurs indépendants</w:t>
      </w:r>
      <w:r w:rsidR="00040828">
        <w:t xml:space="preserve"> (des précisions sont encore attendues sur ce point)</w:t>
      </w:r>
      <w:r w:rsidR="000132DE">
        <w:t>.</w:t>
      </w:r>
    </w:p>
    <w:p w14:paraId="5AED8D75" w14:textId="63BB1A60" w:rsidR="00742701" w:rsidRDefault="00313B76" w:rsidP="00742701">
      <w:r>
        <w:t>A</w:t>
      </w:r>
      <w:r w:rsidR="00742701">
        <w:t xml:space="preserve"> </w:t>
      </w:r>
      <w:r w:rsidR="00742701" w:rsidRPr="0076700C">
        <w:t>l'occasion de la naissance d'un enfant, le père et, le cas échéant, le conjoint de la mère</w:t>
      </w:r>
      <w:r w:rsidR="00742701">
        <w:t>, son concubin ou son partenaire de PA</w:t>
      </w:r>
      <w:r w:rsidR="000B31AD">
        <w:t>C</w:t>
      </w:r>
      <w:r w:rsidR="00742701">
        <w:t>S</w:t>
      </w:r>
      <w:r w:rsidR="00742701" w:rsidRPr="0076700C">
        <w:t xml:space="preserve">, </w:t>
      </w:r>
      <w:r w:rsidR="00742701">
        <w:t xml:space="preserve">qui exercent une activité indépendante bénéficient </w:t>
      </w:r>
      <w:r>
        <w:t xml:space="preserve">actuellement </w:t>
      </w:r>
      <w:r w:rsidR="00742701">
        <w:t>d’une indemnité journalière forfaitaire, à leur demande et</w:t>
      </w:r>
      <w:r w:rsidR="00742701" w:rsidRPr="0076700C">
        <w:t xml:space="preserve"> </w:t>
      </w:r>
      <w:r w:rsidR="00742701">
        <w:t xml:space="preserve">à condition </w:t>
      </w:r>
      <w:r w:rsidR="00742701" w:rsidRPr="0076700C">
        <w:t>de cesser toute activité professionnelle.</w:t>
      </w:r>
    </w:p>
    <w:p w14:paraId="6658A6BB" w14:textId="77777777" w:rsidR="00742701" w:rsidRDefault="00742701" w:rsidP="00742701">
      <w:r>
        <w:t>Pour les naissances intervenant à compter du 1</w:t>
      </w:r>
      <w:r w:rsidRPr="001B1414">
        <w:rPr>
          <w:vertAlign w:val="superscript"/>
        </w:rPr>
        <w:t>er</w:t>
      </w:r>
      <w:r>
        <w:t xml:space="preserve"> juillet 2021, ou celles qui, intervenant plus tôt, étaient prévues à compter de cette date, ces travailleurs indépendants pourront bénéficier de ces indemnités journalières forfaitaires à la double condition de :</w:t>
      </w:r>
    </w:p>
    <w:p w14:paraId="72013CFB" w14:textId="5DA6B6C9" w:rsidR="00742701" w:rsidRDefault="00742701" w:rsidP="00EE0687">
      <w:pPr>
        <w:pStyle w:val="Paragraphedeliste"/>
        <w:numPr>
          <w:ilvl w:val="0"/>
          <w:numId w:val="245"/>
        </w:numPr>
      </w:pPr>
      <w:r>
        <w:t xml:space="preserve">cesser leur activité professionnelle pendant une durée minimale, qui sera fixée par </w:t>
      </w:r>
      <w:r w:rsidR="00FE57D8">
        <w:t>D</w:t>
      </w:r>
      <w:r>
        <w:t>écret, à compter de la naissance ;</w:t>
      </w:r>
    </w:p>
    <w:p w14:paraId="348D5C59" w14:textId="77777777" w:rsidR="00742701" w:rsidRPr="0076700C" w:rsidRDefault="00742701" w:rsidP="00EE0687">
      <w:pPr>
        <w:pStyle w:val="Paragraphedeliste"/>
        <w:numPr>
          <w:ilvl w:val="0"/>
          <w:numId w:val="245"/>
        </w:numPr>
      </w:pPr>
      <w:r>
        <w:t>ne pas reprendre cette activité pendant la durée d’indemnisation.</w:t>
      </w:r>
    </w:p>
    <w:p w14:paraId="2E1CA337" w14:textId="77777777" w:rsidR="00742701" w:rsidRPr="00F048D5" w:rsidRDefault="00742701" w:rsidP="00742701"/>
    <w:p w14:paraId="1BAE4981" w14:textId="6E04C534" w:rsidR="00742701" w:rsidRPr="00F048D5" w:rsidRDefault="00742701" w:rsidP="00742701">
      <w:pPr>
        <w:pStyle w:val="Titre3"/>
      </w:pPr>
      <w:bookmarkStart w:id="63" w:name="_Toc60780993"/>
      <w:r w:rsidRPr="00F048D5">
        <w:t xml:space="preserve">Slide </w:t>
      </w:r>
      <w:r w:rsidR="00E371B6">
        <w:t>40</w:t>
      </w:r>
      <w:r w:rsidRPr="00F048D5">
        <w:t xml:space="preserve"> : </w:t>
      </w:r>
      <w:bookmarkEnd w:id="62"/>
      <w:r w:rsidRPr="00C23151">
        <w:rPr>
          <w:rFonts w:cstheme="minorHAnsi"/>
        </w:rPr>
        <w:t>Indemnisation maladie des professionnels libéraux</w:t>
      </w:r>
      <w:bookmarkEnd w:id="63"/>
    </w:p>
    <w:p w14:paraId="08468926" w14:textId="44048341" w:rsidR="00742701" w:rsidRPr="00F048D5" w:rsidRDefault="00742701" w:rsidP="00742701">
      <w:pPr>
        <w:rPr>
          <w:u w:val="single"/>
        </w:rPr>
      </w:pPr>
      <w:r w:rsidRPr="00F048D5">
        <w:rPr>
          <w:u w:val="single"/>
        </w:rPr>
        <w:t>Source :</w:t>
      </w:r>
      <w:r w:rsidRPr="00F048D5">
        <w:t xml:space="preserve"> Loi de Financement de la sécurité sociale pour 2021</w:t>
      </w:r>
      <w:r>
        <w:t>, art</w:t>
      </w:r>
      <w:r w:rsidR="00C65AAC">
        <w:t>icle</w:t>
      </w:r>
      <w:r>
        <w:t xml:space="preserve"> 69</w:t>
      </w:r>
    </w:p>
    <w:p w14:paraId="15081B86" w14:textId="46E3EC75" w:rsidR="00742701" w:rsidRDefault="00742701" w:rsidP="00742701">
      <w:pPr>
        <w:spacing w:beforeAutospacing="1" w:after="100" w:afterAutospacing="1"/>
        <w:rPr>
          <w:rFonts w:cstheme="minorHAnsi"/>
        </w:rPr>
      </w:pPr>
      <w:r w:rsidRPr="00C23151">
        <w:rPr>
          <w:rFonts w:cstheme="minorHAnsi"/>
        </w:rPr>
        <w:t xml:space="preserve">Les professionnels libéraux, relevant de la </w:t>
      </w:r>
      <w:proofErr w:type="spellStart"/>
      <w:r w:rsidRPr="00C23151">
        <w:rPr>
          <w:rFonts w:cstheme="minorHAnsi"/>
        </w:rPr>
        <w:t>Cnav</w:t>
      </w:r>
      <w:proofErr w:type="spellEnd"/>
      <w:r w:rsidRPr="00C23151">
        <w:rPr>
          <w:rFonts w:cstheme="minorHAnsi"/>
        </w:rPr>
        <w:t>-PL</w:t>
      </w:r>
      <w:r w:rsidR="00E54B6C">
        <w:rPr>
          <w:rFonts w:cstheme="minorHAnsi"/>
        </w:rPr>
        <w:t>,</w:t>
      </w:r>
      <w:r w:rsidRPr="00C23151">
        <w:rPr>
          <w:rFonts w:cstheme="minorHAnsi"/>
        </w:rPr>
        <w:t xml:space="preserve"> ne bénéficient </w:t>
      </w:r>
      <w:r>
        <w:rPr>
          <w:rFonts w:cstheme="minorHAnsi"/>
        </w:rPr>
        <w:t xml:space="preserve">pas </w:t>
      </w:r>
      <w:r w:rsidRPr="00C23151">
        <w:rPr>
          <w:rFonts w:cstheme="minorHAnsi"/>
        </w:rPr>
        <w:t xml:space="preserve">d'indemnités journalières en cas de maladie </w:t>
      </w:r>
      <w:r>
        <w:rPr>
          <w:rFonts w:cstheme="minorHAnsi"/>
        </w:rPr>
        <w:t xml:space="preserve">avant le </w:t>
      </w:r>
      <w:r w:rsidRPr="00C23151">
        <w:rPr>
          <w:rFonts w:cstheme="minorHAnsi"/>
        </w:rPr>
        <w:t>91</w:t>
      </w:r>
      <w:r w:rsidRPr="00EE70B2">
        <w:rPr>
          <w:rFonts w:cstheme="minorHAnsi"/>
          <w:vertAlign w:val="superscript"/>
        </w:rPr>
        <w:t>e</w:t>
      </w:r>
      <w:r w:rsidRPr="00C23151">
        <w:rPr>
          <w:rFonts w:cstheme="minorHAnsi"/>
        </w:rPr>
        <w:t xml:space="preserve"> jour d'arrêt, sauf à souscrire une assurance privée.</w:t>
      </w:r>
    </w:p>
    <w:p w14:paraId="7314974D" w14:textId="77777777" w:rsidR="00742701" w:rsidRDefault="00742701" w:rsidP="00742701">
      <w:pPr>
        <w:spacing w:beforeAutospacing="1" w:after="100" w:afterAutospacing="1"/>
        <w:rPr>
          <w:rFonts w:cstheme="minorHAnsi"/>
        </w:rPr>
      </w:pPr>
      <w:r>
        <w:rPr>
          <w:rFonts w:cstheme="minorHAnsi"/>
        </w:rPr>
        <w:t>Toutefois, ils ont pu bénéficier, à titre exceptionnel, p</w:t>
      </w:r>
      <w:r w:rsidRPr="00C23151">
        <w:rPr>
          <w:rFonts w:cstheme="minorHAnsi"/>
        </w:rPr>
        <w:t>endant l'épidémie de covid-19, d'indemnités journalières dérogatoires.</w:t>
      </w:r>
    </w:p>
    <w:p w14:paraId="77FD6AF1" w14:textId="77777777" w:rsidR="00742701" w:rsidRDefault="00742701" w:rsidP="00742701">
      <w:pPr>
        <w:spacing w:beforeAutospacing="1" w:after="100" w:afterAutospacing="1"/>
        <w:rPr>
          <w:rFonts w:cstheme="minorHAnsi"/>
        </w:rPr>
      </w:pPr>
      <w:r>
        <w:rPr>
          <w:rFonts w:cstheme="minorHAnsi"/>
        </w:rPr>
        <w:t>Parce que cette situation a révélé la nécessité de mettre en place des indemnités journalières pour ces professionnels libéraux, il est prévu de mettre en place un tel dispositif, en contrepartie toutefois d’une cotisation dont ils seraient redevables.</w:t>
      </w:r>
    </w:p>
    <w:p w14:paraId="4FFC9710" w14:textId="77777777" w:rsidR="00742701" w:rsidRDefault="00742701" w:rsidP="00742701">
      <w:pPr>
        <w:spacing w:beforeAutospacing="1" w:after="100" w:afterAutospacing="1"/>
        <w:rPr>
          <w:rFonts w:cstheme="minorHAnsi"/>
        </w:rPr>
      </w:pPr>
      <w:r>
        <w:rPr>
          <w:rFonts w:cstheme="minorHAnsi"/>
        </w:rPr>
        <w:t xml:space="preserve">Cette cotisation supplémentaire sera calculée sur les revenus d’activité dans la limite d’un plafond (restant à déterminer par Décret). </w:t>
      </w:r>
    </w:p>
    <w:p w14:paraId="283C0FDD" w14:textId="77777777" w:rsidR="00742701" w:rsidRDefault="00742701" w:rsidP="00742701">
      <w:pPr>
        <w:spacing w:beforeAutospacing="1" w:after="100" w:afterAutospacing="1"/>
        <w:rPr>
          <w:rFonts w:cstheme="minorHAnsi"/>
        </w:rPr>
      </w:pPr>
      <w:r>
        <w:rPr>
          <w:rFonts w:cstheme="minorHAnsi"/>
        </w:rPr>
        <w:lastRenderedPageBreak/>
        <w:t>Un Décret déterminera :</w:t>
      </w:r>
    </w:p>
    <w:p w14:paraId="23395CF7" w14:textId="77777777" w:rsidR="00742701" w:rsidRDefault="00742701" w:rsidP="00EE0687">
      <w:pPr>
        <w:pStyle w:val="Paragraphedeliste"/>
        <w:numPr>
          <w:ilvl w:val="0"/>
          <w:numId w:val="245"/>
        </w:numPr>
        <w:spacing w:beforeAutospacing="1" w:after="100" w:afterAutospacing="1"/>
        <w:rPr>
          <w:rFonts w:cstheme="minorHAnsi"/>
        </w:rPr>
      </w:pPr>
      <w:r>
        <w:rPr>
          <w:rFonts w:cstheme="minorHAnsi"/>
        </w:rPr>
        <w:t>le montant de la cotisation minimale due par ces professionnels libéraux (à l’exception de ceux qui ont opté pour le régime micro) ;</w:t>
      </w:r>
    </w:p>
    <w:p w14:paraId="6AB034BD" w14:textId="77777777" w:rsidR="00742701" w:rsidRPr="002E2D21" w:rsidRDefault="00742701" w:rsidP="00EE0687">
      <w:pPr>
        <w:pStyle w:val="Paragraphedeliste"/>
        <w:numPr>
          <w:ilvl w:val="0"/>
          <w:numId w:val="245"/>
        </w:numPr>
        <w:spacing w:beforeAutospacing="1" w:after="100" w:afterAutospacing="1"/>
        <w:rPr>
          <w:rFonts w:cstheme="minorHAnsi"/>
        </w:rPr>
      </w:pPr>
      <w:r>
        <w:t>le taux et le plafond de cette cotisation supplémentaire.</w:t>
      </w:r>
    </w:p>
    <w:p w14:paraId="04E41BAB" w14:textId="77777777" w:rsidR="00742701" w:rsidRDefault="00742701" w:rsidP="00742701">
      <w:pPr>
        <w:spacing w:beforeAutospacing="1" w:after="100" w:afterAutospacing="1"/>
      </w:pPr>
      <w:r>
        <w:rPr>
          <w:rFonts w:cstheme="minorHAnsi"/>
        </w:rPr>
        <w:t xml:space="preserve">Le service des indemnités journalières pour les professionnels libéraux sera adapté par Décret (délai de carence, </w:t>
      </w:r>
      <w:r>
        <w:t>limite des revenus servant de base pour le calcul de l’indemnité journalière, durée maximale de versement de l’indemnité journalière pour une même incapacité de travail).</w:t>
      </w:r>
    </w:p>
    <w:p w14:paraId="3E061CE7" w14:textId="77777777" w:rsidR="00742701" w:rsidRPr="002E2D21" w:rsidRDefault="00742701" w:rsidP="00742701">
      <w:pPr>
        <w:spacing w:beforeAutospacing="1" w:after="100" w:afterAutospacing="1"/>
        <w:rPr>
          <w:rFonts w:cstheme="minorHAnsi"/>
        </w:rPr>
      </w:pPr>
      <w:r>
        <w:t xml:space="preserve">Ce dispositif nécessite de maintenir un équilibre entre la cotisation acquittée et la prestation servie. Si cet équilibre venait à être rompu, la </w:t>
      </w:r>
      <w:proofErr w:type="spellStart"/>
      <w:r>
        <w:t>Cnav</w:t>
      </w:r>
      <w:proofErr w:type="spellEnd"/>
      <w:r>
        <w:t>-PL pourra proposer soit une augmentation de la cotisation, soit une diminution des prestations.</w:t>
      </w:r>
    </w:p>
    <w:p w14:paraId="0B8FA316" w14:textId="77777777" w:rsidR="00742701" w:rsidRPr="00F048D5" w:rsidRDefault="00742701" w:rsidP="00742701"/>
    <w:p w14:paraId="20703C51" w14:textId="4A7B6D86" w:rsidR="00742701" w:rsidRPr="00F048D5" w:rsidRDefault="00742701" w:rsidP="00742701">
      <w:pPr>
        <w:pStyle w:val="Titre3"/>
      </w:pPr>
      <w:bookmarkStart w:id="64" w:name="_Toc515285976"/>
      <w:bookmarkStart w:id="65" w:name="_Toc60780994"/>
      <w:r w:rsidRPr="00F048D5">
        <w:t xml:space="preserve">Slide </w:t>
      </w:r>
      <w:r w:rsidR="00232CCE">
        <w:t>41</w:t>
      </w:r>
      <w:r w:rsidRPr="00F048D5">
        <w:t xml:space="preserve"> : </w:t>
      </w:r>
      <w:bookmarkEnd w:id="64"/>
      <w:r>
        <w:t>Affiliation du travailleur indépendant « proche aidant »</w:t>
      </w:r>
      <w:bookmarkEnd w:id="65"/>
    </w:p>
    <w:p w14:paraId="0CC6A12E" w14:textId="7C2C26E2" w:rsidR="00742701" w:rsidRPr="00F048D5" w:rsidRDefault="00742701" w:rsidP="00742701">
      <w:pPr>
        <w:rPr>
          <w:u w:val="single"/>
        </w:rPr>
      </w:pPr>
      <w:r w:rsidRPr="00F048D5">
        <w:rPr>
          <w:u w:val="single"/>
        </w:rPr>
        <w:t>Source :</w:t>
      </w:r>
      <w:r w:rsidRPr="00F048D5">
        <w:t xml:space="preserve"> Loi de Financement de la sécurité sociale pour 2021</w:t>
      </w:r>
      <w:r>
        <w:t>, art</w:t>
      </w:r>
      <w:r w:rsidR="00F13F94">
        <w:t>icle</w:t>
      </w:r>
      <w:r>
        <w:t xml:space="preserve"> 105</w:t>
      </w:r>
    </w:p>
    <w:p w14:paraId="3B222C91" w14:textId="77777777" w:rsidR="00742701" w:rsidRDefault="00742701" w:rsidP="00742701">
      <w:pPr>
        <w:spacing w:beforeAutospacing="1" w:after="100" w:afterAutospacing="1"/>
      </w:pPr>
      <w:r>
        <w:t>Les travailleurs indépendants et leurs conjoints collaborateurs qui interrompent leur activité professionnelle pour s’occuper d’un proche présentant un handicap ou une perte d’autonomie d’une particulière gravité seront affiliés obligatoirement à l’assurance vieillesse du régime général, sans qu’il soit nécessaire de procéder à leur radiation du centre de formalités des entreprises dont ils relèvent.</w:t>
      </w:r>
    </w:p>
    <w:p w14:paraId="29147BC3" w14:textId="77777777" w:rsidR="00742701" w:rsidRDefault="00742701" w:rsidP="00742701">
      <w:pPr>
        <w:spacing w:beforeAutospacing="1" w:after="100" w:afterAutospacing="1"/>
      </w:pPr>
      <w:r>
        <w:t>Cette affiliation sera toutefois subordonnée à la production de justificatifs, restant à définir par Décret.</w:t>
      </w:r>
    </w:p>
    <w:p w14:paraId="11DCAD74" w14:textId="77777777" w:rsidR="00742701" w:rsidRPr="00F048D5" w:rsidRDefault="00742701" w:rsidP="00742701">
      <w:pPr>
        <w:spacing w:beforeAutospacing="1" w:after="100" w:afterAutospacing="1"/>
        <w:rPr>
          <w:rFonts w:cstheme="minorHAnsi"/>
        </w:rPr>
      </w:pPr>
      <w:r>
        <w:t>L’affiliation à l’assurance vieillesse du régime général au titre de ce statut de proche aidant ne peut excéder une durée totale d’un an sur l’ensemble de la carrière.</w:t>
      </w:r>
    </w:p>
    <w:p w14:paraId="59F6E4CD" w14:textId="77777777" w:rsidR="00742701" w:rsidRDefault="00742701" w:rsidP="00742701">
      <w:r>
        <w:t>Rappelons enfin que le proche aidé ne peut être que :</w:t>
      </w:r>
    </w:p>
    <w:p w14:paraId="6FB46602" w14:textId="77777777" w:rsidR="00742701" w:rsidRDefault="00742701" w:rsidP="00EE0687">
      <w:pPr>
        <w:pStyle w:val="Paragraphedeliste"/>
        <w:numPr>
          <w:ilvl w:val="0"/>
          <w:numId w:val="247"/>
        </w:numPr>
      </w:pPr>
      <w:r>
        <w:t>le conjoint de l’intéressé ;</w:t>
      </w:r>
    </w:p>
    <w:p w14:paraId="76BA5D40" w14:textId="77777777" w:rsidR="00742701" w:rsidRDefault="00742701" w:rsidP="00EE0687">
      <w:pPr>
        <w:pStyle w:val="Paragraphedeliste"/>
        <w:numPr>
          <w:ilvl w:val="0"/>
          <w:numId w:val="247"/>
        </w:numPr>
      </w:pPr>
      <w:r>
        <w:t>son concubin ;</w:t>
      </w:r>
    </w:p>
    <w:p w14:paraId="66984A46" w14:textId="77777777" w:rsidR="00742701" w:rsidRDefault="00742701" w:rsidP="00EE0687">
      <w:pPr>
        <w:pStyle w:val="Paragraphedeliste"/>
        <w:numPr>
          <w:ilvl w:val="0"/>
          <w:numId w:val="247"/>
        </w:numPr>
      </w:pPr>
      <w:r>
        <w:t>son partenaire de PACS ;</w:t>
      </w:r>
    </w:p>
    <w:p w14:paraId="7B663A2A" w14:textId="77777777" w:rsidR="00742701" w:rsidRDefault="00742701" w:rsidP="00EE0687">
      <w:pPr>
        <w:pStyle w:val="Paragraphedeliste"/>
        <w:numPr>
          <w:ilvl w:val="0"/>
          <w:numId w:val="247"/>
        </w:numPr>
      </w:pPr>
      <w:r>
        <w:t>un ascendant ;</w:t>
      </w:r>
    </w:p>
    <w:p w14:paraId="1BD25C30" w14:textId="77777777" w:rsidR="00742701" w:rsidRDefault="00742701" w:rsidP="00EE0687">
      <w:pPr>
        <w:pStyle w:val="Paragraphedeliste"/>
        <w:numPr>
          <w:ilvl w:val="0"/>
          <w:numId w:val="247"/>
        </w:numPr>
      </w:pPr>
      <w:r>
        <w:t>un descendant ;</w:t>
      </w:r>
    </w:p>
    <w:p w14:paraId="70276BE3" w14:textId="77777777" w:rsidR="00742701" w:rsidRDefault="00742701" w:rsidP="00EE0687">
      <w:pPr>
        <w:pStyle w:val="Paragraphedeliste"/>
        <w:numPr>
          <w:ilvl w:val="0"/>
          <w:numId w:val="247"/>
        </w:numPr>
      </w:pPr>
      <w:r>
        <w:t>un enfant dont il assume la charge ;</w:t>
      </w:r>
    </w:p>
    <w:p w14:paraId="3362C420" w14:textId="77777777" w:rsidR="00742701" w:rsidRDefault="00742701" w:rsidP="00EE0687">
      <w:pPr>
        <w:pStyle w:val="Paragraphedeliste"/>
        <w:numPr>
          <w:ilvl w:val="0"/>
          <w:numId w:val="247"/>
        </w:numPr>
      </w:pPr>
      <w:r>
        <w:t>un collatéral jusqu'au quatrième degré ;</w:t>
      </w:r>
    </w:p>
    <w:p w14:paraId="6F0ABF63" w14:textId="77777777" w:rsidR="00742701" w:rsidRDefault="00742701" w:rsidP="00EE0687">
      <w:pPr>
        <w:pStyle w:val="Paragraphedeliste"/>
        <w:numPr>
          <w:ilvl w:val="0"/>
          <w:numId w:val="247"/>
        </w:numPr>
      </w:pPr>
      <w:r>
        <w:t>un ascendant, un descendant ou un collatéral jusqu'au quatrième degré de son conjoint, concubin ou partenaire lié par un pacte civil de solidarité ;</w:t>
      </w:r>
    </w:p>
    <w:p w14:paraId="0A5D28E9" w14:textId="6A23D435" w:rsidR="00742701" w:rsidRDefault="00742701" w:rsidP="00EE0687">
      <w:pPr>
        <w:pStyle w:val="Paragraphedeliste"/>
        <w:numPr>
          <w:ilvl w:val="0"/>
          <w:numId w:val="247"/>
        </w:numPr>
      </w:pPr>
      <w:r>
        <w:t>une personne âgée ou handicapée avec laquelle il réside ou avec laquelle il entretient des liens étroits et stables, à qui il vient en aide de manière régulière et fréquente, à titre non professionnel, pour accomplir tout ou partie des actes ou des activités de la vie quotidienne.</w:t>
      </w:r>
    </w:p>
    <w:p w14:paraId="762B2B3C" w14:textId="77777777" w:rsidR="006F14F1" w:rsidRPr="00E00509" w:rsidRDefault="006F14F1" w:rsidP="006F14F1">
      <w:pPr>
        <w:rPr>
          <w:rFonts w:ascii="Calibri" w:eastAsia="Times New Roman" w:hAnsi="Calibri" w:cs="Times New Roman"/>
          <w:color w:val="000000"/>
          <w:lang w:eastAsia="fr-FR"/>
        </w:rPr>
      </w:pPr>
    </w:p>
    <w:p w14:paraId="76B08E88" w14:textId="6169D072" w:rsidR="00503A6E" w:rsidRPr="00F048D5" w:rsidRDefault="00503A6E" w:rsidP="00503A6E">
      <w:pPr>
        <w:pStyle w:val="Titre3"/>
      </w:pPr>
      <w:bookmarkStart w:id="66" w:name="_Toc60780995"/>
      <w:r w:rsidRPr="00F048D5">
        <w:t xml:space="preserve">Slide </w:t>
      </w:r>
      <w:r w:rsidR="00232CCE">
        <w:t>42</w:t>
      </w:r>
      <w:r w:rsidRPr="00F048D5">
        <w:t> :</w:t>
      </w:r>
      <w:r>
        <w:t xml:space="preserve"> </w:t>
      </w:r>
      <w:r w:rsidR="00970E63">
        <w:t>M</w:t>
      </w:r>
      <w:r>
        <w:t xml:space="preserve">ajoration due par les travailleurs indépendants en cas de </w:t>
      </w:r>
      <w:proofErr w:type="gramStart"/>
      <w:r>
        <w:t>non rés</w:t>
      </w:r>
      <w:r w:rsidR="002434D0">
        <w:t>P</w:t>
      </w:r>
      <w:r>
        <w:t>êct</w:t>
      </w:r>
      <w:proofErr w:type="gramEnd"/>
      <w:r>
        <w:t xml:space="preserve"> de l’obligation de</w:t>
      </w:r>
      <w:r w:rsidRPr="00F048D5">
        <w:t xml:space="preserve"> </w:t>
      </w:r>
      <w:r>
        <w:t>dématérialisation</w:t>
      </w:r>
      <w:bookmarkEnd w:id="66"/>
    </w:p>
    <w:p w14:paraId="6E58E3FA" w14:textId="76D2A0A8" w:rsidR="00503A6E" w:rsidRDefault="00001043" w:rsidP="00503A6E">
      <w:r w:rsidRPr="004F587E">
        <w:rPr>
          <w:u w:val="single"/>
        </w:rPr>
        <w:lastRenderedPageBreak/>
        <w:t xml:space="preserve">Source </w:t>
      </w:r>
      <w:r w:rsidRPr="00A847B7">
        <w:t>:</w:t>
      </w:r>
      <w:r w:rsidR="00503A6E" w:rsidRPr="003D5403">
        <w:t xml:space="preserve"> Loi de Financement de la sécurité sociale pour 2021, art</w:t>
      </w:r>
      <w:r w:rsidR="00F13F94">
        <w:t>icle</w:t>
      </w:r>
      <w:r w:rsidR="00503A6E" w:rsidRPr="003D5403">
        <w:t xml:space="preserve"> </w:t>
      </w:r>
      <w:r w:rsidR="00503A6E">
        <w:t>25, III</w:t>
      </w:r>
    </w:p>
    <w:p w14:paraId="632ECF4D" w14:textId="77777777" w:rsidR="00503A6E" w:rsidRDefault="00503A6E" w:rsidP="00503A6E">
      <w:r>
        <w:t xml:space="preserve">Pour rappel, les travailleurs indépendants ne relevant pas du régime microsocial ont l’obligation de déclarer par voie dématérialisée les éléments nécessaires au calcul de leurs cotisations et contributions sociales auprès de l’administration fiscale conjointement à leur déclaration d’impôt sur le revenu. </w:t>
      </w:r>
    </w:p>
    <w:p w14:paraId="15D3A2F4" w14:textId="77777777" w:rsidR="00503A6E" w:rsidRDefault="00503A6E" w:rsidP="00503A6E">
      <w:r>
        <w:t xml:space="preserve">Cette unification des déclarations sociales et fiscales, prévue depuis fin 2019, s’appliquera à compter des déclarations transmises en 2021 au titre des revenus perçus en 2020. </w:t>
      </w:r>
    </w:p>
    <w:p w14:paraId="731F2648" w14:textId="77777777" w:rsidR="00503A6E" w:rsidRDefault="00503A6E" w:rsidP="00503A6E">
      <w:r>
        <w:t>A ce titre, les caisses de recouvrement reçoivent de l’administration fiscale, soit à leur demande soit à celle des personnes concernées, l’ensemble des informations nominatives nécessaires au calcul des cotisations et contributions.</w:t>
      </w:r>
    </w:p>
    <w:p w14:paraId="0D0C887A" w14:textId="398B7D5D" w:rsidR="00503A6E" w:rsidRDefault="00503A6E" w:rsidP="00503A6E">
      <w:r>
        <w:t xml:space="preserve">La </w:t>
      </w:r>
      <w:r w:rsidR="006E441D">
        <w:t>L</w:t>
      </w:r>
      <w:r>
        <w:t xml:space="preserve">oi de </w:t>
      </w:r>
      <w:r w:rsidR="006E441D">
        <w:t>F</w:t>
      </w:r>
      <w:r>
        <w:t xml:space="preserve">inancement de Sécurité sociale pour 2021 vient rétablir la majoration applicable en cas de méconnaissance de cette obligation de dématérialisation, concernant la déclaration ou le versement, entraînera l’application de majorations, fixées par décret. </w:t>
      </w:r>
    </w:p>
    <w:p w14:paraId="34DC6E96" w14:textId="3E2C110C" w:rsidR="00503A6E" w:rsidRDefault="00503A6E" w:rsidP="00503A6E">
      <w:r>
        <w:t>Pour la déclaration, cette majoration, dont le montant sera fixé par décret, devra se situer dans la limite de 0,2</w:t>
      </w:r>
      <w:r w:rsidR="002434D0">
        <w:t> </w:t>
      </w:r>
      <w:r>
        <w:t xml:space="preserve">% des sommes dont la déclaration ou le paiement a été effectué par une autre voie que la voie dématérialisée. </w:t>
      </w:r>
    </w:p>
    <w:p w14:paraId="072EF10D" w14:textId="7BDF2516" w:rsidR="00503A6E" w:rsidRDefault="00503A6E" w:rsidP="006F14F1">
      <w:r>
        <w:t>Ces dispositions concerneront les déclarations transmises en 2022 au titre des revenus de l’année 2021. Elles seront également valables à Saint-Barthélemy où la fusion des déclarations fiscales et sociales est décalée d’un an</w:t>
      </w:r>
      <w:r w:rsidR="005379DC">
        <w:t>, c’est-à-dire en 2022</w:t>
      </w:r>
      <w:r>
        <w:t xml:space="preserve">. </w:t>
      </w:r>
    </w:p>
    <w:p w14:paraId="3A9EBD0C" w14:textId="77777777" w:rsidR="00001043" w:rsidRPr="00503A6E" w:rsidRDefault="00001043" w:rsidP="006F14F1"/>
    <w:p w14:paraId="152D0FCD" w14:textId="77777777" w:rsidR="003872CA" w:rsidRPr="00A847B7" w:rsidRDefault="003872CA" w:rsidP="003872CA">
      <w:pPr>
        <w:rPr>
          <w:rFonts w:cstheme="minorHAnsi"/>
        </w:rPr>
      </w:pPr>
      <w:r w:rsidRPr="00A847B7">
        <w:rPr>
          <w:rFonts w:cstheme="minorHAnsi"/>
        </w:rPr>
        <w:br w:type="page"/>
      </w:r>
    </w:p>
    <w:p w14:paraId="2FF413BE" w14:textId="7CC3D9B3" w:rsidR="00A8095A" w:rsidRPr="00A847B7" w:rsidRDefault="00A8095A" w:rsidP="00A8095A">
      <w:pPr>
        <w:rPr>
          <w:rFonts w:cstheme="minorHAnsi"/>
        </w:rPr>
      </w:pPr>
    </w:p>
    <w:p w14:paraId="4367DA0E" w14:textId="6F866FFE" w:rsidR="00EC58E9" w:rsidRDefault="00EC58E9" w:rsidP="00A8095A">
      <w:pPr>
        <w:rPr>
          <w:rFonts w:cstheme="minorHAnsi"/>
        </w:rPr>
      </w:pPr>
    </w:p>
    <w:p w14:paraId="13835F95" w14:textId="31F697CB" w:rsidR="00457151" w:rsidRDefault="00457151" w:rsidP="00A8095A">
      <w:pPr>
        <w:rPr>
          <w:rFonts w:cstheme="minorHAnsi"/>
        </w:rPr>
      </w:pPr>
    </w:p>
    <w:p w14:paraId="5C2A1738" w14:textId="53D3E52F" w:rsidR="00457151" w:rsidRDefault="00457151" w:rsidP="00A8095A">
      <w:pPr>
        <w:rPr>
          <w:rFonts w:cstheme="minorHAnsi"/>
        </w:rPr>
      </w:pPr>
    </w:p>
    <w:p w14:paraId="030C1A0A" w14:textId="13CBCB53" w:rsidR="00457151" w:rsidRDefault="00457151" w:rsidP="00A8095A">
      <w:pPr>
        <w:rPr>
          <w:rFonts w:cstheme="minorHAnsi"/>
        </w:rPr>
      </w:pPr>
    </w:p>
    <w:p w14:paraId="0C43E853" w14:textId="6DE94027" w:rsidR="00457151" w:rsidRDefault="00457151" w:rsidP="00A8095A">
      <w:pPr>
        <w:rPr>
          <w:rFonts w:cstheme="minorHAnsi"/>
        </w:rPr>
      </w:pPr>
    </w:p>
    <w:p w14:paraId="284F0B2F" w14:textId="1EDF33D0" w:rsidR="00457151" w:rsidRDefault="00457151" w:rsidP="00A8095A">
      <w:pPr>
        <w:rPr>
          <w:rFonts w:cstheme="minorHAnsi"/>
        </w:rPr>
      </w:pPr>
    </w:p>
    <w:p w14:paraId="73D36C41" w14:textId="6504EA7E" w:rsidR="00457151" w:rsidRDefault="00457151" w:rsidP="00A8095A">
      <w:pPr>
        <w:rPr>
          <w:rFonts w:cstheme="minorHAnsi"/>
        </w:rPr>
      </w:pPr>
    </w:p>
    <w:p w14:paraId="08A4E062" w14:textId="77777777" w:rsidR="00457151" w:rsidRPr="00A847B7" w:rsidRDefault="00457151" w:rsidP="00A8095A">
      <w:pPr>
        <w:rPr>
          <w:rFonts w:cstheme="minorHAnsi"/>
        </w:rPr>
      </w:pPr>
    </w:p>
    <w:p w14:paraId="6A06DEBC" w14:textId="77777777" w:rsidR="00EC58E9" w:rsidRPr="00A847B7" w:rsidRDefault="00EC58E9" w:rsidP="00EC58E9">
      <w:pPr>
        <w:pStyle w:val="Titre1"/>
        <w:rPr>
          <w:caps/>
        </w:rPr>
      </w:pPr>
      <w:bookmarkStart w:id="67" w:name="_Toc30149261"/>
      <w:bookmarkStart w:id="68" w:name="_Toc60780996"/>
      <w:r w:rsidRPr="00A847B7">
        <w:rPr>
          <w:caps/>
        </w:rPr>
        <w:t>Dispositions applicables aux entreprises</w:t>
      </w:r>
      <w:bookmarkEnd w:id="67"/>
      <w:bookmarkEnd w:id="68"/>
    </w:p>
    <w:p w14:paraId="249BC6AA" w14:textId="77777777" w:rsidR="00EC58E9" w:rsidRPr="00A847B7" w:rsidRDefault="00EC58E9" w:rsidP="00EC58E9"/>
    <w:p w14:paraId="07211E9C" w14:textId="77777777" w:rsidR="00EC58E9" w:rsidRPr="00A847B7" w:rsidRDefault="00EC58E9" w:rsidP="00EC58E9">
      <w:r w:rsidRPr="00A847B7">
        <w:br w:type="page"/>
      </w:r>
    </w:p>
    <w:p w14:paraId="1C9FF8A7" w14:textId="77777777" w:rsidR="00EC58E9" w:rsidRPr="00A847B7" w:rsidRDefault="00EC58E9" w:rsidP="00EC58E9">
      <w:pPr>
        <w:jc w:val="center"/>
        <w:rPr>
          <w:b/>
        </w:rPr>
      </w:pPr>
    </w:p>
    <w:p w14:paraId="4012D810" w14:textId="77777777" w:rsidR="00EC58E9" w:rsidRPr="00A847B7" w:rsidRDefault="00EC58E9" w:rsidP="00EC58E9">
      <w:pPr>
        <w:pStyle w:val="Titre2"/>
      </w:pPr>
      <w:bookmarkStart w:id="69" w:name="_Toc30149262"/>
      <w:bookmarkStart w:id="70" w:name="_Toc60780997"/>
      <w:r w:rsidRPr="00A847B7">
        <w:t>Modalités de calcul de l’impôt sur les bénéfices</w:t>
      </w:r>
      <w:bookmarkEnd w:id="69"/>
      <w:bookmarkEnd w:id="70"/>
    </w:p>
    <w:p w14:paraId="7EC379C2" w14:textId="0A6493D4" w:rsidR="00EC58E9" w:rsidRPr="00A847B7" w:rsidRDefault="00EC58E9" w:rsidP="00EC58E9">
      <w:pPr>
        <w:pStyle w:val="Titre3"/>
      </w:pPr>
      <w:bookmarkStart w:id="71" w:name="_Toc60780998"/>
      <w:r w:rsidRPr="00A847B7">
        <w:t xml:space="preserve">Slide </w:t>
      </w:r>
      <w:r w:rsidR="00DF7DA2">
        <w:t>44</w:t>
      </w:r>
      <w:r w:rsidRPr="00A847B7">
        <w:t xml:space="preserve"> : </w:t>
      </w:r>
      <w:r w:rsidR="004302DB" w:rsidRPr="00A847B7">
        <w:t xml:space="preserve">Neutralisation </w:t>
      </w:r>
      <w:r w:rsidR="002B2CBC" w:rsidRPr="00A847B7">
        <w:t>fiscale de la réévaluation des actifs</w:t>
      </w:r>
      <w:bookmarkEnd w:id="71"/>
    </w:p>
    <w:p w14:paraId="2C230FB3" w14:textId="4D4A0891" w:rsidR="00EC58E9" w:rsidRPr="00A847B7" w:rsidRDefault="00147770" w:rsidP="00EC58E9">
      <w:r w:rsidRPr="004F587E">
        <w:rPr>
          <w:u w:val="single"/>
        </w:rPr>
        <w:t xml:space="preserve">Source </w:t>
      </w:r>
      <w:r w:rsidRPr="00A847B7">
        <w:t>:</w:t>
      </w:r>
      <w:r w:rsidR="002B2CBC" w:rsidRPr="00A847B7">
        <w:t xml:space="preserve"> Loi de Finances pour 2021, </w:t>
      </w:r>
      <w:r w:rsidR="002B2CBC" w:rsidRPr="00D232BA">
        <w:t xml:space="preserve">article </w:t>
      </w:r>
      <w:r w:rsidR="009132FB">
        <w:t>31</w:t>
      </w:r>
    </w:p>
    <w:p w14:paraId="35940B19" w14:textId="5D95BF08" w:rsidR="002B2CBC" w:rsidRPr="00A847B7" w:rsidRDefault="002B2CBC" w:rsidP="00EE0687">
      <w:pPr>
        <w:pStyle w:val="Paragraphedeliste"/>
        <w:numPr>
          <w:ilvl w:val="0"/>
          <w:numId w:val="73"/>
        </w:numPr>
        <w:spacing w:beforeAutospacing="1" w:after="100" w:afterAutospacing="1"/>
        <w:rPr>
          <w:rFonts w:cstheme="minorHAnsi"/>
          <w:b/>
          <w:bCs/>
          <w:i/>
          <w:iCs/>
          <w:u w:val="single"/>
        </w:rPr>
      </w:pPr>
      <w:r w:rsidRPr="00A847B7">
        <w:rPr>
          <w:rFonts w:cstheme="minorHAnsi"/>
          <w:b/>
          <w:bCs/>
          <w:i/>
          <w:iCs/>
          <w:u w:val="single"/>
        </w:rPr>
        <w:t>Le principe</w:t>
      </w:r>
    </w:p>
    <w:p w14:paraId="478B29DE" w14:textId="05035B1B" w:rsidR="00803932" w:rsidRPr="00A847B7" w:rsidRDefault="002B2CBC" w:rsidP="002B2CBC">
      <w:pPr>
        <w:spacing w:beforeAutospacing="1" w:after="100" w:afterAutospacing="1"/>
        <w:rPr>
          <w:rFonts w:cstheme="minorHAnsi"/>
        </w:rPr>
      </w:pPr>
      <w:r w:rsidRPr="00A847B7">
        <w:rPr>
          <w:rFonts w:cstheme="minorHAnsi"/>
        </w:rPr>
        <w:t xml:space="preserve">Il existe actuellement un dispositif qui </w:t>
      </w:r>
      <w:r w:rsidR="00F57AB2" w:rsidRPr="00A847B7">
        <w:rPr>
          <w:rFonts w:cstheme="minorHAnsi"/>
        </w:rPr>
        <w:t xml:space="preserve">permet, sur le plan comptable, </w:t>
      </w:r>
      <w:r w:rsidR="004842DC" w:rsidRPr="00A847B7">
        <w:rPr>
          <w:rFonts w:cstheme="minorHAnsi"/>
        </w:rPr>
        <w:t>de réévaluer les éléments d’actif d’une entreprise : il s’agit, en pratique, d</w:t>
      </w:r>
      <w:r w:rsidR="00717E43" w:rsidRPr="00A847B7">
        <w:rPr>
          <w:rFonts w:cstheme="minorHAnsi"/>
        </w:rPr>
        <w:t>’actualiser la valeur des actifs</w:t>
      </w:r>
      <w:r w:rsidR="00803932" w:rsidRPr="00A847B7">
        <w:rPr>
          <w:rFonts w:cstheme="minorHAnsi"/>
        </w:rPr>
        <w:t xml:space="preserve"> q</w:t>
      </w:r>
      <w:r w:rsidR="00DE5444" w:rsidRPr="00A847B7">
        <w:rPr>
          <w:rFonts w:cstheme="minorHAnsi"/>
        </w:rPr>
        <w:t>u</w:t>
      </w:r>
      <w:r w:rsidR="00803932" w:rsidRPr="00A847B7">
        <w:rPr>
          <w:rFonts w:cstheme="minorHAnsi"/>
        </w:rPr>
        <w:t>i sont comptabilisés pour leur valeur historique.</w:t>
      </w:r>
      <w:r w:rsidR="00DD2E8F" w:rsidRPr="00A847B7">
        <w:rPr>
          <w:rFonts w:cstheme="minorHAnsi"/>
        </w:rPr>
        <w:t xml:space="preserve"> </w:t>
      </w:r>
      <w:r w:rsidR="00803932" w:rsidRPr="00A847B7">
        <w:rPr>
          <w:rFonts w:cstheme="minorHAnsi"/>
        </w:rPr>
        <w:t xml:space="preserve">Cette pratique ne </w:t>
      </w:r>
      <w:r w:rsidR="00A62FD0" w:rsidRPr="00A847B7">
        <w:rPr>
          <w:rFonts w:cstheme="minorHAnsi"/>
        </w:rPr>
        <w:t xml:space="preserve">concerne que </w:t>
      </w:r>
      <w:r w:rsidR="00DE5444" w:rsidRPr="00A847B7">
        <w:rPr>
          <w:rFonts w:cstheme="minorHAnsi"/>
        </w:rPr>
        <w:t>les immobilisations corporelles et financières, à l’exclusion donc des immobilisations incorporelles autres que les titres, les stocks et les valeurs mobilières de placement.</w:t>
      </w:r>
    </w:p>
    <w:p w14:paraId="7413B51F" w14:textId="3191DED9" w:rsidR="00DD2E8F" w:rsidRPr="00A847B7" w:rsidRDefault="00DD2E8F" w:rsidP="002B2CBC">
      <w:pPr>
        <w:spacing w:beforeAutospacing="1" w:after="100" w:afterAutospacing="1"/>
        <w:rPr>
          <w:rFonts w:cstheme="minorHAnsi"/>
        </w:rPr>
      </w:pPr>
      <w:r w:rsidRPr="00A847B7">
        <w:rPr>
          <w:rFonts w:cstheme="minorHAnsi"/>
        </w:rPr>
        <w:t>Réévaluer</w:t>
      </w:r>
      <w:r w:rsidR="00DE5444" w:rsidRPr="00A847B7">
        <w:rPr>
          <w:rFonts w:cstheme="minorHAnsi"/>
        </w:rPr>
        <w:t xml:space="preserve"> l’actif suppose alors de </w:t>
      </w:r>
      <w:r w:rsidR="00D16E08">
        <w:rPr>
          <w:rFonts w:cstheme="minorHAnsi"/>
        </w:rPr>
        <w:t xml:space="preserve">comptabiliser </w:t>
      </w:r>
      <w:r w:rsidR="00DE5444" w:rsidRPr="00A847B7">
        <w:rPr>
          <w:rFonts w:cstheme="minorHAnsi"/>
        </w:rPr>
        <w:t>un écart de valeur</w:t>
      </w:r>
      <w:r w:rsidR="003E51A7" w:rsidRPr="00A847B7">
        <w:rPr>
          <w:rFonts w:cstheme="minorHAnsi"/>
        </w:rPr>
        <w:t xml:space="preserve">, égal à la différence entre la valeur réévaluée et la valeur nette </w:t>
      </w:r>
      <w:r w:rsidRPr="00A847B7">
        <w:rPr>
          <w:rFonts w:cstheme="minorHAnsi"/>
        </w:rPr>
        <w:t xml:space="preserve">comptable. Sur le plan fiscal, </w:t>
      </w:r>
      <w:r w:rsidR="00A71BD5" w:rsidRPr="00A847B7">
        <w:rPr>
          <w:rFonts w:cstheme="minorHAnsi"/>
        </w:rPr>
        <w:t>cet écart de réévaluation est un produit imposable.</w:t>
      </w:r>
    </w:p>
    <w:p w14:paraId="12703838" w14:textId="4B0948B7" w:rsidR="002B2CBC" w:rsidRPr="00A847B7" w:rsidRDefault="002B2CBC" w:rsidP="00EE0687">
      <w:pPr>
        <w:pStyle w:val="Paragraphedeliste"/>
        <w:numPr>
          <w:ilvl w:val="0"/>
          <w:numId w:val="73"/>
        </w:numPr>
        <w:spacing w:beforeAutospacing="1" w:after="100" w:afterAutospacing="1"/>
        <w:rPr>
          <w:rFonts w:cstheme="minorHAnsi"/>
          <w:b/>
          <w:bCs/>
          <w:i/>
          <w:iCs/>
          <w:u w:val="single"/>
        </w:rPr>
      </w:pPr>
      <w:r w:rsidRPr="00A847B7">
        <w:rPr>
          <w:rFonts w:cstheme="minorHAnsi"/>
          <w:b/>
          <w:bCs/>
          <w:i/>
          <w:iCs/>
          <w:u w:val="single"/>
        </w:rPr>
        <w:t>Les aménagements</w:t>
      </w:r>
    </w:p>
    <w:p w14:paraId="7873B24B" w14:textId="7B8B1A02" w:rsidR="002B2CBC" w:rsidRPr="00A847B7" w:rsidRDefault="00A71BD5" w:rsidP="00EC58E9">
      <w:pPr>
        <w:spacing w:beforeAutospacing="1" w:after="100" w:afterAutospacing="1"/>
        <w:rPr>
          <w:rFonts w:cstheme="minorHAnsi"/>
        </w:rPr>
      </w:pPr>
      <w:r w:rsidRPr="00A847B7">
        <w:rPr>
          <w:rFonts w:cstheme="minorHAnsi"/>
        </w:rPr>
        <w:t>Afin de</w:t>
      </w:r>
      <w:r w:rsidR="00C85549" w:rsidRPr="00A847B7">
        <w:rPr>
          <w:rFonts w:cstheme="minorHAnsi"/>
        </w:rPr>
        <w:t xml:space="preserve"> </w:t>
      </w:r>
      <w:r w:rsidRPr="00A847B7">
        <w:rPr>
          <w:rFonts w:cstheme="minorHAnsi"/>
        </w:rPr>
        <w:t>te</w:t>
      </w:r>
      <w:r w:rsidR="00C85549" w:rsidRPr="00A847B7">
        <w:rPr>
          <w:rFonts w:cstheme="minorHAnsi"/>
        </w:rPr>
        <w:t>n</w:t>
      </w:r>
      <w:r w:rsidRPr="00A847B7">
        <w:rPr>
          <w:rFonts w:cstheme="minorHAnsi"/>
        </w:rPr>
        <w:t xml:space="preserve">ir compte de la situation économique liée à la </w:t>
      </w:r>
      <w:r w:rsidR="00C85549" w:rsidRPr="00A847B7">
        <w:rPr>
          <w:rFonts w:cstheme="minorHAnsi"/>
        </w:rPr>
        <w:t>crise</w:t>
      </w:r>
      <w:r w:rsidRPr="00A847B7">
        <w:rPr>
          <w:rFonts w:cstheme="minorHAnsi"/>
        </w:rPr>
        <w:t xml:space="preserve"> </w:t>
      </w:r>
      <w:r w:rsidR="00C85549" w:rsidRPr="00A847B7">
        <w:rPr>
          <w:rFonts w:cstheme="minorHAnsi"/>
        </w:rPr>
        <w:t>sanitaire</w:t>
      </w:r>
      <w:r w:rsidRPr="00A847B7">
        <w:rPr>
          <w:rFonts w:cstheme="minorHAnsi"/>
        </w:rPr>
        <w:t xml:space="preserve"> actuelle, </w:t>
      </w:r>
      <w:r w:rsidR="00C85549" w:rsidRPr="00A847B7">
        <w:rPr>
          <w:rFonts w:cstheme="minorHAnsi"/>
        </w:rPr>
        <w:t xml:space="preserve">une mesure temporaire de neutralisation des conséquence fiscales </w:t>
      </w:r>
      <w:r w:rsidR="00257A19" w:rsidRPr="00A847B7">
        <w:rPr>
          <w:rFonts w:cstheme="minorHAnsi"/>
        </w:rPr>
        <w:t>de cette réévaluation d’</w:t>
      </w:r>
      <w:r w:rsidR="00741661" w:rsidRPr="00A847B7">
        <w:rPr>
          <w:rFonts w:cstheme="minorHAnsi"/>
        </w:rPr>
        <w:t>actif</w:t>
      </w:r>
      <w:r w:rsidR="00257A19" w:rsidRPr="00A847B7">
        <w:rPr>
          <w:rFonts w:cstheme="minorHAnsi"/>
        </w:rPr>
        <w:t xml:space="preserve"> est mise en place. Cette neutralisation fiscale</w:t>
      </w:r>
      <w:r w:rsidR="00021AB3" w:rsidRPr="00A847B7">
        <w:rPr>
          <w:rFonts w:cstheme="minorHAnsi"/>
        </w:rPr>
        <w:t xml:space="preserve">, qui implique que l’écart de réévaluation n’est pas pris en compte dans le résultat de </w:t>
      </w:r>
      <w:r w:rsidR="004B60C5">
        <w:rPr>
          <w:rFonts w:cstheme="minorHAnsi"/>
        </w:rPr>
        <w:t>l’entreprise</w:t>
      </w:r>
      <w:r w:rsidR="00021AB3" w:rsidRPr="00A847B7">
        <w:rPr>
          <w:rFonts w:cstheme="minorHAnsi"/>
        </w:rPr>
        <w:t xml:space="preserve"> qui le constate,</w:t>
      </w:r>
      <w:r w:rsidR="00257A19" w:rsidRPr="00A847B7">
        <w:rPr>
          <w:rFonts w:cstheme="minorHAnsi"/>
        </w:rPr>
        <w:t xml:space="preserve"> s’applique aux exercices cl</w:t>
      </w:r>
      <w:r w:rsidR="00741661" w:rsidRPr="00A847B7">
        <w:rPr>
          <w:rFonts w:cstheme="minorHAnsi"/>
        </w:rPr>
        <w:t>o</w:t>
      </w:r>
      <w:r w:rsidR="00257A19" w:rsidRPr="00A847B7">
        <w:rPr>
          <w:rFonts w:cstheme="minorHAnsi"/>
        </w:rPr>
        <w:t>s à compter du 31 décembre 2020 et jusqu’au 31 décembre 2022</w:t>
      </w:r>
      <w:r w:rsidR="00741661" w:rsidRPr="00A847B7">
        <w:rPr>
          <w:rFonts w:cstheme="minorHAnsi"/>
        </w:rPr>
        <w:t>.</w:t>
      </w:r>
    </w:p>
    <w:p w14:paraId="10A12701" w14:textId="77777777" w:rsidR="0026630D" w:rsidRPr="00A847B7" w:rsidRDefault="00741661" w:rsidP="00EC58E9">
      <w:pPr>
        <w:spacing w:beforeAutospacing="1" w:after="100" w:afterAutospacing="1"/>
        <w:rPr>
          <w:rFonts w:cstheme="minorHAnsi"/>
        </w:rPr>
      </w:pPr>
      <w:r w:rsidRPr="00A847B7">
        <w:rPr>
          <w:rFonts w:cstheme="minorHAnsi"/>
        </w:rPr>
        <w:t>Ce dispositif</w:t>
      </w:r>
      <w:r w:rsidR="005B47AB" w:rsidRPr="00A847B7">
        <w:rPr>
          <w:rFonts w:cstheme="minorHAnsi"/>
        </w:rPr>
        <w:t>, qui</w:t>
      </w:r>
      <w:r w:rsidRPr="00A847B7">
        <w:rPr>
          <w:rFonts w:cstheme="minorHAnsi"/>
        </w:rPr>
        <w:t xml:space="preserve"> s’applique sur option </w:t>
      </w:r>
      <w:r w:rsidR="005B47AB" w:rsidRPr="00A847B7">
        <w:rPr>
          <w:rFonts w:cstheme="minorHAnsi"/>
        </w:rPr>
        <w:t>de</w:t>
      </w:r>
      <w:r w:rsidRPr="00A847B7">
        <w:rPr>
          <w:rFonts w:cstheme="minorHAnsi"/>
        </w:rPr>
        <w:t xml:space="preserve"> l’entreprise</w:t>
      </w:r>
      <w:r w:rsidR="005B47AB" w:rsidRPr="00A847B7">
        <w:rPr>
          <w:rFonts w:cstheme="minorHAnsi"/>
        </w:rPr>
        <w:t xml:space="preserve">, </w:t>
      </w:r>
      <w:r w:rsidR="0026630D" w:rsidRPr="00A847B7">
        <w:rPr>
          <w:rFonts w:cstheme="minorHAnsi"/>
        </w:rPr>
        <w:t>va s’appliquer selon des modalités différentes selon que l’actif réévalué est amortissable ou non.</w:t>
      </w:r>
    </w:p>
    <w:p w14:paraId="7ADD87DF" w14:textId="472C9034" w:rsidR="00741661" w:rsidRPr="00A847B7" w:rsidRDefault="0026630D" w:rsidP="00EC58E9">
      <w:pPr>
        <w:spacing w:beforeAutospacing="1" w:after="100" w:afterAutospacing="1"/>
        <w:rPr>
          <w:rFonts w:cstheme="minorHAnsi"/>
        </w:rPr>
      </w:pPr>
      <w:r w:rsidRPr="00A847B7">
        <w:rPr>
          <w:rFonts w:cstheme="minorHAnsi"/>
        </w:rPr>
        <w:t xml:space="preserve">Pour les immobilisations amortissables, le dispositif </w:t>
      </w:r>
      <w:r w:rsidR="00A63187" w:rsidRPr="00A847B7">
        <w:rPr>
          <w:rFonts w:cstheme="minorHAnsi"/>
        </w:rPr>
        <w:t xml:space="preserve">implique que l’entreprise prenne, en contrepartie, l’engagement de réintégrer cet </w:t>
      </w:r>
      <w:r w:rsidR="00A34FC3" w:rsidRPr="00A847B7">
        <w:rPr>
          <w:rFonts w:cstheme="minorHAnsi"/>
        </w:rPr>
        <w:t>écart</w:t>
      </w:r>
      <w:r w:rsidR="00A63187" w:rsidRPr="00A847B7">
        <w:rPr>
          <w:rFonts w:cstheme="minorHAnsi"/>
        </w:rPr>
        <w:t xml:space="preserve"> de </w:t>
      </w:r>
      <w:r w:rsidR="00A34FC3" w:rsidRPr="00A847B7">
        <w:rPr>
          <w:rFonts w:cstheme="minorHAnsi"/>
        </w:rPr>
        <w:t>réévaluation</w:t>
      </w:r>
      <w:r w:rsidR="00A63187" w:rsidRPr="00A847B7">
        <w:rPr>
          <w:rFonts w:cstheme="minorHAnsi"/>
        </w:rPr>
        <w:t xml:space="preserve"> par parts égales sur une durée de 15 ans pour </w:t>
      </w:r>
      <w:r w:rsidR="00A34FC3" w:rsidRPr="00A847B7">
        <w:rPr>
          <w:rFonts w:cstheme="minorHAnsi"/>
        </w:rPr>
        <w:t>les biens immobiliers (amortissables sur une durée d’au moins 15 ans) et de 5 ans pour les autres immobilisations.</w:t>
      </w:r>
    </w:p>
    <w:p w14:paraId="39E60043" w14:textId="3CA9AAE1" w:rsidR="0026630D" w:rsidRPr="00A847B7" w:rsidRDefault="0026630D" w:rsidP="00EC58E9">
      <w:pPr>
        <w:spacing w:beforeAutospacing="1" w:after="100" w:afterAutospacing="1"/>
        <w:rPr>
          <w:rFonts w:cstheme="minorHAnsi"/>
        </w:rPr>
      </w:pPr>
      <w:r w:rsidRPr="00A847B7">
        <w:rPr>
          <w:rFonts w:cstheme="minorHAnsi"/>
        </w:rPr>
        <w:t xml:space="preserve">Pour les immobilisations </w:t>
      </w:r>
      <w:r w:rsidR="00C47C2E">
        <w:rPr>
          <w:rFonts w:cstheme="minorHAnsi"/>
        </w:rPr>
        <w:t>n</w:t>
      </w:r>
      <w:r w:rsidRPr="00A847B7">
        <w:rPr>
          <w:rFonts w:cstheme="minorHAnsi"/>
        </w:rPr>
        <w:t xml:space="preserve">on amortissables, </w:t>
      </w:r>
      <w:r w:rsidR="00A12519" w:rsidRPr="00A847B7">
        <w:rPr>
          <w:rFonts w:cstheme="minorHAnsi"/>
        </w:rPr>
        <w:t>l’</w:t>
      </w:r>
      <w:r w:rsidR="00021AB3" w:rsidRPr="00A847B7">
        <w:rPr>
          <w:rFonts w:cstheme="minorHAnsi"/>
        </w:rPr>
        <w:t>écart</w:t>
      </w:r>
      <w:r w:rsidR="00A12519" w:rsidRPr="00A847B7">
        <w:rPr>
          <w:rFonts w:cstheme="minorHAnsi"/>
        </w:rPr>
        <w:t xml:space="preserve"> de </w:t>
      </w:r>
      <w:r w:rsidR="00021AB3" w:rsidRPr="00A847B7">
        <w:rPr>
          <w:rFonts w:cstheme="minorHAnsi"/>
        </w:rPr>
        <w:t>réévaluation bénéficiera d’un dispositif de sursis d’</w:t>
      </w:r>
      <w:r w:rsidR="00180652" w:rsidRPr="00A847B7">
        <w:rPr>
          <w:rFonts w:cstheme="minorHAnsi"/>
        </w:rPr>
        <w:t>imposition</w:t>
      </w:r>
      <w:r w:rsidR="00510F50" w:rsidRPr="00A847B7">
        <w:rPr>
          <w:rFonts w:cstheme="minorHAnsi"/>
        </w:rPr>
        <w:t xml:space="preserve"> jusqu’à la cession des actifs concernés (la plus ou </w:t>
      </w:r>
      <w:r w:rsidR="00180652" w:rsidRPr="00A847B7">
        <w:rPr>
          <w:rFonts w:cstheme="minorHAnsi"/>
        </w:rPr>
        <w:t>moins-value</w:t>
      </w:r>
      <w:r w:rsidR="00510F50" w:rsidRPr="00A847B7">
        <w:rPr>
          <w:rFonts w:cstheme="minorHAnsi"/>
        </w:rPr>
        <w:t xml:space="preserve"> est alors </w:t>
      </w:r>
      <w:r w:rsidR="00180652" w:rsidRPr="00A847B7">
        <w:rPr>
          <w:rFonts w:cstheme="minorHAnsi"/>
        </w:rPr>
        <w:t>déterminée</w:t>
      </w:r>
      <w:r w:rsidR="00510F50" w:rsidRPr="00A847B7">
        <w:rPr>
          <w:rFonts w:cstheme="minorHAnsi"/>
        </w:rPr>
        <w:t xml:space="preserve"> à partir de la valeur non réévaluée</w:t>
      </w:r>
      <w:r w:rsidR="00180652" w:rsidRPr="00A847B7">
        <w:rPr>
          <w:rFonts w:cstheme="minorHAnsi"/>
        </w:rPr>
        <w:t>).</w:t>
      </w:r>
    </w:p>
    <w:p w14:paraId="581E0232" w14:textId="441EFB4E" w:rsidR="00EC58E9" w:rsidRPr="00A847B7" w:rsidRDefault="00180652" w:rsidP="00EC58E9">
      <w:pPr>
        <w:spacing w:beforeAutospacing="1" w:after="100" w:afterAutospacing="1"/>
        <w:rPr>
          <w:rFonts w:cstheme="minorHAnsi"/>
        </w:rPr>
      </w:pPr>
      <w:r w:rsidRPr="00A847B7">
        <w:rPr>
          <w:rFonts w:cstheme="minorHAnsi"/>
        </w:rPr>
        <w:t xml:space="preserve">L’option pour ce dispositif de neutralisation fiscale </w:t>
      </w:r>
      <w:r w:rsidR="00D66C56" w:rsidRPr="00A847B7">
        <w:rPr>
          <w:rFonts w:cstheme="minorHAnsi"/>
        </w:rPr>
        <w:t>des réévaluations</w:t>
      </w:r>
      <w:r w:rsidRPr="00A847B7">
        <w:rPr>
          <w:rFonts w:cstheme="minorHAnsi"/>
        </w:rPr>
        <w:t xml:space="preserve"> d’actifs suppose une option de l’entreprise, établie sur u</w:t>
      </w:r>
      <w:r w:rsidR="00995A9B" w:rsidRPr="00A847B7">
        <w:rPr>
          <w:rFonts w:cstheme="minorHAnsi"/>
        </w:rPr>
        <w:t xml:space="preserve">n état dont le contenu devra être précisé par </w:t>
      </w:r>
      <w:r w:rsidR="003E7A60">
        <w:rPr>
          <w:rFonts w:cstheme="minorHAnsi"/>
        </w:rPr>
        <w:t>d</w:t>
      </w:r>
      <w:r w:rsidR="003E7A60" w:rsidRPr="00A847B7">
        <w:rPr>
          <w:rFonts w:cstheme="minorHAnsi"/>
        </w:rPr>
        <w:t>écret</w:t>
      </w:r>
      <w:r w:rsidR="00995A9B" w:rsidRPr="00A847B7">
        <w:rPr>
          <w:rFonts w:cstheme="minorHAnsi"/>
        </w:rPr>
        <w:t>.</w:t>
      </w:r>
    </w:p>
    <w:p w14:paraId="12470C89" w14:textId="77777777" w:rsidR="00EC58E9" w:rsidRPr="00A847B7" w:rsidRDefault="00EC58E9" w:rsidP="00EC58E9"/>
    <w:p w14:paraId="0CEFFEDA" w14:textId="3690B036" w:rsidR="007B0F21" w:rsidRPr="00A847B7" w:rsidRDefault="007B0F21" w:rsidP="007B0F21">
      <w:pPr>
        <w:pStyle w:val="Titre3"/>
      </w:pPr>
      <w:bookmarkStart w:id="72" w:name="_Toc60780999"/>
      <w:r w:rsidRPr="00A847B7">
        <w:t xml:space="preserve">Slide </w:t>
      </w:r>
      <w:r w:rsidR="001B62D1">
        <w:t>45</w:t>
      </w:r>
      <w:r w:rsidRPr="00A847B7">
        <w:t> : Organisme de gestion agréé</w:t>
      </w:r>
      <w:bookmarkEnd w:id="72"/>
    </w:p>
    <w:p w14:paraId="6E109F20" w14:textId="31D57FA3" w:rsidR="007B0F21" w:rsidRPr="00A847B7" w:rsidRDefault="00147770" w:rsidP="007B0F21">
      <w:r w:rsidRPr="004F587E">
        <w:rPr>
          <w:u w:val="single"/>
        </w:rPr>
        <w:t xml:space="preserve">Source </w:t>
      </w:r>
      <w:r w:rsidRPr="00A847B7">
        <w:t>:</w:t>
      </w:r>
      <w:r w:rsidR="007B0F21" w:rsidRPr="00A847B7">
        <w:t xml:space="preserve"> Loi de Finances pour </w:t>
      </w:r>
      <w:r w:rsidR="007B0F21" w:rsidRPr="0013047D">
        <w:t xml:space="preserve">2021, </w:t>
      </w:r>
      <w:r w:rsidR="007B0F21" w:rsidRPr="00A72EF5">
        <w:t xml:space="preserve">article </w:t>
      </w:r>
      <w:r w:rsidR="007B0F21" w:rsidRPr="0013047D">
        <w:t>34</w:t>
      </w:r>
    </w:p>
    <w:p w14:paraId="0EB575BB" w14:textId="751C231F" w:rsidR="007B0F21" w:rsidRPr="00A847B7" w:rsidRDefault="007B0F21" w:rsidP="007B0F21">
      <w:pPr>
        <w:spacing w:beforeAutospacing="1" w:after="100" w:afterAutospacing="1"/>
        <w:rPr>
          <w:rFonts w:cstheme="minorHAnsi"/>
        </w:rPr>
      </w:pPr>
      <w:r w:rsidRPr="00A847B7">
        <w:rPr>
          <w:rFonts w:cstheme="minorHAnsi"/>
        </w:rPr>
        <w:lastRenderedPageBreak/>
        <w:t xml:space="preserve">Pour rappel, les entreprises relevant de l’impôt sur le revenu, </w:t>
      </w:r>
      <w:r w:rsidRPr="00A847B7">
        <w:rPr>
          <w:rFonts w:eastAsia="Times New Roman" w:cs="Arial"/>
          <w:lang w:eastAsia="fr-FR"/>
        </w:rPr>
        <w:t>et soumises à un régime réel d’imposition (régime simplifié ou normal pour les commerçants, artisans, industriels, et régime de la déclaration contrôlée pour les professions libérales),</w:t>
      </w:r>
      <w:r w:rsidRPr="00A847B7">
        <w:rPr>
          <w:rFonts w:cstheme="minorHAnsi"/>
        </w:rPr>
        <w:t xml:space="preserve"> qui n’adhèrent pas à un organisme de gestion agréé ou qui ne font pas appel à un expert-comptable pour l’établissement de leur résultat fiscal sont pénalisées : leur base d’imposition e</w:t>
      </w:r>
      <w:r w:rsidR="001D0A86">
        <w:rPr>
          <w:rFonts w:cstheme="minorHAnsi"/>
        </w:rPr>
        <w:t>s</w:t>
      </w:r>
      <w:r w:rsidRPr="00A847B7">
        <w:rPr>
          <w:rFonts w:cstheme="minorHAnsi"/>
        </w:rPr>
        <w:t xml:space="preserve">t majorée de 25 % (application d’un coefficient de 1,25). </w:t>
      </w:r>
    </w:p>
    <w:p w14:paraId="62723803" w14:textId="77777777" w:rsidR="007B0F21" w:rsidRPr="00A847B7" w:rsidRDefault="007B0F21" w:rsidP="007B0F21">
      <w:pPr>
        <w:spacing w:beforeAutospacing="1" w:after="100" w:afterAutospacing="1"/>
        <w:rPr>
          <w:rFonts w:cstheme="minorHAnsi"/>
        </w:rPr>
      </w:pPr>
      <w:r w:rsidRPr="00A847B7">
        <w:rPr>
          <w:rFonts w:cstheme="minorHAnsi"/>
        </w:rPr>
        <w:t>La Loi prévoit la suppression progressive de cette majoration sur 3 ans. Le coefficient, appliqué au résultat fiscal pour déterminer le montant imposable sera donc de :</w:t>
      </w:r>
    </w:p>
    <w:p w14:paraId="52DBA3F4" w14:textId="77777777" w:rsidR="007B0F21" w:rsidRPr="00A847B7" w:rsidRDefault="007B0F21" w:rsidP="00EE0687">
      <w:pPr>
        <w:pStyle w:val="Paragraphedeliste"/>
        <w:numPr>
          <w:ilvl w:val="0"/>
          <w:numId w:val="77"/>
        </w:numPr>
        <w:spacing w:beforeAutospacing="1" w:after="100" w:afterAutospacing="1"/>
        <w:rPr>
          <w:rFonts w:cstheme="minorHAnsi"/>
        </w:rPr>
      </w:pPr>
      <w:r w:rsidRPr="00A847B7">
        <w:rPr>
          <w:rFonts w:cstheme="minorHAnsi"/>
        </w:rPr>
        <w:t xml:space="preserve">1,2 pour l’imposition </w:t>
      </w:r>
      <w:r>
        <w:rPr>
          <w:rFonts w:cstheme="minorHAnsi"/>
        </w:rPr>
        <w:t>du résultat</w:t>
      </w:r>
      <w:r w:rsidRPr="00A847B7">
        <w:rPr>
          <w:rFonts w:cstheme="minorHAnsi"/>
        </w:rPr>
        <w:t xml:space="preserve"> 2020,</w:t>
      </w:r>
    </w:p>
    <w:p w14:paraId="4F2DB1D0" w14:textId="77777777" w:rsidR="007B0F21" w:rsidRPr="00A847B7" w:rsidRDefault="007B0F21" w:rsidP="00EE0687">
      <w:pPr>
        <w:pStyle w:val="Paragraphedeliste"/>
        <w:numPr>
          <w:ilvl w:val="0"/>
          <w:numId w:val="77"/>
        </w:numPr>
        <w:spacing w:beforeAutospacing="1" w:after="100" w:afterAutospacing="1"/>
        <w:rPr>
          <w:rFonts w:cstheme="minorHAnsi"/>
        </w:rPr>
      </w:pPr>
      <w:r w:rsidRPr="00A847B7">
        <w:rPr>
          <w:rFonts w:cstheme="minorHAnsi"/>
        </w:rPr>
        <w:t>1,15 pour l’imposition du résultat 2021,</w:t>
      </w:r>
    </w:p>
    <w:p w14:paraId="270B612A" w14:textId="77777777" w:rsidR="007B0F21" w:rsidRPr="00A847B7" w:rsidRDefault="007B0F21" w:rsidP="00EE0687">
      <w:pPr>
        <w:pStyle w:val="Paragraphedeliste"/>
        <w:numPr>
          <w:ilvl w:val="0"/>
          <w:numId w:val="77"/>
        </w:numPr>
        <w:spacing w:beforeAutospacing="1" w:after="100" w:afterAutospacing="1"/>
        <w:rPr>
          <w:rFonts w:cstheme="minorHAnsi"/>
        </w:rPr>
      </w:pPr>
      <w:r w:rsidRPr="00A847B7">
        <w:rPr>
          <w:rFonts w:cstheme="minorHAnsi"/>
        </w:rPr>
        <w:t>1,1 pour l’imposition du résultat 2022</w:t>
      </w:r>
    </w:p>
    <w:p w14:paraId="7A9B519C" w14:textId="77777777" w:rsidR="007B0F21" w:rsidRPr="00A847B7" w:rsidRDefault="007B0F21" w:rsidP="00EE0687">
      <w:pPr>
        <w:pStyle w:val="Paragraphedeliste"/>
        <w:numPr>
          <w:ilvl w:val="0"/>
          <w:numId w:val="77"/>
        </w:numPr>
        <w:spacing w:beforeAutospacing="1" w:after="100" w:afterAutospacing="1"/>
        <w:rPr>
          <w:rFonts w:cstheme="minorHAnsi"/>
        </w:rPr>
      </w:pPr>
      <w:r w:rsidRPr="00A847B7">
        <w:rPr>
          <w:rFonts w:cstheme="minorHAnsi"/>
        </w:rPr>
        <w:t>1 pour l’imposition du résultat 2023.</w:t>
      </w:r>
    </w:p>
    <w:p w14:paraId="3396C735" w14:textId="77777777" w:rsidR="007B0F21" w:rsidRPr="00A847B7" w:rsidRDefault="007B0F21" w:rsidP="007B0F21">
      <w:pPr>
        <w:spacing w:beforeAutospacing="1" w:after="100" w:afterAutospacing="1"/>
        <w:rPr>
          <w:rFonts w:cstheme="minorHAnsi"/>
        </w:rPr>
      </w:pPr>
    </w:p>
    <w:p w14:paraId="7515FD20" w14:textId="74E8D6BE" w:rsidR="007B0F21" w:rsidRPr="00A847B7" w:rsidRDefault="007B0F21" w:rsidP="007B0F21">
      <w:pPr>
        <w:pStyle w:val="Titre3"/>
      </w:pPr>
      <w:bookmarkStart w:id="73" w:name="_Toc60781000"/>
      <w:r w:rsidRPr="00A847B7">
        <w:t xml:space="preserve">Slide </w:t>
      </w:r>
      <w:r w:rsidR="009451B7">
        <w:t>46</w:t>
      </w:r>
      <w:r w:rsidRPr="00A847B7">
        <w:t> : Taux réduit d’IS à 15 %</w:t>
      </w:r>
      <w:bookmarkEnd w:id="73"/>
    </w:p>
    <w:p w14:paraId="679C9AC0" w14:textId="40BB004F" w:rsidR="007B0F21" w:rsidRPr="00A847B7" w:rsidRDefault="00147770" w:rsidP="00241B43">
      <w:pPr>
        <w:rPr>
          <w:rFonts w:cstheme="minorHAnsi"/>
          <w:highlight w:val="yellow"/>
        </w:rPr>
      </w:pPr>
      <w:r w:rsidRPr="004F587E">
        <w:rPr>
          <w:u w:val="single"/>
        </w:rPr>
        <w:t xml:space="preserve">Source </w:t>
      </w:r>
      <w:r w:rsidRPr="00A847B7">
        <w:t>:</w:t>
      </w:r>
      <w:r w:rsidR="007B0F21" w:rsidRPr="00A847B7">
        <w:t xml:space="preserve"> Loi de Finances pour </w:t>
      </w:r>
      <w:r w:rsidR="007B0F21" w:rsidRPr="00211710">
        <w:t>2021</w:t>
      </w:r>
      <w:r w:rsidR="007B0F21" w:rsidRPr="00F80B6F">
        <w:t xml:space="preserve">, </w:t>
      </w:r>
      <w:r w:rsidR="007B0F21" w:rsidRPr="00905C0E">
        <w:t>article 18</w:t>
      </w:r>
      <w:r w:rsidR="007B0F21" w:rsidRPr="00905C0E">
        <w:rPr>
          <w:rFonts w:cstheme="minorHAnsi"/>
        </w:rPr>
        <w:t xml:space="preserve"> </w:t>
      </w:r>
    </w:p>
    <w:p w14:paraId="7DE9A7C4" w14:textId="77777777" w:rsidR="007B0F21" w:rsidRPr="00A847B7" w:rsidRDefault="007B0F21" w:rsidP="00EE0687">
      <w:pPr>
        <w:pStyle w:val="Paragraphedeliste"/>
        <w:numPr>
          <w:ilvl w:val="0"/>
          <w:numId w:val="123"/>
        </w:numPr>
        <w:rPr>
          <w:b/>
          <w:i/>
          <w:u w:val="single"/>
        </w:rPr>
      </w:pPr>
      <w:r w:rsidRPr="00A847B7">
        <w:rPr>
          <w:b/>
          <w:bCs/>
          <w:i/>
          <w:iCs/>
          <w:u w:val="single"/>
        </w:rPr>
        <w:t>Le principe</w:t>
      </w:r>
    </w:p>
    <w:p w14:paraId="07D5F940" w14:textId="77777777" w:rsidR="007B0F21" w:rsidRPr="00A847B7" w:rsidRDefault="007B0F21" w:rsidP="007B0F21">
      <w:r w:rsidRPr="00A847B7">
        <w:t>Actuellement, certaines entreprises bénéficient d’un taux d’IS fixé à 15 %, sous conditions, applicable à la fraction du bénéfice inférieure à 38 120 €.</w:t>
      </w:r>
    </w:p>
    <w:p w14:paraId="36C7C738" w14:textId="77777777" w:rsidR="007B0F21" w:rsidRPr="00A847B7" w:rsidRDefault="007B0F21" w:rsidP="007B0F21">
      <w:pPr>
        <w:rPr>
          <w:lang w:eastAsia="fr-FR"/>
        </w:rPr>
      </w:pPr>
      <w:r w:rsidRPr="00A847B7">
        <w:rPr>
          <w:lang w:eastAsia="fr-FR"/>
        </w:rPr>
        <w:t xml:space="preserve">Ce taux réduit de 15 % est réservé aux sociétés dont le chiffre d'affaires n'excède pas 7 630 000 € et dont le capital, entièrement libéré, est détenu de manière continue, pour 75 % au moins, par des personnes physiques (ou par une ou plusieurs sociétés répondant elle(s)-même(s) à ces critères). </w:t>
      </w:r>
    </w:p>
    <w:p w14:paraId="29328750" w14:textId="77777777" w:rsidR="007B0F21" w:rsidRPr="00A847B7" w:rsidRDefault="007B0F21" w:rsidP="00EE0687">
      <w:pPr>
        <w:pStyle w:val="Paragraphedeliste"/>
        <w:numPr>
          <w:ilvl w:val="0"/>
          <w:numId w:val="122"/>
        </w:numPr>
        <w:spacing w:beforeAutospacing="1" w:after="100" w:afterAutospacing="1"/>
        <w:rPr>
          <w:rFonts w:cstheme="minorHAnsi"/>
          <w:b/>
          <w:bCs/>
          <w:i/>
          <w:iCs/>
          <w:u w:val="single"/>
        </w:rPr>
      </w:pPr>
      <w:r w:rsidRPr="00A847B7">
        <w:rPr>
          <w:rFonts w:cstheme="minorHAnsi"/>
          <w:b/>
          <w:bCs/>
          <w:i/>
          <w:iCs/>
          <w:u w:val="single"/>
        </w:rPr>
        <w:t>Les aménagements</w:t>
      </w:r>
    </w:p>
    <w:p w14:paraId="127DC4FB" w14:textId="77777777" w:rsidR="007B0F21" w:rsidRPr="00A847B7" w:rsidRDefault="007B0F21" w:rsidP="007B0F21">
      <w:pPr>
        <w:spacing w:beforeAutospacing="1" w:after="100" w:afterAutospacing="1"/>
        <w:rPr>
          <w:rFonts w:cstheme="minorHAnsi"/>
        </w:rPr>
      </w:pPr>
      <w:r w:rsidRPr="00A847B7">
        <w:rPr>
          <w:rFonts w:cstheme="minorHAnsi"/>
        </w:rPr>
        <w:t>L’application du taux réduit d’impôt sur les sociétés de 15 % à la fraction du bénéfice inférieure à 38 120 € sera ouvert aux PME dont le chiffre d’affaires n’excède pas 10 M€.</w:t>
      </w:r>
    </w:p>
    <w:p w14:paraId="7DFA9E82" w14:textId="77777777" w:rsidR="007B0F21" w:rsidRPr="00A847B7" w:rsidRDefault="007B0F21" w:rsidP="007B0F21">
      <w:pPr>
        <w:spacing w:beforeAutospacing="1" w:after="100" w:afterAutospacing="1"/>
        <w:rPr>
          <w:rFonts w:cstheme="minorHAnsi"/>
        </w:rPr>
      </w:pPr>
      <w:r w:rsidRPr="00A847B7">
        <w:rPr>
          <w:rFonts w:cstheme="minorHAnsi"/>
        </w:rPr>
        <w:t>Cet aménagement s’appliquera aux exercices ouverts à compter du 1</w:t>
      </w:r>
      <w:r w:rsidRPr="00A847B7">
        <w:rPr>
          <w:rFonts w:cstheme="minorHAnsi"/>
          <w:vertAlign w:val="superscript"/>
        </w:rPr>
        <w:t>er</w:t>
      </w:r>
      <w:r w:rsidRPr="00A847B7">
        <w:rPr>
          <w:rFonts w:cstheme="minorHAnsi"/>
        </w:rPr>
        <w:t xml:space="preserve"> janvier 2021.</w:t>
      </w:r>
    </w:p>
    <w:p w14:paraId="129FCC74" w14:textId="77777777" w:rsidR="007B0F21" w:rsidRPr="00A847B7" w:rsidRDefault="007B0F21" w:rsidP="007B0F21">
      <w:pPr>
        <w:spacing w:beforeAutospacing="1" w:after="100" w:afterAutospacing="1"/>
        <w:rPr>
          <w:rFonts w:cstheme="minorHAnsi"/>
        </w:rPr>
      </w:pPr>
    </w:p>
    <w:p w14:paraId="3ECA0805" w14:textId="747A538B" w:rsidR="007B0F21" w:rsidRPr="00A847B7" w:rsidRDefault="007B0F21" w:rsidP="007B0F21">
      <w:pPr>
        <w:pStyle w:val="Titre3"/>
      </w:pPr>
      <w:bookmarkStart w:id="74" w:name="_Toc60781001"/>
      <w:r w:rsidRPr="00A847B7">
        <w:t xml:space="preserve">Slide </w:t>
      </w:r>
      <w:r w:rsidR="00C41DA4">
        <w:t>47</w:t>
      </w:r>
      <w:r w:rsidRPr="00A847B7">
        <w:t> : Entreprises en difficultés</w:t>
      </w:r>
      <w:bookmarkEnd w:id="74"/>
    </w:p>
    <w:p w14:paraId="67A27690" w14:textId="62A90193" w:rsidR="007B0F21" w:rsidRPr="009132FB" w:rsidRDefault="00147770" w:rsidP="007B0F21">
      <w:r w:rsidRPr="004F587E">
        <w:rPr>
          <w:u w:val="single"/>
        </w:rPr>
        <w:t xml:space="preserve">Source </w:t>
      </w:r>
      <w:r w:rsidRPr="00A847B7">
        <w:t>:</w:t>
      </w:r>
      <w:r w:rsidR="007B0F21" w:rsidRPr="00A847B7">
        <w:t xml:space="preserve"> Loi de Finances pour </w:t>
      </w:r>
      <w:r w:rsidR="007B0F21" w:rsidRPr="00F80B6F">
        <w:t xml:space="preserve">2021, </w:t>
      </w:r>
      <w:r w:rsidR="007B0F21" w:rsidRPr="00905C0E">
        <w:t xml:space="preserve">article </w:t>
      </w:r>
      <w:r w:rsidR="007B0F21" w:rsidRPr="00F80B6F">
        <w:t>19</w:t>
      </w:r>
    </w:p>
    <w:p w14:paraId="5EAB6ED7" w14:textId="77777777" w:rsidR="007B0F21" w:rsidRPr="00881270" w:rsidRDefault="007B0F21" w:rsidP="00EE0687">
      <w:pPr>
        <w:pStyle w:val="Paragraphedeliste"/>
        <w:numPr>
          <w:ilvl w:val="0"/>
          <w:numId w:val="150"/>
        </w:numPr>
        <w:rPr>
          <w:b/>
          <w:bCs/>
          <w:i/>
          <w:iCs/>
          <w:u w:val="single"/>
        </w:rPr>
      </w:pPr>
      <w:r w:rsidRPr="00184987">
        <w:rPr>
          <w:b/>
          <w:bCs/>
          <w:i/>
          <w:iCs/>
          <w:u w:val="single"/>
        </w:rPr>
        <w:t>Abandons de créances</w:t>
      </w:r>
    </w:p>
    <w:p w14:paraId="71C829F6" w14:textId="77777777" w:rsidR="007B0F21" w:rsidRPr="00A847B7" w:rsidRDefault="007B0F21" w:rsidP="007B0F21">
      <w:r w:rsidRPr="00A847B7">
        <w:t xml:space="preserve">Actuellement, les abandons de créance à caractère commercial accordés par une entreprise à une autre </w:t>
      </w:r>
      <w:proofErr w:type="gramStart"/>
      <w:r w:rsidRPr="00A847B7">
        <w:t>sont</w:t>
      </w:r>
      <w:proofErr w:type="gramEnd"/>
      <w:r w:rsidRPr="00A847B7">
        <w:t xml:space="preserve"> déductibles </w:t>
      </w:r>
      <w:r>
        <w:t xml:space="preserve">y compris lorsqu’ils ne sont pas accomplis dans l’intérêt de l’exploitation de l’entreprise qui le consent </w:t>
      </w:r>
      <w:r w:rsidRPr="00A847B7">
        <w:t>s’ils interviennent dans le cadre d’un plan de sauvegarde ou de redressement judiciaire, sans conditions ni limites ; corrélativement, un tel abandon est imposable au niveau de l’entreprise qui le reçoit.</w:t>
      </w:r>
    </w:p>
    <w:p w14:paraId="26FEA5E0" w14:textId="77777777" w:rsidR="007B0F21" w:rsidRPr="00A847B7" w:rsidRDefault="007B0F21" w:rsidP="007B0F21">
      <w:r w:rsidRPr="00A847B7">
        <w:t>La Loi de Finances pour 2021 précise que le même régime fiscal s’applique aux abandons de créance consentis en application d’un accord constaté ou homologué par le juge dans le cadre d’une procédure de conciliation.</w:t>
      </w:r>
    </w:p>
    <w:p w14:paraId="122E3E3F" w14:textId="77777777" w:rsidR="007B0F21" w:rsidRPr="00A847B7" w:rsidRDefault="007B0F21" w:rsidP="007B0F21">
      <w:r w:rsidRPr="00A847B7">
        <w:lastRenderedPageBreak/>
        <w:t xml:space="preserve">Cette mesure s’appliquera aux abandons consentis à compter du </w:t>
      </w:r>
      <w:r w:rsidRPr="00F06ADE">
        <w:t>1</w:t>
      </w:r>
      <w:r w:rsidRPr="00F06ADE">
        <w:rPr>
          <w:vertAlign w:val="superscript"/>
        </w:rPr>
        <w:t>er</w:t>
      </w:r>
      <w:r w:rsidRPr="00F06ADE">
        <w:t xml:space="preserve"> janvier 2021.</w:t>
      </w:r>
    </w:p>
    <w:p w14:paraId="1316AF63" w14:textId="77777777" w:rsidR="007B0F21" w:rsidRPr="00A847B7" w:rsidRDefault="007B0F21" w:rsidP="00EE0687">
      <w:pPr>
        <w:pStyle w:val="Paragraphedeliste"/>
        <w:numPr>
          <w:ilvl w:val="0"/>
          <w:numId w:val="151"/>
        </w:numPr>
        <w:rPr>
          <w:b/>
          <w:bCs/>
          <w:i/>
          <w:iCs/>
          <w:u w:val="single"/>
        </w:rPr>
      </w:pPr>
      <w:r w:rsidRPr="00A847B7">
        <w:rPr>
          <w:b/>
          <w:bCs/>
          <w:i/>
          <w:iCs/>
          <w:u w:val="single"/>
        </w:rPr>
        <w:t>Créance de carry-back</w:t>
      </w:r>
    </w:p>
    <w:p w14:paraId="68531ACA" w14:textId="76FCA0F2" w:rsidR="007B0F21" w:rsidRPr="00A847B7" w:rsidRDefault="007B0F21" w:rsidP="007B0F21">
      <w:r w:rsidRPr="00A847B7">
        <w:t xml:space="preserve">La Loi de Finances pour 2021 précise que les entreprises </w:t>
      </w:r>
      <w:r>
        <w:t>(soumises à l’impôt sur les sociétés)</w:t>
      </w:r>
      <w:r w:rsidRPr="00F06ADE">
        <w:t xml:space="preserve"> </w:t>
      </w:r>
      <w:r w:rsidRPr="00A847B7">
        <w:t xml:space="preserve">faisant l’objet d’une procédure de conciliation </w:t>
      </w:r>
      <w:r>
        <w:t>peuvent</w:t>
      </w:r>
      <w:r w:rsidRPr="00A847B7">
        <w:t xml:space="preserve"> obtenir le remboursement de leurs créances de carry-back constatées à compter du </w:t>
      </w:r>
      <w:r w:rsidRPr="00F06ADE">
        <w:t>1</w:t>
      </w:r>
      <w:r w:rsidRPr="00F06ADE">
        <w:rPr>
          <w:vertAlign w:val="superscript"/>
        </w:rPr>
        <w:t>er</w:t>
      </w:r>
      <w:r w:rsidRPr="00F06ADE">
        <w:t xml:space="preserve"> janvier 2021 </w:t>
      </w:r>
      <w:r w:rsidRPr="00A847B7">
        <w:t>et non encore utilisées à la date de la décision du tribunal ouvrant la procédure.</w:t>
      </w:r>
    </w:p>
    <w:p w14:paraId="5737AF91" w14:textId="77777777" w:rsidR="007B0F21" w:rsidRPr="00A847B7" w:rsidRDefault="007B0F21" w:rsidP="007B0F21"/>
    <w:p w14:paraId="4AB8AB7A" w14:textId="4A3FD22B" w:rsidR="00EC58E9" w:rsidRPr="00A847B7" w:rsidRDefault="00EC58E9" w:rsidP="00EC58E9">
      <w:pPr>
        <w:pStyle w:val="Titre3"/>
      </w:pPr>
      <w:bookmarkStart w:id="75" w:name="_Toc60781002"/>
      <w:r w:rsidRPr="00A847B7">
        <w:t xml:space="preserve">Slide </w:t>
      </w:r>
      <w:r w:rsidR="00AA229F">
        <w:t>48</w:t>
      </w:r>
      <w:r w:rsidR="00081112" w:rsidRPr="00A847B7">
        <w:t> </w:t>
      </w:r>
      <w:r w:rsidRPr="00A847B7">
        <w:t xml:space="preserve">: </w:t>
      </w:r>
      <w:r w:rsidR="0004102E" w:rsidRPr="00A847B7">
        <w:t>Opération</w:t>
      </w:r>
      <w:r w:rsidR="00F23C46">
        <w:t>s</w:t>
      </w:r>
      <w:r w:rsidR="0004102E" w:rsidRPr="00A847B7">
        <w:t xml:space="preserve"> de cession-bail d’immeuble</w:t>
      </w:r>
      <w:bookmarkEnd w:id="75"/>
      <w:r w:rsidR="0004102E" w:rsidRPr="00A847B7">
        <w:t xml:space="preserve"> </w:t>
      </w:r>
    </w:p>
    <w:p w14:paraId="29973AA4" w14:textId="75477B37" w:rsidR="00EC58E9" w:rsidRPr="00A847B7" w:rsidRDefault="00147770" w:rsidP="00EC58E9">
      <w:r w:rsidRPr="004F587E">
        <w:rPr>
          <w:u w:val="single"/>
        </w:rPr>
        <w:t xml:space="preserve">Source </w:t>
      </w:r>
      <w:r w:rsidRPr="00A847B7">
        <w:t>:</w:t>
      </w:r>
      <w:r w:rsidR="0004102E" w:rsidRPr="00A847B7">
        <w:t xml:space="preserve"> Loi de Finances </w:t>
      </w:r>
      <w:r w:rsidR="00B902C2" w:rsidRPr="00A847B7">
        <w:t xml:space="preserve">pour 2021, </w:t>
      </w:r>
      <w:r w:rsidR="00B902C2" w:rsidRPr="00905C0E">
        <w:t xml:space="preserve">article </w:t>
      </w:r>
      <w:r w:rsidR="000134D8" w:rsidRPr="000134D8">
        <w:t>33</w:t>
      </w:r>
    </w:p>
    <w:p w14:paraId="29B17ED2" w14:textId="1142176F" w:rsidR="00EC58E9" w:rsidRPr="00A847B7" w:rsidRDefault="009E581F" w:rsidP="00EE0687">
      <w:pPr>
        <w:pStyle w:val="Paragraphedeliste"/>
        <w:numPr>
          <w:ilvl w:val="0"/>
          <w:numId w:val="74"/>
        </w:numPr>
        <w:spacing w:beforeAutospacing="1" w:after="100" w:afterAutospacing="1"/>
        <w:rPr>
          <w:rFonts w:cstheme="minorHAnsi"/>
          <w:b/>
          <w:i/>
          <w:u w:val="single"/>
        </w:rPr>
      </w:pPr>
      <w:r w:rsidRPr="00A847B7">
        <w:rPr>
          <w:rFonts w:cstheme="minorHAnsi"/>
          <w:b/>
          <w:bCs/>
          <w:i/>
          <w:iCs/>
          <w:u w:val="single"/>
        </w:rPr>
        <w:t>Le principe</w:t>
      </w:r>
    </w:p>
    <w:p w14:paraId="5882DBAC" w14:textId="16E26EC1" w:rsidR="00C8622E" w:rsidRPr="00A847B7" w:rsidRDefault="009E581F" w:rsidP="00EC58E9">
      <w:pPr>
        <w:spacing w:beforeAutospacing="1" w:after="100" w:afterAutospacing="1"/>
        <w:rPr>
          <w:rFonts w:cstheme="minorHAnsi"/>
        </w:rPr>
      </w:pPr>
      <w:r w:rsidRPr="00A847B7">
        <w:rPr>
          <w:rFonts w:cstheme="minorHAnsi"/>
        </w:rPr>
        <w:t>Le dispositif appelé cession-bail est une</w:t>
      </w:r>
      <w:r w:rsidR="00C20E6B" w:rsidRPr="00A847B7">
        <w:rPr>
          <w:rFonts w:cstheme="minorHAnsi"/>
        </w:rPr>
        <w:t xml:space="preserve"> opération qui consiste, pour une entreprise propriétaire d’un bien immobilier</w:t>
      </w:r>
      <w:r w:rsidR="001B0B54" w:rsidRPr="00A847B7">
        <w:rPr>
          <w:rFonts w:cstheme="minorHAnsi"/>
        </w:rPr>
        <w:t xml:space="preserve"> (appelée ici « crédit</w:t>
      </w:r>
      <w:r w:rsidR="009A12F7">
        <w:rPr>
          <w:rFonts w:cstheme="minorHAnsi"/>
        </w:rPr>
        <w:t>-</w:t>
      </w:r>
      <w:r w:rsidR="001B0B54" w:rsidRPr="00A847B7">
        <w:rPr>
          <w:rFonts w:cstheme="minorHAnsi"/>
        </w:rPr>
        <w:t>preneuse »)</w:t>
      </w:r>
      <w:r w:rsidR="00C20E6B" w:rsidRPr="00A847B7">
        <w:rPr>
          <w:rFonts w:cstheme="minorHAnsi"/>
        </w:rPr>
        <w:t>, à le céder à une société de crédit-bail immobilier (appelée « crédit-bailleur »</w:t>
      </w:r>
      <w:r w:rsidR="001B0B54" w:rsidRPr="00A847B7">
        <w:rPr>
          <w:rFonts w:cstheme="minorHAnsi"/>
        </w:rPr>
        <w:t xml:space="preserve">) qui le lui loue immédiatement au terme d’un contrat de crédit-bail </w:t>
      </w:r>
      <w:r w:rsidR="00B2390F" w:rsidRPr="00A847B7">
        <w:rPr>
          <w:rFonts w:cstheme="minorHAnsi"/>
        </w:rPr>
        <w:t>immobilier</w:t>
      </w:r>
      <w:r w:rsidR="001B0B54" w:rsidRPr="00A847B7">
        <w:rPr>
          <w:rFonts w:cstheme="minorHAnsi"/>
        </w:rPr>
        <w:t>.</w:t>
      </w:r>
      <w:r w:rsidR="00B2390F" w:rsidRPr="00A847B7">
        <w:rPr>
          <w:rFonts w:cstheme="minorHAnsi"/>
        </w:rPr>
        <w:t xml:space="preserve"> Cette opération est aussi connue sous le nom d’opération de lease-back. </w:t>
      </w:r>
    </w:p>
    <w:p w14:paraId="54910CB0" w14:textId="07BF9FB5" w:rsidR="008E27E4" w:rsidRPr="00A847B7" w:rsidRDefault="00B2390F" w:rsidP="00EC58E9">
      <w:pPr>
        <w:spacing w:beforeAutospacing="1" w:after="100" w:afterAutospacing="1"/>
        <w:rPr>
          <w:rFonts w:cstheme="minorHAnsi"/>
        </w:rPr>
      </w:pPr>
      <w:r w:rsidRPr="00A847B7">
        <w:rPr>
          <w:rFonts w:cstheme="minorHAnsi"/>
        </w:rPr>
        <w:t>Par principe, la plus-value que l’entreprise crédit</w:t>
      </w:r>
      <w:r w:rsidR="004772E2">
        <w:rPr>
          <w:rFonts w:cstheme="minorHAnsi"/>
        </w:rPr>
        <w:t>-</w:t>
      </w:r>
      <w:r w:rsidRPr="00A847B7">
        <w:rPr>
          <w:rFonts w:cstheme="minorHAnsi"/>
        </w:rPr>
        <w:t>preneuse est susceptible de réaliser à cette occasion est imposable au titre de</w:t>
      </w:r>
      <w:r w:rsidR="006A0D69" w:rsidRPr="00A847B7">
        <w:rPr>
          <w:rFonts w:cstheme="minorHAnsi"/>
        </w:rPr>
        <w:t xml:space="preserve"> </w:t>
      </w:r>
      <w:r w:rsidRPr="00A847B7">
        <w:rPr>
          <w:rFonts w:cstheme="minorHAnsi"/>
        </w:rPr>
        <w:t xml:space="preserve">l’exercice de réalisation </w:t>
      </w:r>
      <w:r w:rsidR="00B03ECA" w:rsidRPr="00A847B7">
        <w:rPr>
          <w:rFonts w:cstheme="minorHAnsi"/>
        </w:rPr>
        <w:t>de vente. Mais, à l’</w:t>
      </w:r>
      <w:r w:rsidR="006A0D69" w:rsidRPr="00A847B7">
        <w:rPr>
          <w:rFonts w:cstheme="minorHAnsi"/>
        </w:rPr>
        <w:t>instar</w:t>
      </w:r>
      <w:r w:rsidR="00B03ECA" w:rsidRPr="00A847B7">
        <w:rPr>
          <w:rFonts w:cstheme="minorHAnsi"/>
        </w:rPr>
        <w:t xml:space="preserve"> de ce qui a déjà existé par le passé, </w:t>
      </w:r>
      <w:r w:rsidR="00647AC0" w:rsidRPr="00A847B7">
        <w:rPr>
          <w:rFonts w:cstheme="minorHAnsi"/>
        </w:rPr>
        <w:t>un dispositif temporaire d’étalement de l’imposition est mis en place</w:t>
      </w:r>
      <w:r w:rsidR="009961B0" w:rsidRPr="00A847B7">
        <w:rPr>
          <w:rFonts w:cstheme="minorHAnsi"/>
        </w:rPr>
        <w:t xml:space="preserve"> pour les opérations réalisées à partir du 28 </w:t>
      </w:r>
      <w:r w:rsidR="006A0D69" w:rsidRPr="00A847B7">
        <w:rPr>
          <w:rFonts w:cstheme="minorHAnsi"/>
        </w:rPr>
        <w:t>septembre</w:t>
      </w:r>
      <w:r w:rsidR="009961B0" w:rsidRPr="00A847B7">
        <w:rPr>
          <w:rFonts w:cstheme="minorHAnsi"/>
        </w:rPr>
        <w:t xml:space="preserve"> 2020</w:t>
      </w:r>
      <w:r w:rsidR="008E27E4" w:rsidRPr="00A847B7">
        <w:rPr>
          <w:rFonts w:cstheme="minorHAnsi"/>
        </w:rPr>
        <w:t>.</w:t>
      </w:r>
    </w:p>
    <w:p w14:paraId="22631A19" w14:textId="3CE0840F" w:rsidR="00B2390F" w:rsidRPr="00A847B7" w:rsidRDefault="008E27E4" w:rsidP="00EC58E9">
      <w:pPr>
        <w:spacing w:beforeAutospacing="1" w:after="100" w:afterAutospacing="1"/>
        <w:rPr>
          <w:rFonts w:cstheme="minorHAnsi"/>
        </w:rPr>
      </w:pPr>
      <w:r w:rsidRPr="00A847B7">
        <w:rPr>
          <w:rFonts w:cstheme="minorHAnsi"/>
        </w:rPr>
        <w:t xml:space="preserve">Plus exactement, ce dispositif s’appliquera aux cessions d’immeubles </w:t>
      </w:r>
      <w:r w:rsidR="005C3D8A" w:rsidRPr="00A847B7">
        <w:rPr>
          <w:rFonts w:cstheme="minorHAnsi"/>
        </w:rPr>
        <w:t>réalisées à compter</w:t>
      </w:r>
      <w:r w:rsidR="007871B6" w:rsidRPr="00A847B7">
        <w:rPr>
          <w:rFonts w:cstheme="minorHAnsi"/>
        </w:rPr>
        <w:t xml:space="preserve"> du </w:t>
      </w:r>
      <w:r w:rsidR="005C3D8A" w:rsidRPr="00A847B7">
        <w:rPr>
          <w:rFonts w:cstheme="minorHAnsi"/>
        </w:rPr>
        <w:t>1</w:t>
      </w:r>
      <w:r w:rsidR="005C3D8A" w:rsidRPr="00A847B7">
        <w:rPr>
          <w:rFonts w:cstheme="minorHAnsi"/>
          <w:vertAlign w:val="superscript"/>
        </w:rPr>
        <w:t>er</w:t>
      </w:r>
      <w:r w:rsidR="005C3D8A" w:rsidRPr="00A847B7">
        <w:rPr>
          <w:rFonts w:cstheme="minorHAnsi"/>
        </w:rPr>
        <w:t xml:space="preserve"> janvier 2021 </w:t>
      </w:r>
      <w:r w:rsidR="007871B6" w:rsidRPr="00A847B7">
        <w:rPr>
          <w:rFonts w:cstheme="minorHAnsi"/>
        </w:rPr>
        <w:t xml:space="preserve">jusqu’au </w:t>
      </w:r>
      <w:r w:rsidR="005C3D8A" w:rsidRPr="00A847B7">
        <w:rPr>
          <w:rFonts w:cstheme="minorHAnsi"/>
        </w:rPr>
        <w:t>30 juin 2023</w:t>
      </w:r>
      <w:r w:rsidR="00AE6570" w:rsidRPr="00A847B7">
        <w:rPr>
          <w:rFonts w:cstheme="minorHAnsi"/>
        </w:rPr>
        <w:t>, précédée</w:t>
      </w:r>
      <w:r w:rsidR="008223FA">
        <w:rPr>
          <w:rFonts w:cstheme="minorHAnsi"/>
        </w:rPr>
        <w:t>s</w:t>
      </w:r>
      <w:r w:rsidR="00AE6570" w:rsidRPr="00A847B7">
        <w:rPr>
          <w:rFonts w:cstheme="minorHAnsi"/>
        </w:rPr>
        <w:t xml:space="preserve"> d’un ac</w:t>
      </w:r>
      <w:r w:rsidR="004E40FD" w:rsidRPr="00A847B7">
        <w:rPr>
          <w:rFonts w:cstheme="minorHAnsi"/>
        </w:rPr>
        <w:t>c</w:t>
      </w:r>
      <w:r w:rsidR="00AE6570" w:rsidRPr="00A847B7">
        <w:rPr>
          <w:rFonts w:cstheme="minorHAnsi"/>
        </w:rPr>
        <w:t>ord de financement accepté par l’entreprise crédit-</w:t>
      </w:r>
      <w:r w:rsidR="004E40FD" w:rsidRPr="00A847B7">
        <w:rPr>
          <w:rFonts w:cstheme="minorHAnsi"/>
        </w:rPr>
        <w:t>preneuse</w:t>
      </w:r>
      <w:r w:rsidR="00AE6570" w:rsidRPr="00A847B7">
        <w:rPr>
          <w:rFonts w:cstheme="minorHAnsi"/>
        </w:rPr>
        <w:t xml:space="preserve"> </w:t>
      </w:r>
      <w:r w:rsidR="006D01A8" w:rsidRPr="00A847B7">
        <w:rPr>
          <w:rFonts w:cstheme="minorHAnsi"/>
        </w:rPr>
        <w:t xml:space="preserve">à compter du 28 septembre </w:t>
      </w:r>
      <w:r w:rsidR="004E40FD" w:rsidRPr="00A847B7">
        <w:rPr>
          <w:rFonts w:cstheme="minorHAnsi"/>
        </w:rPr>
        <w:t xml:space="preserve">2020 et au plus tard le </w:t>
      </w:r>
      <w:r w:rsidR="002958E2" w:rsidRPr="00A847B7">
        <w:rPr>
          <w:rFonts w:cstheme="minorHAnsi"/>
        </w:rPr>
        <w:t>31 décembre 2022.</w:t>
      </w:r>
    </w:p>
    <w:p w14:paraId="4FD1FFD6" w14:textId="5274518A" w:rsidR="009E581F" w:rsidRPr="00A847B7" w:rsidRDefault="009E581F" w:rsidP="00EE0687">
      <w:pPr>
        <w:pStyle w:val="Paragraphedeliste"/>
        <w:numPr>
          <w:ilvl w:val="0"/>
          <w:numId w:val="75"/>
        </w:numPr>
        <w:spacing w:beforeAutospacing="1" w:after="100" w:afterAutospacing="1"/>
        <w:rPr>
          <w:rFonts w:cstheme="minorHAnsi"/>
          <w:b/>
          <w:bCs/>
          <w:i/>
          <w:iCs/>
          <w:u w:val="single"/>
        </w:rPr>
      </w:pPr>
      <w:r w:rsidRPr="00A847B7">
        <w:rPr>
          <w:rFonts w:cstheme="minorHAnsi"/>
          <w:b/>
          <w:bCs/>
          <w:i/>
          <w:iCs/>
          <w:u w:val="single"/>
        </w:rPr>
        <w:t>Les aménagements</w:t>
      </w:r>
    </w:p>
    <w:p w14:paraId="446FFC8B" w14:textId="5D5EA211" w:rsidR="00D66C56" w:rsidRPr="00A847B7" w:rsidRDefault="00034EBD" w:rsidP="00EC58E9">
      <w:pPr>
        <w:spacing w:beforeAutospacing="1" w:after="100" w:afterAutospacing="1"/>
      </w:pPr>
      <w:r w:rsidRPr="00A847B7">
        <w:t xml:space="preserve">Le montant de la plus-value de cession sera réparti par parts égales sur les exercices clos pendant la durée du contrat de crédit-bail sans excéder </w:t>
      </w:r>
      <w:r w:rsidR="004772E2">
        <w:t>15</w:t>
      </w:r>
      <w:r w:rsidR="004772E2" w:rsidRPr="00A847B7">
        <w:t xml:space="preserve"> </w:t>
      </w:r>
      <w:r w:rsidRPr="00A847B7">
        <w:t>ans.</w:t>
      </w:r>
    </w:p>
    <w:p w14:paraId="1B68ED57" w14:textId="5E809C88" w:rsidR="00F75FEB" w:rsidRPr="00A847B7" w:rsidRDefault="00F75FEB" w:rsidP="00EC58E9">
      <w:pPr>
        <w:spacing w:beforeAutospacing="1" w:after="100" w:afterAutospacing="1"/>
      </w:pPr>
      <w:r w:rsidRPr="00A847B7">
        <w:t>Sont visés les immeubles affectés par l’entreprise crédit-preneuse à son activité commerciale, industrielle, artisanale, libérale ou agricole.</w:t>
      </w:r>
    </w:p>
    <w:p w14:paraId="01026AC1" w14:textId="42E91C20" w:rsidR="00034EBD" w:rsidRPr="00A847B7" w:rsidRDefault="00034EBD" w:rsidP="00EC58E9">
      <w:pPr>
        <w:spacing w:beforeAutospacing="1" w:after="100" w:afterAutospacing="1"/>
      </w:pPr>
      <w:r w:rsidRPr="00A847B7">
        <w:t>Sont toutefois exclus du dispositif d’</w:t>
      </w:r>
      <w:r w:rsidR="009061BE" w:rsidRPr="00A847B7">
        <w:t>étalement</w:t>
      </w:r>
      <w:r w:rsidRPr="00A847B7">
        <w:t xml:space="preserve"> </w:t>
      </w:r>
      <w:r w:rsidR="009061BE" w:rsidRPr="00A847B7">
        <w:t>les ventes d’immeubles affectés par l’entreprise crédit-preneuse à des activités de gestion de son propre patrimoine</w:t>
      </w:r>
      <w:r w:rsidR="00E32654" w:rsidRPr="00A847B7">
        <w:t>, sauf si un tel immeuble est loué à une entreprise avec laquelle elle entretient des liens de dépenda</w:t>
      </w:r>
      <w:r w:rsidR="00DE0973" w:rsidRPr="00A847B7">
        <w:t>n</w:t>
      </w:r>
      <w:r w:rsidR="00E32654" w:rsidRPr="00A847B7">
        <w:t>ce</w:t>
      </w:r>
      <w:r w:rsidR="00DE0973" w:rsidRPr="00A847B7">
        <w:t xml:space="preserve"> pour </w:t>
      </w:r>
      <w:r w:rsidR="000E2E22" w:rsidRPr="00A847B7">
        <w:t>l</w:t>
      </w:r>
      <w:r w:rsidR="00DE0973" w:rsidRPr="00A847B7">
        <w:t xml:space="preserve">es besoins de son activité commerciale, </w:t>
      </w:r>
      <w:r w:rsidR="000E2E22" w:rsidRPr="00A847B7">
        <w:t>artisanale</w:t>
      </w:r>
      <w:r w:rsidR="00DE0973" w:rsidRPr="00A847B7">
        <w:t>, industrielle, libérale ou agricole.</w:t>
      </w:r>
    </w:p>
    <w:p w14:paraId="7FCAB2BD" w14:textId="77777777" w:rsidR="00A17EBA" w:rsidRPr="00A847B7" w:rsidRDefault="000E2E22" w:rsidP="00A17EBA">
      <w:pPr>
        <w:pStyle w:val="paragraphe-western"/>
        <w:rPr>
          <w:rFonts w:asciiTheme="minorHAnsi" w:hAnsiTheme="minorHAnsi"/>
          <w:sz w:val="20"/>
          <w:szCs w:val="20"/>
        </w:rPr>
      </w:pPr>
      <w:r w:rsidRPr="00A847B7">
        <w:rPr>
          <w:rFonts w:asciiTheme="minorHAnsi" w:hAnsiTheme="minorHAnsi"/>
          <w:sz w:val="20"/>
          <w:szCs w:val="20"/>
        </w:rPr>
        <w:t xml:space="preserve">Des liens de dépendance sont réputés caractérisés </w:t>
      </w:r>
      <w:r w:rsidR="00A17EBA" w:rsidRPr="00A847B7">
        <w:rPr>
          <w:rFonts w:asciiTheme="minorHAnsi" w:hAnsiTheme="minorHAnsi"/>
          <w:sz w:val="20"/>
          <w:szCs w:val="20"/>
        </w:rPr>
        <w:t>entre deux entreprises lorsque :</w:t>
      </w:r>
    </w:p>
    <w:p w14:paraId="1E37F692" w14:textId="4ED6BC2B" w:rsidR="00A17EBA" w:rsidRPr="00A847B7" w:rsidRDefault="00A17EBA" w:rsidP="00EE0687">
      <w:pPr>
        <w:pStyle w:val="Paragraphedeliste"/>
        <w:numPr>
          <w:ilvl w:val="0"/>
          <w:numId w:val="76"/>
        </w:numPr>
        <w:spacing w:beforeAutospacing="1" w:after="100" w:afterAutospacing="1" w:line="240" w:lineRule="auto"/>
        <w:rPr>
          <w:rFonts w:eastAsia="Times New Roman" w:cs="Times New Roman"/>
          <w:lang w:eastAsia="fr-FR"/>
        </w:rPr>
      </w:pPr>
      <w:r w:rsidRPr="00A847B7">
        <w:rPr>
          <w:rFonts w:eastAsia="Times New Roman" w:cs="Times New Roman"/>
          <w:lang w:eastAsia="fr-FR"/>
        </w:rPr>
        <w:t>l’une détient directement ou par personne interposée la majorité du capital social de l’autre ou y exerce en fait le pouvoir de décision ;</w:t>
      </w:r>
    </w:p>
    <w:p w14:paraId="63FB06E5" w14:textId="089423CC" w:rsidR="00A17EBA" w:rsidRPr="00A847B7" w:rsidRDefault="00A17EBA" w:rsidP="00EE0687">
      <w:pPr>
        <w:pStyle w:val="Paragraphedeliste"/>
        <w:numPr>
          <w:ilvl w:val="0"/>
          <w:numId w:val="76"/>
        </w:numPr>
        <w:spacing w:beforeAutospacing="1" w:after="100" w:afterAutospacing="1" w:line="240" w:lineRule="auto"/>
        <w:rPr>
          <w:rFonts w:eastAsia="Times New Roman" w:cs="Times New Roman"/>
          <w:lang w:eastAsia="fr-FR"/>
        </w:rPr>
      </w:pPr>
      <w:r w:rsidRPr="00A847B7">
        <w:rPr>
          <w:rFonts w:eastAsia="Times New Roman" w:cs="Times New Roman"/>
          <w:lang w:eastAsia="fr-FR"/>
        </w:rPr>
        <w:t>elles sont placées l’une et l’autre sous le contrôle d’une même tierce entreprise.</w:t>
      </w:r>
    </w:p>
    <w:p w14:paraId="3B03DC46" w14:textId="77777777" w:rsidR="002958E2" w:rsidRPr="00A847B7" w:rsidRDefault="002958E2" w:rsidP="00EC58E9">
      <w:pPr>
        <w:spacing w:beforeAutospacing="1" w:after="100" w:afterAutospacing="1"/>
        <w:rPr>
          <w:rFonts w:cstheme="minorHAnsi"/>
        </w:rPr>
      </w:pPr>
    </w:p>
    <w:p w14:paraId="16F21B15" w14:textId="1B3FCA70" w:rsidR="00D66C56" w:rsidRPr="00A847B7" w:rsidRDefault="00D66C56" w:rsidP="00D66C56">
      <w:pPr>
        <w:pStyle w:val="Titre3"/>
      </w:pPr>
      <w:bookmarkStart w:id="76" w:name="_Toc60781003"/>
      <w:r w:rsidRPr="00A847B7">
        <w:lastRenderedPageBreak/>
        <w:t xml:space="preserve">Slide </w:t>
      </w:r>
      <w:r w:rsidR="00346E41">
        <w:t>49</w:t>
      </w:r>
      <w:r w:rsidRPr="00A847B7">
        <w:t xml:space="preserve"> : </w:t>
      </w:r>
      <w:r w:rsidR="00851BED" w:rsidRPr="00A847B7">
        <w:t>Plus-values de cession d’un local professionnel ou d’un terrain à bâtir destiné à être transformé en logements</w:t>
      </w:r>
      <w:bookmarkEnd w:id="76"/>
    </w:p>
    <w:p w14:paraId="5C6A712D" w14:textId="71D3A6C3" w:rsidR="00C062A5" w:rsidRPr="00A847B7" w:rsidRDefault="00241B43" w:rsidP="00241B43">
      <w:pPr>
        <w:rPr>
          <w:rFonts w:cstheme="minorHAnsi"/>
          <w:highlight w:val="yellow"/>
        </w:rPr>
      </w:pPr>
      <w:r w:rsidRPr="004F587E">
        <w:rPr>
          <w:u w:val="single"/>
        </w:rPr>
        <w:t xml:space="preserve">Source </w:t>
      </w:r>
      <w:r w:rsidRPr="00A847B7">
        <w:t>:</w:t>
      </w:r>
      <w:r w:rsidR="00B20BEA" w:rsidRPr="00A847B7">
        <w:t xml:space="preserve"> Loi de Finances pour 2021, </w:t>
      </w:r>
      <w:r w:rsidR="00B20BEA" w:rsidRPr="003152F9">
        <w:t>a</w:t>
      </w:r>
      <w:r w:rsidR="00C062A5" w:rsidRPr="003152F9">
        <w:t>rticle</w:t>
      </w:r>
      <w:r w:rsidR="00C931CC" w:rsidRPr="003152F9">
        <w:t>s 17 et 25</w:t>
      </w:r>
    </w:p>
    <w:p w14:paraId="72193AD9" w14:textId="443AA7BC" w:rsidR="00B20BEA" w:rsidRPr="00A847B7" w:rsidRDefault="00895EF9" w:rsidP="00EE0687">
      <w:pPr>
        <w:pStyle w:val="Paragraphedeliste"/>
        <w:numPr>
          <w:ilvl w:val="0"/>
          <w:numId w:val="134"/>
        </w:numPr>
        <w:spacing w:beforeAutospacing="1" w:after="100" w:afterAutospacing="1"/>
        <w:rPr>
          <w:b/>
          <w:i/>
          <w:u w:val="single"/>
        </w:rPr>
      </w:pPr>
      <w:r w:rsidRPr="00A847B7">
        <w:rPr>
          <w:b/>
          <w:i/>
          <w:u w:val="single"/>
        </w:rPr>
        <w:t>Rappel du dispositif</w:t>
      </w:r>
    </w:p>
    <w:p w14:paraId="5B87E568" w14:textId="2D51091E" w:rsidR="00895EF9" w:rsidRPr="00A847B7" w:rsidRDefault="00895EF9" w:rsidP="00241B43">
      <w:pPr>
        <w:spacing w:beforeAutospacing="1" w:after="100" w:afterAutospacing="1"/>
        <w:rPr>
          <w:rFonts w:cstheme="minorHAnsi"/>
        </w:rPr>
      </w:pPr>
      <w:r w:rsidRPr="00A847B7">
        <w:rPr>
          <w:rFonts w:cstheme="minorHAnsi"/>
        </w:rPr>
        <w:t>Une société</w:t>
      </w:r>
      <w:r w:rsidR="009A629F">
        <w:rPr>
          <w:rFonts w:cstheme="minorHAnsi"/>
        </w:rPr>
        <w:t xml:space="preserve"> (soumise à l’impôt sur les sociétés)</w:t>
      </w:r>
      <w:r w:rsidRPr="00A847B7">
        <w:rPr>
          <w:rFonts w:cstheme="minorHAnsi"/>
        </w:rPr>
        <w:t xml:space="preserve"> qui décide de vendre un local professionnel ou un terrain à bâtir, et qui réalise à cette occasion une plus-value (c’est-à-dire un gain), peut, toutes conditions remplies, bénéficier d’une taxation à taux réduit.</w:t>
      </w:r>
    </w:p>
    <w:p w14:paraId="0778B5FB" w14:textId="77777777" w:rsidR="00895EF9" w:rsidRPr="00A847B7" w:rsidRDefault="00895EF9" w:rsidP="00895EF9">
      <w:pPr>
        <w:spacing w:beforeAutospacing="1" w:after="100" w:afterAutospacing="1"/>
        <w:rPr>
          <w:rFonts w:cstheme="minorHAnsi"/>
        </w:rPr>
      </w:pPr>
      <w:r w:rsidRPr="00A847B7">
        <w:rPr>
          <w:rFonts w:cstheme="minorHAnsi"/>
        </w:rPr>
        <w:t>Par principe, les plus-values nettes réalisées par les sociétés à l’IS à l’occasion de la vente d’un élément d’actif (par exemple une machine) sont taxées à l’IS dans les conditions de droit commun, donc au taux de 33 1/3 %, 28 % ou 15 %. Mais lorsque la société décide de vendre un local professionnel ou un terrain à bâtir, destiné à être transformé en logements, la plus-value pourra être taxée à l’IS au taux réduit de 19 %.</w:t>
      </w:r>
    </w:p>
    <w:p w14:paraId="3CEA0094" w14:textId="77777777" w:rsidR="00895EF9" w:rsidRPr="00A847B7" w:rsidRDefault="00895EF9" w:rsidP="00895EF9">
      <w:pPr>
        <w:spacing w:beforeAutospacing="1" w:after="100" w:afterAutospacing="1"/>
        <w:rPr>
          <w:rFonts w:cstheme="minorHAnsi"/>
        </w:rPr>
      </w:pPr>
      <w:r w:rsidRPr="00A847B7">
        <w:rPr>
          <w:rFonts w:cstheme="minorHAnsi"/>
        </w:rPr>
        <w:t>Pour bénéficier de l’avantage fiscal, la vente doit porter sur tout ou partie d’un local professionnel : local à usage de bureaux, local commercial ou, depuis le 1</w:t>
      </w:r>
      <w:r w:rsidRPr="00A847B7">
        <w:rPr>
          <w:rFonts w:cstheme="minorHAnsi"/>
          <w:vertAlign w:val="superscript"/>
        </w:rPr>
        <w:t>er</w:t>
      </w:r>
      <w:r w:rsidRPr="00A847B7">
        <w:rPr>
          <w:rFonts w:cstheme="minorHAnsi"/>
        </w:rPr>
        <w:t xml:space="preserve"> janvier 2017, local industriel.</w:t>
      </w:r>
    </w:p>
    <w:p w14:paraId="7824EF8D" w14:textId="77777777" w:rsidR="00895EF9" w:rsidRPr="00A847B7" w:rsidRDefault="00895EF9" w:rsidP="00895EF9">
      <w:pPr>
        <w:spacing w:beforeAutospacing="1" w:after="100" w:afterAutospacing="1"/>
        <w:rPr>
          <w:rFonts w:cstheme="minorHAnsi"/>
        </w:rPr>
      </w:pPr>
      <w:r w:rsidRPr="00A847B7">
        <w:rPr>
          <w:rFonts w:cstheme="minorHAnsi"/>
        </w:rPr>
        <w:t>Depuis le 1</w:t>
      </w:r>
      <w:r w:rsidRPr="00A847B7">
        <w:rPr>
          <w:rFonts w:cstheme="minorHAnsi"/>
          <w:vertAlign w:val="superscript"/>
        </w:rPr>
        <w:t>er</w:t>
      </w:r>
      <w:r w:rsidRPr="00A847B7">
        <w:rPr>
          <w:rFonts w:cstheme="minorHAnsi"/>
        </w:rPr>
        <w:t xml:space="preserve"> janvier 2018, sont également éligibles au taux réduit d’imposition les ventes de terrains à bâtir.</w:t>
      </w:r>
    </w:p>
    <w:p w14:paraId="3C06E07F" w14:textId="77777777" w:rsidR="00895EF9" w:rsidRPr="00A847B7" w:rsidRDefault="00895EF9" w:rsidP="00895EF9">
      <w:pPr>
        <w:spacing w:beforeAutospacing="1" w:after="100" w:afterAutospacing="1"/>
        <w:rPr>
          <w:rFonts w:cstheme="minorHAnsi"/>
        </w:rPr>
      </w:pPr>
      <w:r w:rsidRPr="00A847B7">
        <w:rPr>
          <w:rFonts w:cstheme="minorHAnsi"/>
        </w:rPr>
        <w:t>Toujours depuis le 1</w:t>
      </w:r>
      <w:r w:rsidRPr="00A847B7">
        <w:rPr>
          <w:rFonts w:cstheme="minorHAnsi"/>
          <w:vertAlign w:val="superscript"/>
        </w:rPr>
        <w:t>er</w:t>
      </w:r>
      <w:r w:rsidRPr="00A847B7">
        <w:rPr>
          <w:rFonts w:cstheme="minorHAnsi"/>
        </w:rPr>
        <w:t xml:space="preserve"> janvier 2018, l’avantage fiscal est conditionné au respect d’une localisation géographique précise : seules les ventes de locaux ou de terrains situés dans des communes se trouvant dans des zones géographiques se caractérisant par un déséquilibre particulièrement important entre l’offre et la demande de logements permettent de bénéficier du taux réduit d’imposition.</w:t>
      </w:r>
    </w:p>
    <w:p w14:paraId="6EDF2DBE" w14:textId="77777777" w:rsidR="00895EF9" w:rsidRPr="00A847B7" w:rsidRDefault="00895EF9" w:rsidP="00895EF9">
      <w:pPr>
        <w:spacing w:beforeAutospacing="1" w:after="100" w:afterAutospacing="1"/>
        <w:rPr>
          <w:rFonts w:cstheme="minorHAnsi"/>
        </w:rPr>
      </w:pPr>
      <w:r w:rsidRPr="00A847B7">
        <w:rPr>
          <w:rFonts w:cstheme="minorHAnsi"/>
        </w:rPr>
        <w:t>Concrètement, le local ou le terrain cédé doit se trouver en zone A bis ou A du territoire.</w:t>
      </w:r>
    </w:p>
    <w:p w14:paraId="02EAC86A" w14:textId="77777777" w:rsidR="00895EF9" w:rsidRPr="00A847B7" w:rsidRDefault="00895EF9" w:rsidP="00895EF9">
      <w:pPr>
        <w:spacing w:beforeAutospacing="1" w:after="100" w:afterAutospacing="1"/>
        <w:rPr>
          <w:rFonts w:cstheme="minorHAnsi"/>
        </w:rPr>
      </w:pPr>
      <w:r w:rsidRPr="00A847B7">
        <w:rPr>
          <w:rFonts w:cstheme="minorHAnsi"/>
        </w:rPr>
        <w:t>Comme pour tout avantage fiscal, le bénéfice du taux réduit d’IS est soumis au respect de conditions tenant à la personne du vendeur, à la personne de l’acheteur et au respect d’un engagement de construction.</w:t>
      </w:r>
    </w:p>
    <w:p w14:paraId="04173DB0" w14:textId="77777777" w:rsidR="00895EF9" w:rsidRPr="00A847B7" w:rsidRDefault="00895EF9" w:rsidP="00895EF9">
      <w:pPr>
        <w:spacing w:beforeAutospacing="1" w:after="100" w:afterAutospacing="1"/>
        <w:rPr>
          <w:rFonts w:cstheme="minorHAnsi"/>
        </w:rPr>
      </w:pPr>
      <w:r w:rsidRPr="00A847B7">
        <w:rPr>
          <w:rFonts w:cstheme="minorHAnsi"/>
        </w:rPr>
        <w:t>Pour bénéficier de l’avantage fiscal, le vendeur doit être une société ou entreprise soumise à l’IS, de plein droit ou sur option, dans les conditions de droit commun. Sont donc exclues les entreprises ou sociétés soumises à l’impôt sur le revenu (IR), et les structures bénéficiant d’une exonération totale ou partielle d’IS.</w:t>
      </w:r>
    </w:p>
    <w:p w14:paraId="0AA63EBE" w14:textId="77777777" w:rsidR="00895EF9" w:rsidRPr="00A847B7" w:rsidRDefault="00895EF9" w:rsidP="00895EF9">
      <w:pPr>
        <w:spacing w:beforeAutospacing="1" w:after="100" w:afterAutospacing="1"/>
        <w:rPr>
          <w:rFonts w:cstheme="minorHAnsi"/>
        </w:rPr>
      </w:pPr>
      <w:r w:rsidRPr="00A847B7">
        <w:rPr>
          <w:rFonts w:cstheme="minorHAnsi"/>
        </w:rPr>
        <w:t>Ensuite, la vente doit être consentie à l’une des personnes suivantes :</w:t>
      </w:r>
    </w:p>
    <w:p w14:paraId="26C1B32B" w14:textId="77777777" w:rsidR="00895EF9" w:rsidRPr="00A847B7" w:rsidRDefault="00895EF9" w:rsidP="00EE0687">
      <w:pPr>
        <w:pStyle w:val="Paragraphedeliste"/>
        <w:numPr>
          <w:ilvl w:val="0"/>
          <w:numId w:val="126"/>
        </w:numPr>
        <w:spacing w:beforeAutospacing="1" w:after="100" w:afterAutospacing="1"/>
        <w:rPr>
          <w:rFonts w:cstheme="minorHAnsi"/>
        </w:rPr>
      </w:pPr>
      <w:r w:rsidRPr="00A847B7">
        <w:rPr>
          <w:rFonts w:cstheme="minorHAnsi"/>
        </w:rPr>
        <w:t>structures (entreprise, société ou association à but non lucratif) soumises à l’IS dans les conditions de droit commun ;</w:t>
      </w:r>
    </w:p>
    <w:p w14:paraId="70032D05" w14:textId="77777777" w:rsidR="00895EF9" w:rsidRPr="00A847B7" w:rsidRDefault="00895EF9" w:rsidP="00EE0687">
      <w:pPr>
        <w:pStyle w:val="Paragraphedeliste"/>
        <w:numPr>
          <w:ilvl w:val="0"/>
          <w:numId w:val="126"/>
        </w:numPr>
        <w:spacing w:beforeAutospacing="1" w:after="100" w:afterAutospacing="1"/>
        <w:rPr>
          <w:rFonts w:cstheme="minorHAnsi"/>
        </w:rPr>
      </w:pPr>
      <w:r w:rsidRPr="00A847B7">
        <w:rPr>
          <w:rFonts w:cstheme="minorHAnsi"/>
        </w:rPr>
        <w:t>sociétés immobilières spécialisées ayant pour objet principal (mais pas nécessairement exclusif) l’acquisition ou la construction d’immeubles en vue de leur location, ou la détention directe ou indirecte de participations dans des structures dont l’objet social est identique, à savoir :</w:t>
      </w:r>
    </w:p>
    <w:p w14:paraId="44E31F2A" w14:textId="77777777" w:rsidR="00895EF9" w:rsidRPr="00A847B7" w:rsidRDefault="00895EF9" w:rsidP="00EE0687">
      <w:pPr>
        <w:pStyle w:val="Paragraphedeliste"/>
        <w:numPr>
          <w:ilvl w:val="1"/>
          <w:numId w:val="127"/>
        </w:numPr>
        <w:spacing w:beforeAutospacing="1" w:after="100" w:afterAutospacing="1"/>
        <w:rPr>
          <w:rFonts w:cstheme="minorHAnsi"/>
        </w:rPr>
      </w:pPr>
      <w:r w:rsidRPr="00A847B7">
        <w:rPr>
          <w:rFonts w:cstheme="minorHAnsi"/>
        </w:rPr>
        <w:t>les sociétés dont les titres donnant obligatoirement accès au capital sont admis aux négociations sur un marché réglementé ou offerts au public sur un système multilatéral de négociation, c’est-à-dire les SIIC (société d’investissement immobilier cotée),</w:t>
      </w:r>
    </w:p>
    <w:p w14:paraId="582F5BF5" w14:textId="77777777" w:rsidR="00895EF9" w:rsidRPr="00A847B7" w:rsidRDefault="00895EF9" w:rsidP="00EE0687">
      <w:pPr>
        <w:pStyle w:val="Paragraphedeliste"/>
        <w:numPr>
          <w:ilvl w:val="1"/>
          <w:numId w:val="127"/>
        </w:numPr>
        <w:spacing w:beforeAutospacing="1" w:after="100" w:afterAutospacing="1"/>
        <w:rPr>
          <w:rFonts w:cstheme="minorHAnsi"/>
        </w:rPr>
      </w:pPr>
      <w:r w:rsidRPr="00A847B7">
        <w:rPr>
          <w:rFonts w:cstheme="minorHAnsi"/>
        </w:rPr>
        <w:t>les filiales de SIIC pouvant bénéficier d’une exonération d’IS,</w:t>
      </w:r>
    </w:p>
    <w:p w14:paraId="2BE7ADB5" w14:textId="77777777" w:rsidR="00895EF9" w:rsidRPr="00A847B7" w:rsidRDefault="00895EF9" w:rsidP="00EE0687">
      <w:pPr>
        <w:pStyle w:val="Paragraphedeliste"/>
        <w:numPr>
          <w:ilvl w:val="1"/>
          <w:numId w:val="127"/>
        </w:numPr>
        <w:spacing w:beforeAutospacing="1" w:after="100" w:afterAutospacing="1"/>
        <w:rPr>
          <w:rFonts w:cstheme="minorHAnsi"/>
        </w:rPr>
      </w:pPr>
      <w:r w:rsidRPr="00A847B7">
        <w:rPr>
          <w:rFonts w:cstheme="minorHAnsi"/>
        </w:rPr>
        <w:t>les sociétés civiles de placement immobilier (SCPI),</w:t>
      </w:r>
    </w:p>
    <w:p w14:paraId="71FFBB36" w14:textId="77777777" w:rsidR="00895EF9" w:rsidRPr="00A847B7" w:rsidRDefault="00895EF9" w:rsidP="00EE0687">
      <w:pPr>
        <w:pStyle w:val="Paragraphedeliste"/>
        <w:numPr>
          <w:ilvl w:val="1"/>
          <w:numId w:val="127"/>
        </w:numPr>
        <w:spacing w:beforeAutospacing="1" w:after="100" w:afterAutospacing="1"/>
        <w:rPr>
          <w:rFonts w:cstheme="minorHAnsi"/>
        </w:rPr>
      </w:pPr>
      <w:r w:rsidRPr="00A847B7">
        <w:rPr>
          <w:rFonts w:cstheme="minorHAnsi"/>
        </w:rPr>
        <w:t>les sociétés agréées par l’Autorité des marchés financiers, à l’exception des fonds de placement immobilier (FPI),</w:t>
      </w:r>
    </w:p>
    <w:p w14:paraId="7ABE0B3D" w14:textId="77777777" w:rsidR="00895EF9" w:rsidRPr="00A847B7" w:rsidRDefault="00895EF9" w:rsidP="00EE0687">
      <w:pPr>
        <w:pStyle w:val="Paragraphedeliste"/>
        <w:numPr>
          <w:ilvl w:val="1"/>
          <w:numId w:val="127"/>
        </w:numPr>
        <w:spacing w:beforeAutospacing="1" w:after="100" w:afterAutospacing="1"/>
        <w:rPr>
          <w:rFonts w:cstheme="minorHAnsi"/>
        </w:rPr>
      </w:pPr>
      <w:r w:rsidRPr="00A847B7">
        <w:rPr>
          <w:rFonts w:cstheme="minorHAnsi"/>
        </w:rPr>
        <w:lastRenderedPageBreak/>
        <w:t>les filiales de SPPICAV (société de placement à prépondérance immobilière à capital variable) pouvant bénéficier d’une exonération d’IS,</w:t>
      </w:r>
    </w:p>
    <w:p w14:paraId="67C2107A" w14:textId="77777777" w:rsidR="00895EF9" w:rsidRPr="00A847B7" w:rsidRDefault="00895EF9" w:rsidP="00EE0687">
      <w:pPr>
        <w:pStyle w:val="Paragraphedeliste"/>
        <w:numPr>
          <w:ilvl w:val="1"/>
          <w:numId w:val="127"/>
        </w:numPr>
        <w:spacing w:beforeAutospacing="1" w:after="100" w:afterAutospacing="1"/>
        <w:rPr>
          <w:rFonts w:cstheme="minorHAnsi"/>
        </w:rPr>
      </w:pPr>
      <w:r w:rsidRPr="00A847B7">
        <w:rPr>
          <w:rFonts w:cstheme="minorHAnsi"/>
        </w:rPr>
        <w:t>les filiales conjointes de SIIC et de SPPICAV pouvant bénéficier d’une exonération d’IS,</w:t>
      </w:r>
    </w:p>
    <w:p w14:paraId="1AFF1920" w14:textId="77777777" w:rsidR="00895EF9" w:rsidRPr="00A847B7" w:rsidRDefault="00895EF9" w:rsidP="00EE0687">
      <w:pPr>
        <w:pStyle w:val="Paragraphedeliste"/>
        <w:numPr>
          <w:ilvl w:val="0"/>
          <w:numId w:val="128"/>
        </w:numPr>
        <w:spacing w:beforeAutospacing="1" w:after="100" w:afterAutospacing="1"/>
        <w:rPr>
          <w:rFonts w:cstheme="minorHAnsi"/>
        </w:rPr>
      </w:pPr>
      <w:r w:rsidRPr="00A847B7">
        <w:rPr>
          <w:rFonts w:cstheme="minorHAnsi"/>
        </w:rPr>
        <w:t>organismes, sociétés et associations en charge du logement social :</w:t>
      </w:r>
    </w:p>
    <w:p w14:paraId="47739D51" w14:textId="77777777" w:rsidR="00895EF9" w:rsidRPr="00A847B7" w:rsidRDefault="00895EF9" w:rsidP="00EE0687">
      <w:pPr>
        <w:pStyle w:val="Paragraphedeliste"/>
        <w:numPr>
          <w:ilvl w:val="1"/>
          <w:numId w:val="129"/>
        </w:numPr>
        <w:spacing w:beforeAutospacing="1" w:after="100" w:afterAutospacing="1"/>
        <w:rPr>
          <w:rFonts w:cstheme="minorHAnsi"/>
        </w:rPr>
      </w:pPr>
      <w:r w:rsidRPr="00A847B7">
        <w:rPr>
          <w:rFonts w:cstheme="minorHAnsi"/>
        </w:rPr>
        <w:t>organismes d’habitation à loyers modérés (HLM),</w:t>
      </w:r>
    </w:p>
    <w:p w14:paraId="39670B36" w14:textId="77777777" w:rsidR="00895EF9" w:rsidRPr="00A847B7" w:rsidRDefault="00895EF9" w:rsidP="00EE0687">
      <w:pPr>
        <w:pStyle w:val="Paragraphedeliste"/>
        <w:numPr>
          <w:ilvl w:val="1"/>
          <w:numId w:val="129"/>
        </w:numPr>
        <w:spacing w:beforeAutospacing="1" w:after="100" w:afterAutospacing="1"/>
        <w:rPr>
          <w:rFonts w:cstheme="minorHAnsi"/>
        </w:rPr>
      </w:pPr>
      <w:r w:rsidRPr="00A847B7">
        <w:rPr>
          <w:rFonts w:cstheme="minorHAnsi"/>
        </w:rPr>
        <w:t>sociétés d’économie mixte gérant des logements sociaux,</w:t>
      </w:r>
    </w:p>
    <w:p w14:paraId="4125E7D7" w14:textId="77777777" w:rsidR="00895EF9" w:rsidRPr="00A847B7" w:rsidRDefault="00895EF9" w:rsidP="00EE0687">
      <w:pPr>
        <w:pStyle w:val="Paragraphedeliste"/>
        <w:numPr>
          <w:ilvl w:val="1"/>
          <w:numId w:val="129"/>
        </w:numPr>
        <w:spacing w:beforeAutospacing="1" w:after="100" w:afterAutospacing="1"/>
        <w:rPr>
          <w:rFonts w:cstheme="minorHAnsi"/>
        </w:rPr>
      </w:pPr>
      <w:r w:rsidRPr="00A847B7">
        <w:rPr>
          <w:rFonts w:cstheme="minorHAnsi"/>
        </w:rPr>
        <w:t>association « Foncière logement »,</w:t>
      </w:r>
    </w:p>
    <w:p w14:paraId="663BF90C" w14:textId="77777777" w:rsidR="00895EF9" w:rsidRPr="00A847B7" w:rsidRDefault="00895EF9" w:rsidP="00EE0687">
      <w:pPr>
        <w:pStyle w:val="Paragraphedeliste"/>
        <w:numPr>
          <w:ilvl w:val="1"/>
          <w:numId w:val="129"/>
        </w:numPr>
        <w:spacing w:beforeAutospacing="1" w:after="100" w:afterAutospacing="1"/>
        <w:rPr>
          <w:rFonts w:cstheme="minorHAnsi"/>
        </w:rPr>
      </w:pPr>
      <w:r w:rsidRPr="00A847B7">
        <w:rPr>
          <w:rFonts w:cstheme="minorHAnsi"/>
        </w:rPr>
        <w:t>sociétés civiles immobilières (SCI) dont les parts sont majoritairement détenues par l’association « Foncière logement »,</w:t>
      </w:r>
    </w:p>
    <w:p w14:paraId="25CE2850" w14:textId="77777777" w:rsidR="00895EF9" w:rsidRPr="00A847B7" w:rsidRDefault="00895EF9" w:rsidP="00EE0687">
      <w:pPr>
        <w:pStyle w:val="Paragraphedeliste"/>
        <w:numPr>
          <w:ilvl w:val="1"/>
          <w:numId w:val="129"/>
        </w:numPr>
        <w:spacing w:beforeAutospacing="1" w:after="100" w:afterAutospacing="1"/>
        <w:rPr>
          <w:rFonts w:cstheme="minorHAnsi"/>
        </w:rPr>
      </w:pPr>
      <w:r w:rsidRPr="00A847B7">
        <w:rPr>
          <w:rFonts w:cstheme="minorHAnsi"/>
        </w:rPr>
        <w:t>organismes bénéficiant de l’agrément relatif à la maîtrise d’ouvrage,</w:t>
      </w:r>
    </w:p>
    <w:p w14:paraId="1B228475" w14:textId="34CAE851" w:rsidR="0067018F" w:rsidRPr="00A847B7" w:rsidRDefault="00895EF9" w:rsidP="00EE0687">
      <w:pPr>
        <w:pStyle w:val="Paragraphedeliste"/>
        <w:numPr>
          <w:ilvl w:val="0"/>
          <w:numId w:val="130"/>
        </w:numPr>
        <w:spacing w:beforeAutospacing="1" w:after="100" w:afterAutospacing="1"/>
        <w:rPr>
          <w:rFonts w:cstheme="minorHAnsi"/>
        </w:rPr>
      </w:pPr>
      <w:r w:rsidRPr="00A847B7">
        <w:rPr>
          <w:rFonts w:cstheme="minorHAnsi"/>
        </w:rPr>
        <w:t>depuis le 1</w:t>
      </w:r>
      <w:r w:rsidRPr="00A847B7">
        <w:rPr>
          <w:rFonts w:cstheme="minorHAnsi"/>
          <w:vertAlign w:val="superscript"/>
        </w:rPr>
        <w:t>er</w:t>
      </w:r>
      <w:r w:rsidRPr="00A847B7">
        <w:rPr>
          <w:rFonts w:cstheme="minorHAnsi"/>
        </w:rPr>
        <w:t xml:space="preserve"> janvier 2018, sociétés civiles de construction-vente</w:t>
      </w:r>
      <w:r w:rsidR="00712C09">
        <w:rPr>
          <w:rFonts w:cstheme="minorHAnsi"/>
        </w:rPr>
        <w:t>,</w:t>
      </w:r>
    </w:p>
    <w:p w14:paraId="70ED4E91" w14:textId="47116F6F" w:rsidR="00895EF9" w:rsidRPr="00A847B7" w:rsidRDefault="0067018F" w:rsidP="00EE0687">
      <w:pPr>
        <w:pStyle w:val="Paragraphedeliste"/>
        <w:numPr>
          <w:ilvl w:val="0"/>
          <w:numId w:val="130"/>
        </w:numPr>
        <w:spacing w:beforeAutospacing="1" w:after="100" w:afterAutospacing="1"/>
        <w:rPr>
          <w:rFonts w:cstheme="minorHAnsi"/>
        </w:rPr>
      </w:pPr>
      <w:r w:rsidRPr="00A847B7">
        <w:rPr>
          <w:rFonts w:cstheme="minorHAnsi"/>
        </w:rPr>
        <w:t>depuis le 1</w:t>
      </w:r>
      <w:r w:rsidRPr="00A847B7">
        <w:rPr>
          <w:rFonts w:cstheme="minorHAnsi"/>
          <w:vertAlign w:val="superscript"/>
        </w:rPr>
        <w:t>er</w:t>
      </w:r>
      <w:r w:rsidRPr="00A847B7">
        <w:rPr>
          <w:rFonts w:cstheme="minorHAnsi"/>
        </w:rPr>
        <w:t xml:space="preserve"> janvier 2020, les organismes fonciers solidaires</w:t>
      </w:r>
      <w:r w:rsidR="00895EF9" w:rsidRPr="00A847B7">
        <w:rPr>
          <w:rFonts w:cstheme="minorHAnsi"/>
        </w:rPr>
        <w:t>.</w:t>
      </w:r>
    </w:p>
    <w:p w14:paraId="5AEBF1C8" w14:textId="77777777" w:rsidR="00895EF9" w:rsidRPr="00A847B7" w:rsidRDefault="00895EF9" w:rsidP="00895EF9">
      <w:pPr>
        <w:spacing w:beforeAutospacing="1" w:after="100" w:afterAutospacing="1"/>
        <w:rPr>
          <w:rFonts w:cstheme="minorHAnsi"/>
        </w:rPr>
      </w:pPr>
      <w:r w:rsidRPr="00A847B7">
        <w:rPr>
          <w:rFonts w:cstheme="minorHAnsi"/>
        </w:rPr>
        <w:t>En dehors de ces hypothèses, le taux réduit d’IS de 19 % ne s’applique pas à la vente. Par exemple, une vente effectuée au profit d’une SCI ne bénéficiera pas du taux réduit d’IS de 19 %, même si tous les associés de cette SCI sont des sociétés elles-mêmes soumises à l’IS.</w:t>
      </w:r>
    </w:p>
    <w:p w14:paraId="28A76F15" w14:textId="77777777" w:rsidR="00895EF9" w:rsidRPr="00A847B7" w:rsidRDefault="00895EF9" w:rsidP="00895EF9">
      <w:pPr>
        <w:spacing w:beforeAutospacing="1" w:after="100" w:afterAutospacing="1"/>
        <w:rPr>
          <w:rFonts w:cstheme="minorHAnsi"/>
        </w:rPr>
      </w:pPr>
      <w:r w:rsidRPr="00A847B7">
        <w:rPr>
          <w:rFonts w:cstheme="minorHAnsi"/>
        </w:rPr>
        <w:t>Les opérations de cession qui interviennent entre des sociétés qui entretiennent des liens de dépendance ne bénéficient pas de l’avantage fiscal, sauf pour les cessions réalisées à partir du 1</w:t>
      </w:r>
      <w:r w:rsidRPr="00A847B7">
        <w:rPr>
          <w:rFonts w:cstheme="minorHAnsi"/>
          <w:vertAlign w:val="superscript"/>
        </w:rPr>
        <w:t>er</w:t>
      </w:r>
      <w:r w:rsidRPr="00A847B7">
        <w:rPr>
          <w:rFonts w:cstheme="minorHAnsi"/>
        </w:rPr>
        <w:t xml:space="preserve"> janvier 2014 ayant fait l’objet d’une promesse de vente signée avant cette date.</w:t>
      </w:r>
    </w:p>
    <w:p w14:paraId="3A5D41E9" w14:textId="77777777" w:rsidR="00895EF9" w:rsidRPr="00A847B7" w:rsidRDefault="00895EF9" w:rsidP="00895EF9">
      <w:pPr>
        <w:spacing w:beforeAutospacing="1" w:after="100" w:afterAutospacing="1"/>
        <w:rPr>
          <w:rFonts w:cstheme="minorHAnsi"/>
        </w:rPr>
      </w:pPr>
      <w:r w:rsidRPr="00A847B7">
        <w:rPr>
          <w:rFonts w:cstheme="minorHAnsi"/>
        </w:rPr>
        <w:t xml:space="preserve">Cette notion de « liens de dépendance » peut résulter : </w:t>
      </w:r>
    </w:p>
    <w:p w14:paraId="26B653D9" w14:textId="77777777" w:rsidR="00895EF9" w:rsidRPr="00A847B7" w:rsidRDefault="00895EF9" w:rsidP="00EE0687">
      <w:pPr>
        <w:pStyle w:val="Paragraphedeliste"/>
        <w:numPr>
          <w:ilvl w:val="0"/>
          <w:numId w:val="131"/>
        </w:numPr>
        <w:spacing w:beforeAutospacing="1" w:after="100" w:afterAutospacing="1"/>
        <w:rPr>
          <w:rFonts w:cstheme="minorHAnsi"/>
        </w:rPr>
      </w:pPr>
      <w:r w:rsidRPr="00A847B7">
        <w:rPr>
          <w:rFonts w:cstheme="minorHAnsi"/>
        </w:rPr>
        <w:t>de la détention directe (ou par personne interposée) par une société de la majorité du capital social d’une autre société ;</w:t>
      </w:r>
    </w:p>
    <w:p w14:paraId="3BBB7B42" w14:textId="77777777" w:rsidR="00895EF9" w:rsidRPr="00A847B7" w:rsidRDefault="00895EF9" w:rsidP="00EE0687">
      <w:pPr>
        <w:pStyle w:val="Paragraphedeliste"/>
        <w:numPr>
          <w:ilvl w:val="0"/>
          <w:numId w:val="131"/>
        </w:numPr>
        <w:spacing w:beforeAutospacing="1" w:after="100" w:afterAutospacing="1"/>
        <w:rPr>
          <w:rFonts w:cstheme="minorHAnsi"/>
        </w:rPr>
      </w:pPr>
      <w:r w:rsidRPr="00A847B7">
        <w:rPr>
          <w:rFonts w:cstheme="minorHAnsi"/>
        </w:rPr>
        <w:t>de l’exercice en fait, par la société, du pouvoir de décision dans l’autre société ;</w:t>
      </w:r>
    </w:p>
    <w:p w14:paraId="22745B22" w14:textId="77777777" w:rsidR="00895EF9" w:rsidRPr="00A847B7" w:rsidRDefault="00895EF9" w:rsidP="00EE0687">
      <w:pPr>
        <w:pStyle w:val="Paragraphedeliste"/>
        <w:numPr>
          <w:ilvl w:val="0"/>
          <w:numId w:val="131"/>
        </w:numPr>
        <w:spacing w:beforeAutospacing="1" w:after="100" w:afterAutospacing="1"/>
        <w:rPr>
          <w:rFonts w:cstheme="minorHAnsi"/>
        </w:rPr>
      </w:pPr>
      <w:r w:rsidRPr="00A847B7">
        <w:rPr>
          <w:rFonts w:cstheme="minorHAnsi"/>
        </w:rPr>
        <w:t>du contrôle exercé par une entreprise tierce sur les 2 sociétés (acheteuse et vendeuse).</w:t>
      </w:r>
    </w:p>
    <w:p w14:paraId="64D8FE1E" w14:textId="77777777" w:rsidR="00895EF9" w:rsidRPr="00A847B7" w:rsidRDefault="00895EF9" w:rsidP="00895EF9">
      <w:pPr>
        <w:spacing w:beforeAutospacing="1" w:after="100" w:afterAutospacing="1"/>
        <w:rPr>
          <w:rFonts w:cstheme="minorHAnsi"/>
        </w:rPr>
      </w:pPr>
      <w:r w:rsidRPr="00A847B7">
        <w:rPr>
          <w:rFonts w:cstheme="minorHAnsi"/>
        </w:rPr>
        <w:t>Pour bénéficier du taux réduit d’IS sur la plus-value résultant de la vente d’un local ou d’un terrain, l’acheteur doit également prendre un « engagement de construction ». Concrètement, en cas d’achat d’un local, il doit s’engager à le transformer en logements dans les 4 ans qui suivent la clôture de l’exercice au cours duquel l’acquisition est intervenue. De même, s’il achète un terrain à bâtir, l’acheteur doit s’engager à construire des logements dans le même délai.</w:t>
      </w:r>
    </w:p>
    <w:p w14:paraId="7399ABC6" w14:textId="78F92141" w:rsidR="00895EF9" w:rsidRPr="00A847B7" w:rsidRDefault="00895EF9" w:rsidP="00895EF9">
      <w:pPr>
        <w:spacing w:beforeAutospacing="1" w:after="100" w:afterAutospacing="1"/>
        <w:rPr>
          <w:rFonts w:cstheme="minorHAnsi"/>
        </w:rPr>
      </w:pPr>
      <w:r w:rsidRPr="00A847B7">
        <w:rPr>
          <w:rFonts w:cstheme="minorHAnsi"/>
        </w:rPr>
        <w:t>Ce délai de 4 ans s’applique à toutes les opérations de cessions qui interviennent au cours d’exercice</w:t>
      </w:r>
      <w:r w:rsidR="00955588">
        <w:rPr>
          <w:rFonts w:cstheme="minorHAnsi"/>
        </w:rPr>
        <w:t>s</w:t>
      </w:r>
      <w:r w:rsidRPr="00A847B7">
        <w:rPr>
          <w:rFonts w:cstheme="minorHAnsi"/>
        </w:rPr>
        <w:t xml:space="preserve"> clos depuis le 31 décembre 2016.</w:t>
      </w:r>
    </w:p>
    <w:p w14:paraId="695FB3D4" w14:textId="77777777" w:rsidR="00895EF9" w:rsidRPr="00A847B7" w:rsidRDefault="00895EF9" w:rsidP="00895EF9">
      <w:pPr>
        <w:spacing w:beforeAutospacing="1" w:after="100" w:afterAutospacing="1"/>
        <w:rPr>
          <w:rFonts w:cstheme="minorHAnsi"/>
        </w:rPr>
      </w:pPr>
      <w:r w:rsidRPr="00A847B7">
        <w:rPr>
          <w:rFonts w:cstheme="minorHAnsi"/>
        </w:rPr>
        <w:t>Par logement, il faut entendre un local d’habitation destiné à constituer la résidence principale ou secondaire d’un particulier. Dès lors, si l’acheteur transforme un local commercial en hôtel, par exemple, l’avantage fiscal ne sera pas acquis.</w:t>
      </w:r>
    </w:p>
    <w:p w14:paraId="1782B13F" w14:textId="77777777" w:rsidR="00895EF9" w:rsidRPr="00A847B7" w:rsidRDefault="00895EF9" w:rsidP="00895EF9">
      <w:pPr>
        <w:spacing w:beforeAutospacing="1" w:after="100" w:afterAutospacing="1"/>
        <w:rPr>
          <w:rFonts w:cstheme="minorHAnsi"/>
        </w:rPr>
      </w:pPr>
      <w:r w:rsidRPr="00A847B7">
        <w:rPr>
          <w:rFonts w:cstheme="minorHAnsi"/>
        </w:rPr>
        <w:t>La transformation en logements, ou la construction de logements doit intervenir avant le terme du délai de 4 ans. Rien n’empêche donc l’acquéreur de revendre les logements avant l’expiration de ce délai, à partir du moment où il a bien achevé les travaux dans le délai imparti.</w:t>
      </w:r>
    </w:p>
    <w:p w14:paraId="0BD68094" w14:textId="77777777" w:rsidR="00895EF9" w:rsidRPr="00A847B7" w:rsidRDefault="00895EF9" w:rsidP="00895EF9">
      <w:pPr>
        <w:spacing w:beforeAutospacing="1" w:after="100" w:afterAutospacing="1"/>
        <w:rPr>
          <w:rFonts w:cstheme="minorHAnsi"/>
        </w:rPr>
      </w:pPr>
      <w:r w:rsidRPr="00A847B7">
        <w:rPr>
          <w:rFonts w:cstheme="minorHAnsi"/>
        </w:rPr>
        <w:t>L’engagement de transformation ou de construction doit respecter un certain formalisme :</w:t>
      </w:r>
    </w:p>
    <w:p w14:paraId="3F0F5434" w14:textId="77777777" w:rsidR="00895EF9" w:rsidRPr="00A847B7" w:rsidRDefault="00895EF9" w:rsidP="00EE0687">
      <w:pPr>
        <w:pStyle w:val="Paragraphedeliste"/>
        <w:numPr>
          <w:ilvl w:val="0"/>
          <w:numId w:val="132"/>
        </w:numPr>
        <w:spacing w:beforeAutospacing="1" w:after="100" w:afterAutospacing="1"/>
        <w:rPr>
          <w:rFonts w:cstheme="minorHAnsi"/>
        </w:rPr>
      </w:pPr>
      <w:r w:rsidRPr="00A847B7">
        <w:rPr>
          <w:rFonts w:cstheme="minorHAnsi"/>
        </w:rPr>
        <w:t>il doit être pris par l’acheteur dans l’acte constatant la vente du terrain ou du local ;</w:t>
      </w:r>
    </w:p>
    <w:p w14:paraId="4A1E2FB3" w14:textId="77777777" w:rsidR="00895EF9" w:rsidRPr="00A847B7" w:rsidRDefault="00895EF9" w:rsidP="00EE0687">
      <w:pPr>
        <w:pStyle w:val="Paragraphedeliste"/>
        <w:numPr>
          <w:ilvl w:val="0"/>
          <w:numId w:val="132"/>
        </w:numPr>
        <w:spacing w:beforeAutospacing="1" w:after="100" w:afterAutospacing="1"/>
        <w:rPr>
          <w:rFonts w:cstheme="minorHAnsi"/>
        </w:rPr>
      </w:pPr>
      <w:r w:rsidRPr="00A847B7">
        <w:rPr>
          <w:rFonts w:cstheme="minorHAnsi"/>
        </w:rPr>
        <w:t>une copie de cet engagement doit être jointe aux déclarations de résultats du vendeur et de l’acheteur au titre de l’exercice au cours duquel intervient la cession.</w:t>
      </w:r>
    </w:p>
    <w:p w14:paraId="0318B395" w14:textId="77777777" w:rsidR="00895EF9" w:rsidRPr="00A847B7" w:rsidRDefault="00895EF9" w:rsidP="00895EF9">
      <w:pPr>
        <w:spacing w:beforeAutospacing="1" w:after="100" w:afterAutospacing="1"/>
        <w:rPr>
          <w:rFonts w:cstheme="minorHAnsi"/>
        </w:rPr>
      </w:pPr>
      <w:r w:rsidRPr="00A847B7">
        <w:rPr>
          <w:rFonts w:cstheme="minorHAnsi"/>
        </w:rPr>
        <w:lastRenderedPageBreak/>
        <w:t>En cas de non-respect de l’engagement pris par l’acheteur, c’est-à-dire à défaut d’achèvement (ou de réalisation) des travaux de construction ou de transformation à l’issue du délai de 4 ans, ce dernier s’expose à l’application d’une amende égale à 25 % de la valeur de cession de l’immeuble. Cette amende est due au titre de l’exercice au cours duquel le délai de 4 ans expire.</w:t>
      </w:r>
    </w:p>
    <w:p w14:paraId="65AE0E87" w14:textId="77777777" w:rsidR="00895EF9" w:rsidRPr="00A847B7" w:rsidRDefault="00895EF9" w:rsidP="00895EF9">
      <w:pPr>
        <w:spacing w:beforeAutospacing="1" w:after="100" w:afterAutospacing="1"/>
        <w:rPr>
          <w:rFonts w:cstheme="minorHAnsi"/>
        </w:rPr>
      </w:pPr>
      <w:r w:rsidRPr="00A847B7">
        <w:rPr>
          <w:rFonts w:cstheme="minorHAnsi"/>
        </w:rPr>
        <w:t>L’amende ne sera pas due si le non-respect de l’engagement de transformation ou de construction résulte :</w:t>
      </w:r>
    </w:p>
    <w:p w14:paraId="6170421C" w14:textId="77777777" w:rsidR="00895EF9" w:rsidRPr="00A847B7" w:rsidRDefault="00895EF9" w:rsidP="00EE0687">
      <w:pPr>
        <w:pStyle w:val="Paragraphedeliste"/>
        <w:numPr>
          <w:ilvl w:val="0"/>
          <w:numId w:val="133"/>
        </w:numPr>
        <w:spacing w:beforeAutospacing="1" w:after="100" w:afterAutospacing="1"/>
        <w:rPr>
          <w:rFonts w:cstheme="minorHAnsi"/>
        </w:rPr>
      </w:pPr>
      <w:r w:rsidRPr="00A847B7">
        <w:rPr>
          <w:rFonts w:cstheme="minorHAnsi"/>
        </w:rPr>
        <w:t>de la restructuration ultérieure de la société ayant acquis le terrain ou le local,</w:t>
      </w:r>
    </w:p>
    <w:p w14:paraId="2AA520B0" w14:textId="77777777" w:rsidR="00895EF9" w:rsidRPr="00A847B7" w:rsidRDefault="00895EF9" w:rsidP="00EE0687">
      <w:pPr>
        <w:pStyle w:val="Paragraphedeliste"/>
        <w:numPr>
          <w:ilvl w:val="0"/>
          <w:numId w:val="133"/>
        </w:numPr>
        <w:spacing w:beforeAutospacing="1" w:after="100" w:afterAutospacing="1"/>
        <w:rPr>
          <w:rFonts w:cstheme="minorHAnsi"/>
        </w:rPr>
      </w:pPr>
      <w:r w:rsidRPr="00A847B7">
        <w:rPr>
          <w:rFonts w:cstheme="minorHAnsi"/>
        </w:rPr>
        <w:t>ou de circonstances indépendantes de la volonté de l’acheteur : force majeure, catastrophe naturelle, etc.</w:t>
      </w:r>
    </w:p>
    <w:p w14:paraId="1BE3C4B9" w14:textId="77777777" w:rsidR="00895EF9" w:rsidRPr="00A847B7" w:rsidRDefault="00895EF9" w:rsidP="00895EF9">
      <w:pPr>
        <w:spacing w:beforeAutospacing="1" w:after="100" w:afterAutospacing="1"/>
        <w:rPr>
          <w:rFonts w:cstheme="minorHAnsi"/>
        </w:rPr>
      </w:pPr>
      <w:r w:rsidRPr="00A847B7">
        <w:rPr>
          <w:rFonts w:cstheme="minorHAnsi"/>
        </w:rPr>
        <w:t>Il est important de préciser que la rupture de cet engagement ne vient pas remettre en cause le taux réduit d’IS dont a pu bénéficier le vendeur.</w:t>
      </w:r>
    </w:p>
    <w:p w14:paraId="0BFEBD4F" w14:textId="5A81AE03" w:rsidR="00895EF9" w:rsidRPr="00A847B7" w:rsidRDefault="00895EF9" w:rsidP="00EE0687">
      <w:pPr>
        <w:pStyle w:val="Paragraphedeliste"/>
        <w:numPr>
          <w:ilvl w:val="0"/>
          <w:numId w:val="125"/>
        </w:numPr>
        <w:spacing w:beforeAutospacing="1" w:after="100" w:afterAutospacing="1"/>
        <w:rPr>
          <w:rFonts w:cstheme="minorHAnsi"/>
          <w:b/>
          <w:i/>
          <w:u w:val="single"/>
        </w:rPr>
      </w:pPr>
      <w:r w:rsidRPr="00A847B7">
        <w:rPr>
          <w:rFonts w:cstheme="minorHAnsi"/>
          <w:b/>
          <w:i/>
          <w:u w:val="single"/>
        </w:rPr>
        <w:t>Les aménagements</w:t>
      </w:r>
    </w:p>
    <w:p w14:paraId="46B139D8" w14:textId="7604E93D" w:rsidR="00895EF9" w:rsidRPr="00A847B7" w:rsidRDefault="004562C4" w:rsidP="00895EF9">
      <w:pPr>
        <w:spacing w:beforeAutospacing="1" w:after="100" w:afterAutospacing="1"/>
        <w:rPr>
          <w:rFonts w:cstheme="minorHAnsi"/>
        </w:rPr>
      </w:pPr>
      <w:r w:rsidRPr="00A847B7">
        <w:rPr>
          <w:rFonts w:cstheme="minorHAnsi"/>
        </w:rPr>
        <w:t xml:space="preserve">Initialement applicable jusqu’au 31 décembre 2020, ce régime de </w:t>
      </w:r>
      <w:r w:rsidR="008E0F19" w:rsidRPr="00A847B7">
        <w:rPr>
          <w:rFonts w:cstheme="minorHAnsi"/>
        </w:rPr>
        <w:t>faveur</w:t>
      </w:r>
      <w:r w:rsidRPr="00A847B7">
        <w:rPr>
          <w:rFonts w:cstheme="minorHAnsi"/>
        </w:rPr>
        <w:t xml:space="preserve"> est prorogé de 2 ans, jusqu’au 31 décembre 2022</w:t>
      </w:r>
      <w:r w:rsidR="00895EF9" w:rsidRPr="00A847B7">
        <w:rPr>
          <w:rFonts w:cstheme="minorHAnsi"/>
        </w:rPr>
        <w:t>.</w:t>
      </w:r>
      <w:r w:rsidR="006C1943" w:rsidRPr="00A847B7">
        <w:rPr>
          <w:rFonts w:cstheme="minorHAnsi"/>
        </w:rPr>
        <w:t xml:space="preserve"> Plus exactement, </w:t>
      </w:r>
      <w:r w:rsidR="008E0F19" w:rsidRPr="00A847B7">
        <w:rPr>
          <w:rFonts w:cstheme="minorHAnsi"/>
        </w:rPr>
        <w:t xml:space="preserve">il s’appliquera </w:t>
      </w:r>
      <w:r w:rsidR="008E4130" w:rsidRPr="00A847B7">
        <w:rPr>
          <w:rFonts w:cstheme="minorHAnsi"/>
        </w:rPr>
        <w:t xml:space="preserve">aux cessions réalisées jusqu’au 31 décembre 2022, </w:t>
      </w:r>
      <w:r w:rsidR="008E4130" w:rsidRPr="00A847B7">
        <w:t>ainsi qu’aux promesses unilatérales ou synallagmatiques de vente conclues entre le 1</w:t>
      </w:r>
      <w:r w:rsidR="008E4130" w:rsidRPr="00A847B7">
        <w:rPr>
          <w:rStyle w:val="exposant"/>
        </w:rPr>
        <w:t>er</w:t>
      </w:r>
      <w:r w:rsidR="008E4130" w:rsidRPr="00A847B7">
        <w:t> janvier 2021 et le 31 décembre 2022 inclus, à condition que la cession soit réalisée au plus tard le 31 décembre 2024</w:t>
      </w:r>
      <w:r w:rsidR="00895EF9" w:rsidRPr="00A847B7">
        <w:rPr>
          <w:rFonts w:cstheme="minorHAnsi"/>
        </w:rPr>
        <w:t>.</w:t>
      </w:r>
    </w:p>
    <w:p w14:paraId="0A96C1F9" w14:textId="562F9D13" w:rsidR="00895EF9" w:rsidRPr="00A847B7" w:rsidRDefault="00B065A9" w:rsidP="00D66C56">
      <w:pPr>
        <w:spacing w:beforeAutospacing="1" w:after="100" w:afterAutospacing="1"/>
      </w:pPr>
      <w:r w:rsidRPr="00A847B7">
        <w:t>Le dispositif sera aménagé sur les</w:t>
      </w:r>
      <w:r w:rsidR="00AD784B" w:rsidRPr="00A847B7">
        <w:t xml:space="preserve"> </w:t>
      </w:r>
      <w:r w:rsidRPr="00A847B7">
        <w:t>points suivants :</w:t>
      </w:r>
    </w:p>
    <w:p w14:paraId="376D4FA2" w14:textId="40504DAF" w:rsidR="00B065A9" w:rsidRPr="00A847B7" w:rsidRDefault="00EC5CF5" w:rsidP="00EE0687">
      <w:pPr>
        <w:pStyle w:val="Paragraphedeliste"/>
        <w:numPr>
          <w:ilvl w:val="0"/>
          <w:numId w:val="136"/>
        </w:numPr>
        <w:spacing w:beforeAutospacing="1" w:after="100" w:afterAutospacing="1"/>
      </w:pPr>
      <w:r>
        <w:t>i</w:t>
      </w:r>
      <w:r w:rsidR="00B065A9" w:rsidRPr="00A847B7">
        <w:t>l bénéficiera aux ventes à toutes</w:t>
      </w:r>
      <w:r w:rsidR="00AD784B" w:rsidRPr="00A847B7">
        <w:t xml:space="preserve"> </w:t>
      </w:r>
      <w:r w:rsidR="00B065A9" w:rsidRPr="00A847B7">
        <w:t>les personnes morales, quelle qu</w:t>
      </w:r>
      <w:r w:rsidR="00AD784B" w:rsidRPr="00A847B7">
        <w:t>e s</w:t>
      </w:r>
      <w:r w:rsidR="00B065A9" w:rsidRPr="00A847B7">
        <w:t xml:space="preserve">oit leur </w:t>
      </w:r>
      <w:r w:rsidR="00AD784B" w:rsidRPr="00A847B7">
        <w:t>qualité</w:t>
      </w:r>
      <w:r w:rsidR="00B065A9" w:rsidRPr="00A847B7">
        <w:t xml:space="preserve"> et quel que soit leur régime </w:t>
      </w:r>
      <w:r w:rsidR="00AD784B" w:rsidRPr="00A847B7">
        <w:t>fiscal</w:t>
      </w:r>
      <w:r w:rsidR="00B065A9" w:rsidRPr="00A847B7">
        <w:t> ;</w:t>
      </w:r>
    </w:p>
    <w:p w14:paraId="009124EA" w14:textId="75304548" w:rsidR="00B065A9" w:rsidRPr="00A847B7" w:rsidRDefault="00EC5CF5" w:rsidP="00EE0687">
      <w:pPr>
        <w:pStyle w:val="Paragraphedeliste"/>
        <w:numPr>
          <w:ilvl w:val="0"/>
          <w:numId w:val="136"/>
        </w:numPr>
        <w:spacing w:beforeAutospacing="1" w:after="100" w:afterAutospacing="1"/>
      </w:pPr>
      <w:r>
        <w:t>s</w:t>
      </w:r>
      <w:r w:rsidR="00B93EF3" w:rsidRPr="00A847B7">
        <w:t xml:space="preserve">ur demande de l’acquéreur, une prolongation annuelle renouvelable du délai de </w:t>
      </w:r>
      <w:r w:rsidR="00955588">
        <w:t>4</w:t>
      </w:r>
      <w:r w:rsidR="00955588" w:rsidRPr="00A847B7">
        <w:t> </w:t>
      </w:r>
      <w:r w:rsidR="00B93EF3" w:rsidRPr="00A847B7">
        <w:t xml:space="preserve">ans pour la réalisation des travaux pourra être accordée par l’autorité compétente de l’État du lieu de la situation des immeubles </w:t>
      </w:r>
      <w:r w:rsidR="00AD784B" w:rsidRPr="00A847B7">
        <w:t>(l</w:t>
      </w:r>
      <w:r w:rsidR="00B93EF3" w:rsidRPr="00A847B7">
        <w:t>’absence de notification d’un refus motivé de l’administration dans les deux mois de la réception de la demande vau</w:t>
      </w:r>
      <w:r w:rsidR="00AD784B" w:rsidRPr="00A847B7">
        <w:t>dra</w:t>
      </w:r>
      <w:r w:rsidR="00B93EF3" w:rsidRPr="00A847B7">
        <w:t xml:space="preserve"> acceptation</w:t>
      </w:r>
      <w:r w:rsidR="00AD784B" w:rsidRPr="00A847B7">
        <w:t>) ;</w:t>
      </w:r>
    </w:p>
    <w:p w14:paraId="008B3992" w14:textId="00C6A785" w:rsidR="00AD784B" w:rsidRPr="00A847B7" w:rsidRDefault="00EC5CF5" w:rsidP="00EE0687">
      <w:pPr>
        <w:pStyle w:val="Paragraphedeliste"/>
        <w:numPr>
          <w:ilvl w:val="0"/>
          <w:numId w:val="136"/>
        </w:numPr>
        <w:spacing w:beforeAutospacing="1" w:after="100" w:afterAutospacing="1"/>
      </w:pPr>
      <w:r>
        <w:t>l</w:t>
      </w:r>
      <w:r w:rsidR="00FF23DD" w:rsidRPr="00A847B7">
        <w:t xml:space="preserve">’amende pour non-respect de </w:t>
      </w:r>
      <w:r w:rsidR="006348E1" w:rsidRPr="00A847B7">
        <w:t>son engagement</w:t>
      </w:r>
      <w:r w:rsidR="00FF23DD" w:rsidRPr="00A847B7">
        <w:t xml:space="preserve"> </w:t>
      </w:r>
      <w:r w:rsidR="006348E1" w:rsidRPr="00A847B7">
        <w:t xml:space="preserve">par l’acquéreur (réalisation </w:t>
      </w:r>
      <w:r w:rsidR="006348E1" w:rsidRPr="00A847B7">
        <w:rPr>
          <w:rFonts w:cstheme="minorHAnsi"/>
        </w:rPr>
        <w:t xml:space="preserve">des travaux de construction ou de transformation à l’issue du délai de 4 ans, éventuellement </w:t>
      </w:r>
      <w:r w:rsidR="004C0F13" w:rsidRPr="00A847B7">
        <w:rPr>
          <w:rFonts w:cstheme="minorHAnsi"/>
        </w:rPr>
        <w:t>prorogé</w:t>
      </w:r>
      <w:r w:rsidR="006348E1" w:rsidRPr="00A847B7">
        <w:rPr>
          <w:rFonts w:cstheme="minorHAnsi"/>
        </w:rPr>
        <w:t xml:space="preserve">) </w:t>
      </w:r>
      <w:r w:rsidR="004C0F13" w:rsidRPr="00A847B7">
        <w:rPr>
          <w:rFonts w:cstheme="minorHAnsi"/>
        </w:rPr>
        <w:t xml:space="preserve">sera </w:t>
      </w:r>
      <w:r w:rsidR="004C0F13" w:rsidRPr="00A847B7">
        <w:t>égale au montant de l’économie d’impôt réalisée par le cédant.</w:t>
      </w:r>
    </w:p>
    <w:p w14:paraId="05E47446" w14:textId="77777777" w:rsidR="00895EF9" w:rsidRPr="00A847B7" w:rsidRDefault="00895EF9" w:rsidP="00D66C56">
      <w:pPr>
        <w:spacing w:beforeAutospacing="1" w:after="100" w:afterAutospacing="1"/>
        <w:rPr>
          <w:highlight w:val="yellow"/>
        </w:rPr>
      </w:pPr>
    </w:p>
    <w:p w14:paraId="15F3DDB5" w14:textId="61D9784D" w:rsidR="003374EB" w:rsidRPr="00A847B7" w:rsidRDefault="003374EB" w:rsidP="003374EB">
      <w:pPr>
        <w:pStyle w:val="Titre3"/>
      </w:pPr>
      <w:bookmarkStart w:id="77" w:name="_Toc60781004"/>
      <w:r w:rsidRPr="00A847B7">
        <w:t xml:space="preserve">Slide </w:t>
      </w:r>
      <w:r w:rsidR="001C14A6">
        <w:t>50</w:t>
      </w:r>
      <w:r w:rsidRPr="00A847B7">
        <w:t xml:space="preserve"> : </w:t>
      </w:r>
      <w:r>
        <w:t>Restructuration dans les groupes</w:t>
      </w:r>
      <w:r w:rsidR="00AD1B79">
        <w:t xml:space="preserve"> de société</w:t>
      </w:r>
      <w:bookmarkEnd w:id="77"/>
    </w:p>
    <w:p w14:paraId="4966CB40" w14:textId="276956DB" w:rsidR="00335583" w:rsidRPr="00A847B7" w:rsidRDefault="00147770" w:rsidP="00147770">
      <w:pPr>
        <w:rPr>
          <w:rFonts w:cstheme="minorHAnsi"/>
        </w:rPr>
      </w:pPr>
      <w:r w:rsidRPr="004F587E">
        <w:rPr>
          <w:u w:val="single"/>
        </w:rPr>
        <w:t xml:space="preserve">Source </w:t>
      </w:r>
      <w:r w:rsidRPr="00A847B7">
        <w:t>:</w:t>
      </w:r>
      <w:r w:rsidR="00335583" w:rsidRPr="00A847B7">
        <w:t xml:space="preserve"> Loi de Finances pour 2021,</w:t>
      </w:r>
      <w:r w:rsidR="00335583">
        <w:t xml:space="preserve"> article </w:t>
      </w:r>
      <w:r w:rsidR="00B30511" w:rsidRPr="00B30511">
        <w:rPr>
          <w:rFonts w:cstheme="minorHAnsi"/>
        </w:rPr>
        <w:t>30</w:t>
      </w:r>
    </w:p>
    <w:p w14:paraId="23E783F4" w14:textId="77777777" w:rsidR="00F06ADE" w:rsidRDefault="00F06ADE" w:rsidP="00F06ADE">
      <w:pPr>
        <w:rPr>
          <w:rFonts w:eastAsia="Times New Roman"/>
          <w:lang w:eastAsia="fr-FR"/>
        </w:rPr>
      </w:pPr>
      <w:r>
        <w:rPr>
          <w:rFonts w:eastAsia="Times New Roman"/>
          <w:lang w:eastAsia="fr-FR"/>
        </w:rPr>
        <w:t>Lorsqu’une société absorbe la société mère d’un groupe, 2 options s’offrent à elle :</w:t>
      </w:r>
    </w:p>
    <w:p w14:paraId="03BDEE01" w14:textId="77777777" w:rsidR="00F06ADE" w:rsidRDefault="00F06ADE" w:rsidP="00EE0687">
      <w:pPr>
        <w:pStyle w:val="Paragraphedeliste"/>
        <w:numPr>
          <w:ilvl w:val="0"/>
          <w:numId w:val="283"/>
        </w:numPr>
        <w:rPr>
          <w:rFonts w:eastAsia="Times New Roman"/>
          <w:lang w:eastAsia="fr-FR"/>
        </w:rPr>
      </w:pPr>
      <w:r>
        <w:rPr>
          <w:rFonts w:eastAsia="Times New Roman"/>
          <w:lang w:eastAsia="fr-FR"/>
        </w:rPr>
        <w:t>elle peut constituer un nouveau groupe avec les filiales du groupe dissous, toutes conditions par ailleurs remplies ;</w:t>
      </w:r>
    </w:p>
    <w:p w14:paraId="28603EFB" w14:textId="77777777" w:rsidR="00F06ADE" w:rsidRPr="00775CFF" w:rsidRDefault="00F06ADE" w:rsidP="00EE0687">
      <w:pPr>
        <w:pStyle w:val="Paragraphedeliste"/>
        <w:numPr>
          <w:ilvl w:val="0"/>
          <w:numId w:val="283"/>
        </w:numPr>
        <w:rPr>
          <w:rFonts w:eastAsia="Times New Roman"/>
          <w:lang w:eastAsia="fr-FR"/>
        </w:rPr>
      </w:pPr>
      <w:r>
        <w:rPr>
          <w:rFonts w:eastAsia="Times New Roman"/>
          <w:lang w:eastAsia="fr-FR"/>
        </w:rPr>
        <w:t>elle peut élargir son propre groupe aux filiales de l’ancien groupe, si elle est déjà une « société mère ».</w:t>
      </w:r>
    </w:p>
    <w:p w14:paraId="0F5CF9E1" w14:textId="77777777" w:rsidR="00F06ADE" w:rsidRDefault="00F06ADE" w:rsidP="00F06ADE">
      <w:pPr>
        <w:rPr>
          <w:rFonts w:eastAsia="Times New Roman"/>
          <w:lang w:eastAsia="fr-FR"/>
        </w:rPr>
      </w:pPr>
      <w:r>
        <w:rPr>
          <w:rFonts w:eastAsia="Times New Roman"/>
          <w:lang w:eastAsia="fr-FR"/>
        </w:rPr>
        <w:t>Au plus tard à l’expiration du délai de dépôt de la déclaration de résultat, l’absorbante doit :</w:t>
      </w:r>
    </w:p>
    <w:p w14:paraId="7CEAE648" w14:textId="77777777" w:rsidR="00F06ADE" w:rsidRDefault="00F06ADE" w:rsidP="00EE0687">
      <w:pPr>
        <w:pStyle w:val="Paragraphedeliste"/>
        <w:numPr>
          <w:ilvl w:val="0"/>
          <w:numId w:val="284"/>
        </w:numPr>
        <w:rPr>
          <w:rFonts w:eastAsia="Times New Roman"/>
          <w:lang w:eastAsia="fr-FR"/>
        </w:rPr>
      </w:pPr>
      <w:r>
        <w:rPr>
          <w:rFonts w:eastAsia="Times New Roman"/>
          <w:lang w:eastAsia="fr-FR"/>
        </w:rPr>
        <w:t>exercer l’option pour le régime de l’intégration fiscale, si elle constitue un nouveau groupe ;</w:t>
      </w:r>
    </w:p>
    <w:p w14:paraId="5A91452D" w14:textId="77777777" w:rsidR="00F06ADE" w:rsidRPr="00775CFF" w:rsidRDefault="00F06ADE" w:rsidP="00EE0687">
      <w:pPr>
        <w:pStyle w:val="Paragraphedeliste"/>
        <w:numPr>
          <w:ilvl w:val="0"/>
          <w:numId w:val="284"/>
        </w:numPr>
        <w:rPr>
          <w:rFonts w:eastAsia="Times New Roman"/>
          <w:lang w:eastAsia="fr-FR"/>
        </w:rPr>
      </w:pPr>
      <w:r>
        <w:rPr>
          <w:rFonts w:eastAsia="Times New Roman"/>
          <w:lang w:eastAsia="fr-FR"/>
        </w:rPr>
        <w:t>ou élargir son périmètre, si elle est déjà mère d’un groupe.</w:t>
      </w:r>
    </w:p>
    <w:p w14:paraId="1217B447" w14:textId="77777777" w:rsidR="00F06ADE" w:rsidRDefault="00F06ADE" w:rsidP="00F06ADE">
      <w:pPr>
        <w:rPr>
          <w:rFonts w:eastAsia="Times New Roman"/>
          <w:lang w:eastAsia="fr-FR"/>
        </w:rPr>
      </w:pPr>
      <w:r>
        <w:rPr>
          <w:rFonts w:eastAsia="Times New Roman"/>
          <w:lang w:eastAsia="fr-FR"/>
        </w:rPr>
        <w:lastRenderedPageBreak/>
        <w:t xml:space="preserve">Sous réserve, le cas échéant de l’obtention d’un agrément, </w:t>
      </w:r>
      <w:r w:rsidRPr="00C234D4">
        <w:rPr>
          <w:rFonts w:eastAsia="Times New Roman"/>
          <w:lang w:eastAsia="fr-FR"/>
        </w:rPr>
        <w:t>la fraction du déficit qui n'a pu être reportée au titre d'un exercice</w:t>
      </w:r>
      <w:r>
        <w:rPr>
          <w:rFonts w:eastAsia="Times New Roman"/>
          <w:lang w:eastAsia="fr-FR"/>
        </w:rPr>
        <w:t xml:space="preserve"> </w:t>
      </w:r>
      <w:r w:rsidRPr="00C234D4">
        <w:rPr>
          <w:rFonts w:eastAsia="Times New Roman"/>
          <w:lang w:eastAsia="fr-FR"/>
        </w:rPr>
        <w:t>peut, dans la mesure où ce déficit correspond à celui de la société mère absorbée ou à celui des sociétés membres du groupe ayant cessé et qui font partie du nouveau groupe, s'imputer sur les résultats</w:t>
      </w:r>
      <w:r>
        <w:rPr>
          <w:rFonts w:eastAsia="Times New Roman"/>
          <w:lang w:eastAsia="fr-FR"/>
        </w:rPr>
        <w:t xml:space="preserve"> des sociétés en question. </w:t>
      </w:r>
    </w:p>
    <w:p w14:paraId="326BD4F8" w14:textId="77777777" w:rsidR="00F06ADE" w:rsidRDefault="00F06ADE" w:rsidP="00F06ADE">
      <w:pPr>
        <w:rPr>
          <w:rFonts w:eastAsia="Times New Roman"/>
          <w:lang w:eastAsia="fr-FR"/>
        </w:rPr>
      </w:pPr>
      <w:r>
        <w:rPr>
          <w:rFonts w:eastAsia="Times New Roman"/>
          <w:lang w:eastAsia="fr-FR"/>
        </w:rPr>
        <w:t>La Loi de Finances pour 2021 étend cette possibilité d’imputation à la fraction du déficit qui n’a pu être reportée et qui correspond à celui des sociétés membres du groupe ayant cessé qui ont été absorbées par les sociétés du nouveau groupe ou scindées au profit de celles-ci antérieurement à la cessation de ce groupe.</w:t>
      </w:r>
    </w:p>
    <w:p w14:paraId="2D5E4E70" w14:textId="74C844D7" w:rsidR="003374EB" w:rsidRPr="00775CFF" w:rsidRDefault="00F06ADE" w:rsidP="00DF7E83">
      <w:pPr>
        <w:rPr>
          <w:rFonts w:eastAsia="Times New Roman"/>
          <w:lang w:eastAsia="fr-FR"/>
        </w:rPr>
      </w:pPr>
      <w:r>
        <w:rPr>
          <w:rFonts w:eastAsia="Times New Roman"/>
          <w:lang w:eastAsia="fr-FR"/>
        </w:rPr>
        <w:t xml:space="preserve">Elle prévoit le même aménagement pour les </w:t>
      </w:r>
      <w:r w:rsidRPr="002E147D">
        <w:rPr>
          <w:rFonts w:eastAsia="Times New Roman"/>
          <w:lang w:eastAsia="fr-FR"/>
        </w:rPr>
        <w:t>charges financières nettes non déduites et la capacité de déduction inemployée</w:t>
      </w:r>
      <w:r>
        <w:rPr>
          <w:rFonts w:eastAsia="Times New Roman"/>
          <w:lang w:eastAsia="fr-FR"/>
        </w:rPr>
        <w:t xml:space="preserve"> : jusqu’à présent n’étaient concernées que celles qui étaient dégagées par la société </w:t>
      </w:r>
      <w:r w:rsidRPr="002E147D">
        <w:rPr>
          <w:rFonts w:eastAsia="Times New Roman"/>
          <w:lang w:eastAsia="fr-FR"/>
        </w:rPr>
        <w:t>absorbée ou scindée ou des sociétés membres du groupe auquel il a été mis fin qui font partie du nouveau groupe</w:t>
      </w:r>
      <w:r>
        <w:rPr>
          <w:rFonts w:eastAsia="Times New Roman"/>
          <w:lang w:eastAsia="fr-FR"/>
        </w:rPr>
        <w:t>. Désormais, sont également concernées celles qui proviennent des sociétés membres du groupe auquel il a été mis fin et qui ont été absorbées par des sociétés membre de ce groupe ou scindées au profit de celles-ci antérieurement à l’entrée de ces sociétés dans le nouveau groupe.</w:t>
      </w:r>
    </w:p>
    <w:p w14:paraId="6498A6CB" w14:textId="77777777" w:rsidR="00D66C56" w:rsidRPr="00A847B7" w:rsidRDefault="00D66C56" w:rsidP="00EC58E9">
      <w:pPr>
        <w:spacing w:beforeAutospacing="1" w:after="100" w:afterAutospacing="1"/>
        <w:rPr>
          <w:rFonts w:cstheme="minorHAnsi"/>
        </w:rPr>
      </w:pPr>
    </w:p>
    <w:p w14:paraId="195AFE95" w14:textId="74BD21EE" w:rsidR="00EC58E9" w:rsidRPr="00A847B7" w:rsidRDefault="00EC58E9" w:rsidP="00EC58E9">
      <w:pPr>
        <w:rPr>
          <w:rFonts w:cstheme="minorHAnsi"/>
        </w:rPr>
      </w:pPr>
      <w:r w:rsidRPr="00A847B7">
        <w:rPr>
          <w:rFonts w:cstheme="minorHAnsi"/>
        </w:rPr>
        <w:br w:type="page"/>
      </w:r>
    </w:p>
    <w:p w14:paraId="0A230BF6" w14:textId="77777777" w:rsidR="00EC58E9" w:rsidRPr="00A847B7" w:rsidRDefault="00EC58E9" w:rsidP="00EC58E9">
      <w:pPr>
        <w:jc w:val="center"/>
        <w:rPr>
          <w:b/>
        </w:rPr>
      </w:pPr>
    </w:p>
    <w:p w14:paraId="38FB137D" w14:textId="50B2C251" w:rsidR="002C7029" w:rsidRDefault="002C7029" w:rsidP="002C7029">
      <w:pPr>
        <w:pStyle w:val="Titre2"/>
      </w:pPr>
      <w:bookmarkStart w:id="78" w:name="_Toc30149275"/>
      <w:bookmarkStart w:id="79" w:name="_Toc60781005"/>
      <w:r w:rsidRPr="00A847B7">
        <w:t>Réductions et crédits d’impôt</w:t>
      </w:r>
      <w:bookmarkEnd w:id="78"/>
      <w:bookmarkEnd w:id="79"/>
    </w:p>
    <w:p w14:paraId="74D56F2B" w14:textId="77777777" w:rsidR="00147770" w:rsidRPr="00147770" w:rsidRDefault="00147770" w:rsidP="00147770"/>
    <w:p w14:paraId="644A7F72" w14:textId="3B44A900" w:rsidR="00EC58E9" w:rsidRPr="00A847B7" w:rsidRDefault="00EC58E9" w:rsidP="00EC58E9">
      <w:pPr>
        <w:pStyle w:val="Titre3"/>
      </w:pPr>
      <w:bookmarkStart w:id="80" w:name="_Toc60781006"/>
      <w:r w:rsidRPr="00A847B7">
        <w:t xml:space="preserve">Slide </w:t>
      </w:r>
      <w:r w:rsidR="009C33CB">
        <w:t>51</w:t>
      </w:r>
      <w:r w:rsidRPr="00A847B7">
        <w:t xml:space="preserve"> : </w:t>
      </w:r>
      <w:r w:rsidR="003D656A" w:rsidRPr="00A847B7">
        <w:t>Crédit d’impôt recherche et crédit d’impôt innovation</w:t>
      </w:r>
      <w:bookmarkEnd w:id="80"/>
    </w:p>
    <w:p w14:paraId="19081F71" w14:textId="6E3D1AFF" w:rsidR="00EC58E9" w:rsidRPr="00A847B7" w:rsidRDefault="00147770" w:rsidP="00EC58E9">
      <w:r w:rsidRPr="004F587E">
        <w:rPr>
          <w:u w:val="single"/>
        </w:rPr>
        <w:t xml:space="preserve">Source </w:t>
      </w:r>
      <w:r w:rsidRPr="00A847B7">
        <w:t>:</w:t>
      </w:r>
      <w:r w:rsidR="0042144B" w:rsidRPr="00A847B7">
        <w:t xml:space="preserve"> Loi de Finances pour 2021, </w:t>
      </w:r>
      <w:r w:rsidR="0042144B" w:rsidRPr="005A54C4">
        <w:t xml:space="preserve">article </w:t>
      </w:r>
      <w:r w:rsidR="00B30511" w:rsidRPr="00B30511">
        <w:t>35</w:t>
      </w:r>
    </w:p>
    <w:p w14:paraId="67AB0286" w14:textId="6F1ADD9A" w:rsidR="00EC58E9" w:rsidRPr="00A847B7" w:rsidRDefault="003D656A" w:rsidP="00EE0687">
      <w:pPr>
        <w:pStyle w:val="Paragraphedeliste"/>
        <w:numPr>
          <w:ilvl w:val="0"/>
          <w:numId w:val="78"/>
        </w:numPr>
        <w:spacing w:beforeAutospacing="1" w:after="100" w:afterAutospacing="1"/>
        <w:rPr>
          <w:rFonts w:cstheme="minorHAnsi"/>
          <w:b/>
          <w:i/>
          <w:u w:val="single"/>
        </w:rPr>
      </w:pPr>
      <w:r w:rsidRPr="00A847B7">
        <w:rPr>
          <w:rFonts w:cstheme="minorHAnsi"/>
          <w:b/>
          <w:bCs/>
          <w:i/>
          <w:iCs/>
          <w:u w:val="single"/>
        </w:rPr>
        <w:t>Le dispositif du crédit d’impôt recherche et du crédit d’impôt innovation</w:t>
      </w:r>
    </w:p>
    <w:p w14:paraId="6D72838F" w14:textId="77777777" w:rsidR="0088230B" w:rsidRPr="00A847B7" w:rsidRDefault="00A72ABD" w:rsidP="0088230B">
      <w:pPr>
        <w:rPr>
          <w:rStyle w:val="txt"/>
        </w:rPr>
      </w:pPr>
      <w:r w:rsidRPr="00A847B7">
        <w:rPr>
          <w:rStyle w:val="txt"/>
        </w:rPr>
        <w:t xml:space="preserve">Les entreprises </w:t>
      </w:r>
      <w:r w:rsidRPr="00A847B7">
        <w:rPr>
          <w:rStyle w:val="txtbold"/>
        </w:rPr>
        <w:t>industrielles, commerciales, non commerciales, artisanales ou agricoles</w:t>
      </w:r>
      <w:r w:rsidRPr="00A847B7">
        <w:rPr>
          <w:rStyle w:val="txt"/>
        </w:rPr>
        <w:t xml:space="preserve"> imposées selon un </w:t>
      </w:r>
      <w:r w:rsidRPr="00A847B7">
        <w:rPr>
          <w:rStyle w:val="txtbold"/>
        </w:rPr>
        <w:t>régime réel</w:t>
      </w:r>
      <w:r w:rsidRPr="00A847B7">
        <w:rPr>
          <w:rStyle w:val="txt"/>
        </w:rPr>
        <w:t xml:space="preserve"> qui exposent des dépenses de recherche ou d'innovation peuvent bénéficier d'un crédit d'impôt.</w:t>
      </w:r>
    </w:p>
    <w:p w14:paraId="049EEEA5" w14:textId="50DEDDA1" w:rsidR="008D585A" w:rsidRPr="00A847B7" w:rsidRDefault="008D585A" w:rsidP="0088230B">
      <w:pPr>
        <w:rPr>
          <w:rStyle w:val="txt"/>
        </w:rPr>
      </w:pPr>
      <w:r w:rsidRPr="00A847B7">
        <w:rPr>
          <w:rStyle w:val="txt"/>
        </w:rPr>
        <w:t xml:space="preserve">S’agissant du </w:t>
      </w:r>
      <w:r w:rsidR="00A72ABD" w:rsidRPr="00A847B7">
        <w:rPr>
          <w:rStyle w:val="txt"/>
        </w:rPr>
        <w:t xml:space="preserve">crédit d'impôt </w:t>
      </w:r>
      <w:r w:rsidR="0088230B" w:rsidRPr="00A847B7">
        <w:rPr>
          <w:rStyle w:val="txt"/>
        </w:rPr>
        <w:t>recherche</w:t>
      </w:r>
      <w:r w:rsidRPr="00A847B7">
        <w:rPr>
          <w:rStyle w:val="txt"/>
        </w:rPr>
        <w:t xml:space="preserve">, l’avantage fiscal </w:t>
      </w:r>
      <w:r w:rsidR="00A72ABD" w:rsidRPr="00A847B7">
        <w:rPr>
          <w:rStyle w:val="txt"/>
        </w:rPr>
        <w:t xml:space="preserve">est égal à </w:t>
      </w:r>
      <w:r w:rsidR="00A72ABD" w:rsidRPr="00A847B7">
        <w:rPr>
          <w:rStyle w:val="txtbold"/>
        </w:rPr>
        <w:t>30 %</w:t>
      </w:r>
      <w:r w:rsidR="00A72ABD" w:rsidRPr="00A847B7">
        <w:rPr>
          <w:rStyle w:val="txt"/>
        </w:rPr>
        <w:t xml:space="preserve"> de la fraction des </w:t>
      </w:r>
      <w:r w:rsidR="00A72ABD" w:rsidRPr="00A847B7">
        <w:rPr>
          <w:rStyle w:val="txtbold"/>
        </w:rPr>
        <w:t>dépenses de recherche</w:t>
      </w:r>
      <w:r w:rsidR="00A72ABD" w:rsidRPr="00A847B7">
        <w:rPr>
          <w:rStyle w:val="txt"/>
        </w:rPr>
        <w:t xml:space="preserve"> </w:t>
      </w:r>
      <w:r w:rsidRPr="00A847B7">
        <w:rPr>
          <w:rStyle w:val="txt"/>
        </w:rPr>
        <w:t xml:space="preserve">éligibles </w:t>
      </w:r>
      <w:r w:rsidR="00A72ABD" w:rsidRPr="00A847B7">
        <w:rPr>
          <w:rStyle w:val="txt"/>
        </w:rPr>
        <w:t xml:space="preserve">n'excédant pas 100 M € et à </w:t>
      </w:r>
      <w:r w:rsidR="00A72ABD" w:rsidRPr="00A847B7">
        <w:rPr>
          <w:rStyle w:val="txtbold"/>
        </w:rPr>
        <w:t>5 %</w:t>
      </w:r>
      <w:r w:rsidR="00A72ABD" w:rsidRPr="00A847B7">
        <w:rPr>
          <w:rStyle w:val="txt"/>
        </w:rPr>
        <w:t xml:space="preserve"> au-delà de ce seuil. </w:t>
      </w:r>
    </w:p>
    <w:p w14:paraId="0A80B212" w14:textId="2B749587" w:rsidR="00A72ABD" w:rsidRPr="00A847B7" w:rsidRDefault="008D585A" w:rsidP="0088230B">
      <w:pPr>
        <w:rPr>
          <w:rStyle w:val="txt"/>
        </w:rPr>
      </w:pPr>
      <w:r w:rsidRPr="00A847B7">
        <w:rPr>
          <w:rStyle w:val="txt"/>
        </w:rPr>
        <w:t xml:space="preserve">S’agissant du crédit d’impôt innovation, ouvert spécifiquement aux entreprises répondant à la définition </w:t>
      </w:r>
      <w:r w:rsidR="00145592" w:rsidRPr="00A847B7">
        <w:rPr>
          <w:rStyle w:val="txt"/>
        </w:rPr>
        <w:t>communautaire</w:t>
      </w:r>
      <w:r w:rsidRPr="00A847B7">
        <w:rPr>
          <w:rStyle w:val="txt"/>
        </w:rPr>
        <w:t xml:space="preserve"> des PME, </w:t>
      </w:r>
      <w:r w:rsidR="00A00FC2" w:rsidRPr="00A847B7">
        <w:rPr>
          <w:rStyle w:val="txt"/>
        </w:rPr>
        <w:t xml:space="preserve">l’avantage fiscal </w:t>
      </w:r>
      <w:r w:rsidR="00A72ABD" w:rsidRPr="00A847B7">
        <w:rPr>
          <w:rStyle w:val="txt"/>
        </w:rPr>
        <w:t xml:space="preserve">est égal à </w:t>
      </w:r>
      <w:r w:rsidR="00A72ABD" w:rsidRPr="00A847B7">
        <w:rPr>
          <w:rStyle w:val="txtbold"/>
        </w:rPr>
        <w:t>20 %</w:t>
      </w:r>
      <w:r w:rsidR="00A72ABD" w:rsidRPr="00A847B7">
        <w:rPr>
          <w:rStyle w:val="txt"/>
        </w:rPr>
        <w:t xml:space="preserve"> des dépenses</w:t>
      </w:r>
      <w:r w:rsidR="00A00FC2" w:rsidRPr="00A847B7">
        <w:rPr>
          <w:rStyle w:val="txt"/>
        </w:rPr>
        <w:t xml:space="preserve"> d’innovation </w:t>
      </w:r>
      <w:r w:rsidR="00A72ABD" w:rsidRPr="00A847B7">
        <w:rPr>
          <w:rStyle w:val="txt"/>
        </w:rPr>
        <w:t>éligibles retenues dans la limite globale de 400 000 € par an, soit un montant maximum de crédit d'impôt de 80 000 € par an</w:t>
      </w:r>
      <w:r w:rsidR="00A00FC2" w:rsidRPr="00A847B7">
        <w:rPr>
          <w:rStyle w:val="txt"/>
        </w:rPr>
        <w:t>.</w:t>
      </w:r>
    </w:p>
    <w:p w14:paraId="34A9B49B" w14:textId="6F90F570" w:rsidR="00A00FC2" w:rsidRPr="00A847B7" w:rsidRDefault="00A00FC2" w:rsidP="0088230B">
      <w:pPr>
        <w:rPr>
          <w:rStyle w:val="txt"/>
        </w:rPr>
      </w:pPr>
      <w:r w:rsidRPr="00A847B7">
        <w:rPr>
          <w:rStyle w:val="txt"/>
        </w:rPr>
        <w:t xml:space="preserve">Pour rappel, une PME au sens communautaire du terme est une entreprise qui emploie </w:t>
      </w:r>
      <w:r w:rsidRPr="00A847B7">
        <w:rPr>
          <w:rStyle w:val="hgkelc"/>
        </w:rPr>
        <w:t xml:space="preserve">moins de 250 salariés et dont </w:t>
      </w:r>
      <w:r w:rsidR="0067024B" w:rsidRPr="00A847B7">
        <w:rPr>
          <w:rStyle w:val="hgkelc"/>
        </w:rPr>
        <w:t xml:space="preserve">le chiffre d’affaires </w:t>
      </w:r>
      <w:r w:rsidR="00463667" w:rsidRPr="00A847B7">
        <w:rPr>
          <w:rStyle w:val="hgkelc"/>
        </w:rPr>
        <w:t xml:space="preserve">annuel </w:t>
      </w:r>
      <w:r w:rsidRPr="00A847B7">
        <w:rPr>
          <w:rStyle w:val="hgkelc"/>
        </w:rPr>
        <w:t xml:space="preserve">n'excède pas 50 millions d'euros ou </w:t>
      </w:r>
      <w:r w:rsidR="00463667" w:rsidRPr="00A847B7">
        <w:rPr>
          <w:rStyle w:val="hgkelc"/>
        </w:rPr>
        <w:t xml:space="preserve">dont le </w:t>
      </w:r>
      <w:r w:rsidRPr="00A847B7">
        <w:rPr>
          <w:rStyle w:val="hgkelc"/>
        </w:rPr>
        <w:t xml:space="preserve">total de bilan annuel </w:t>
      </w:r>
      <w:r w:rsidR="00463667" w:rsidRPr="00A847B7">
        <w:rPr>
          <w:rStyle w:val="hgkelc"/>
        </w:rPr>
        <w:t xml:space="preserve">n’excède pas </w:t>
      </w:r>
      <w:r w:rsidRPr="00A847B7">
        <w:rPr>
          <w:rStyle w:val="hgkelc"/>
        </w:rPr>
        <w:t>43 millions d'euros.</w:t>
      </w:r>
    </w:p>
    <w:p w14:paraId="66613107" w14:textId="5158EDFD" w:rsidR="00F875A8" w:rsidRPr="00A847B7" w:rsidRDefault="00F875A8" w:rsidP="0088230B">
      <w:r w:rsidRPr="00A847B7">
        <w:t>S’agissant des dépenses éligibles</w:t>
      </w:r>
      <w:r w:rsidR="00D5453B">
        <w:t>,</w:t>
      </w:r>
      <w:r w:rsidRPr="00A847B7">
        <w:t xml:space="preserve"> p</w:t>
      </w:r>
      <w:r w:rsidR="009264B4" w:rsidRPr="00A847B7">
        <w:t>euvent être pris en compte</w:t>
      </w:r>
      <w:r w:rsidRPr="00A847B7">
        <w:t> :</w:t>
      </w:r>
    </w:p>
    <w:p w14:paraId="4B9D2A02" w14:textId="77777777" w:rsidR="00F875A8" w:rsidRPr="00A847B7" w:rsidRDefault="009264B4" w:rsidP="00EE0687">
      <w:pPr>
        <w:pStyle w:val="Paragraphedeliste"/>
        <w:numPr>
          <w:ilvl w:val="0"/>
          <w:numId w:val="80"/>
        </w:numPr>
      </w:pPr>
      <w:r w:rsidRPr="00A847B7">
        <w:t xml:space="preserve">les amortissements déductibles des immobilisations et des brevets acquis et affectés aux opérations de recherche, </w:t>
      </w:r>
    </w:p>
    <w:p w14:paraId="1F0F3330" w14:textId="7AD07239" w:rsidR="00F875A8" w:rsidRPr="00A847B7" w:rsidRDefault="009264B4" w:rsidP="00EE0687">
      <w:pPr>
        <w:pStyle w:val="Paragraphedeliste"/>
        <w:numPr>
          <w:ilvl w:val="0"/>
          <w:numId w:val="80"/>
        </w:numPr>
      </w:pPr>
      <w:r w:rsidRPr="00A847B7">
        <w:t xml:space="preserve">la rémunération et les charges sociales obligatoires des personnels affectés à ces opérations, les dépenses de fonctionnement (fixées à </w:t>
      </w:r>
      <w:r w:rsidR="002A1AC1" w:rsidRPr="00A847B7">
        <w:t>43</w:t>
      </w:r>
      <w:r w:rsidRPr="00A847B7">
        <w:t xml:space="preserve"> % des dépenses de personnel précitées et à 75 % de la dotation aux amortissements), </w:t>
      </w:r>
    </w:p>
    <w:p w14:paraId="02109A77" w14:textId="77777777" w:rsidR="002A1AC1" w:rsidRPr="00A847B7" w:rsidRDefault="009264B4" w:rsidP="00EE0687">
      <w:pPr>
        <w:pStyle w:val="Paragraphedeliste"/>
        <w:numPr>
          <w:ilvl w:val="0"/>
          <w:numId w:val="80"/>
        </w:numPr>
      </w:pPr>
      <w:r w:rsidRPr="00A847B7">
        <w:t>les frais de prise, de maintenance et de défense des brevets et des certificats d'obtention végétale,</w:t>
      </w:r>
    </w:p>
    <w:p w14:paraId="266F9E2A" w14:textId="77777777" w:rsidR="002A1AC1" w:rsidRPr="00A847B7" w:rsidRDefault="009264B4" w:rsidP="00EE0687">
      <w:pPr>
        <w:pStyle w:val="Paragraphedeliste"/>
        <w:numPr>
          <w:ilvl w:val="0"/>
          <w:numId w:val="80"/>
        </w:numPr>
      </w:pPr>
      <w:r w:rsidRPr="00A847B7">
        <w:t xml:space="preserve">les dépenses de veille technologique </w:t>
      </w:r>
      <w:r w:rsidRPr="00A847B7">
        <w:rPr>
          <w:rStyle w:val="txt"/>
        </w:rPr>
        <w:t>exposées lors de la réalisation d'opérations de recherche dans la limite de 60 000 € par an</w:t>
      </w:r>
      <w:r w:rsidRPr="00A847B7">
        <w:t xml:space="preserve">, </w:t>
      </w:r>
    </w:p>
    <w:p w14:paraId="7F60197B" w14:textId="77777777" w:rsidR="00A27AC9" w:rsidRPr="00A847B7" w:rsidRDefault="009264B4" w:rsidP="00EE0687">
      <w:pPr>
        <w:pStyle w:val="Paragraphedeliste"/>
        <w:numPr>
          <w:ilvl w:val="0"/>
          <w:numId w:val="80"/>
        </w:numPr>
      </w:pPr>
      <w:r w:rsidRPr="00A847B7">
        <w:t xml:space="preserve">le coût des opérations de recherche sous-traitées à des organismes agréés, </w:t>
      </w:r>
    </w:p>
    <w:p w14:paraId="40F17720" w14:textId="0FE92C95" w:rsidR="002A1AC1" w:rsidRPr="00A847B7" w:rsidRDefault="009264B4" w:rsidP="00EE0687">
      <w:pPr>
        <w:pStyle w:val="Paragraphedeliste"/>
        <w:numPr>
          <w:ilvl w:val="0"/>
          <w:numId w:val="80"/>
        </w:numPr>
        <w:rPr>
          <w:rStyle w:val="txt"/>
        </w:rPr>
      </w:pPr>
      <w:r w:rsidRPr="00A847B7">
        <w:rPr>
          <w:rStyle w:val="txt"/>
        </w:rPr>
        <w:t xml:space="preserve">les frais d'élaboration de </w:t>
      </w:r>
      <w:r w:rsidRPr="00A847B7">
        <w:rPr>
          <w:rStyle w:val="txtbold"/>
        </w:rPr>
        <w:t>nouvelles collections</w:t>
      </w:r>
      <w:r w:rsidRPr="00A847B7">
        <w:rPr>
          <w:rStyle w:val="txt"/>
        </w:rPr>
        <w:t xml:space="preserve"> dans les entreprises industrielles du secteur textile-habillement-cuir,</w:t>
      </w:r>
    </w:p>
    <w:p w14:paraId="472FB785" w14:textId="0686F542" w:rsidR="009264B4" w:rsidRPr="00A847B7" w:rsidRDefault="002A1AC1" w:rsidP="00EE0687">
      <w:pPr>
        <w:pStyle w:val="Paragraphedeliste"/>
        <w:numPr>
          <w:ilvl w:val="0"/>
          <w:numId w:val="80"/>
        </w:numPr>
      </w:pPr>
      <w:r w:rsidRPr="00A847B7">
        <w:rPr>
          <w:rStyle w:val="txt"/>
        </w:rPr>
        <w:t xml:space="preserve">pour le crédit d’impôt innovation, </w:t>
      </w:r>
      <w:r w:rsidR="009264B4" w:rsidRPr="00A847B7">
        <w:rPr>
          <w:rStyle w:val="txt"/>
        </w:rPr>
        <w:t>les dépenses d'innovation exposées au titre de la réalisation d'opérations de conception de prototypes de nouveaux produits ou installations pilotes de même nature, y compris lorsque ces opérations sont sous-traitées à des entreprises ou bureaux d'études agréés.</w:t>
      </w:r>
    </w:p>
    <w:p w14:paraId="0ABED3E8" w14:textId="77777777" w:rsidR="00906FC6" w:rsidRPr="00A847B7" w:rsidRDefault="00906FC6" w:rsidP="00906FC6">
      <w:pPr>
        <w:spacing w:beforeAutospacing="1" w:after="100" w:afterAutospacing="1"/>
        <w:rPr>
          <w:rFonts w:cstheme="minorHAnsi"/>
        </w:rPr>
      </w:pPr>
      <w:r w:rsidRPr="00A847B7">
        <w:rPr>
          <w:rFonts w:cstheme="minorHAnsi"/>
        </w:rPr>
        <w:t>S’agissant des dépenses de sous-traitance, il faut noter que :</w:t>
      </w:r>
    </w:p>
    <w:p w14:paraId="55D42D11" w14:textId="77777777" w:rsidR="00906FC6" w:rsidRPr="00A847B7" w:rsidRDefault="00906FC6" w:rsidP="00EE0687">
      <w:pPr>
        <w:pStyle w:val="Paragraphedeliste"/>
        <w:numPr>
          <w:ilvl w:val="0"/>
          <w:numId w:val="81"/>
        </w:numPr>
        <w:spacing w:beforeAutospacing="1" w:after="100" w:afterAutospacing="1"/>
        <w:rPr>
          <w:rFonts w:cstheme="minorHAnsi"/>
        </w:rPr>
      </w:pPr>
      <w:r w:rsidRPr="00A847B7">
        <w:rPr>
          <w:rFonts w:cstheme="minorHAnsi"/>
        </w:rPr>
        <w:t xml:space="preserve">les dépenses exposées pour la réalisation d’opérations de recherche confiées à des organismes de recherche publics ou assimilés sont retenues pour le double de leur montant en l’absence de liens </w:t>
      </w:r>
      <w:r w:rsidRPr="00A847B7">
        <w:rPr>
          <w:rFonts w:cstheme="minorHAnsi"/>
        </w:rPr>
        <w:lastRenderedPageBreak/>
        <w:t>de dépendance entre ces organismes et l’entreprise et, pour les dépenses engagées depuis le 1</w:t>
      </w:r>
      <w:r w:rsidRPr="00A847B7">
        <w:rPr>
          <w:rFonts w:cstheme="minorHAnsi"/>
          <w:vertAlign w:val="superscript"/>
        </w:rPr>
        <w:t>er</w:t>
      </w:r>
      <w:r w:rsidRPr="00A847B7">
        <w:rPr>
          <w:rFonts w:cstheme="minorHAnsi"/>
        </w:rPr>
        <w:t xml:space="preserve"> janvier 2020, pour la seule part relative aux opérations réalisées par ces organismes ;</w:t>
      </w:r>
    </w:p>
    <w:p w14:paraId="47D1D172" w14:textId="37E60A89" w:rsidR="00906FC6" w:rsidRPr="00A847B7" w:rsidRDefault="00906FC6" w:rsidP="00EE0687">
      <w:pPr>
        <w:pStyle w:val="Paragraphedeliste"/>
        <w:numPr>
          <w:ilvl w:val="0"/>
          <w:numId w:val="81"/>
        </w:numPr>
        <w:spacing w:beforeAutospacing="1" w:after="100" w:afterAutospacing="1"/>
        <w:rPr>
          <w:rFonts w:cstheme="minorHAnsi"/>
        </w:rPr>
      </w:pPr>
      <w:r w:rsidRPr="00A847B7">
        <w:rPr>
          <w:rFonts w:cstheme="minorHAnsi"/>
        </w:rPr>
        <w:t>les</w:t>
      </w:r>
      <w:r w:rsidRPr="00A847B7">
        <w:t xml:space="preserve"> opérations de recherche sous-traitées à des organismes de recherche privés ou à des experts scientifiques ou techniques agréés sont retenues dans la limite de </w:t>
      </w:r>
      <w:r w:rsidR="00D5453B">
        <w:t>3</w:t>
      </w:r>
      <w:r w:rsidR="00D5453B" w:rsidRPr="00A847B7">
        <w:t xml:space="preserve"> </w:t>
      </w:r>
      <w:r w:rsidRPr="00A847B7">
        <w:t>fois le montant total des autres dépenses de recherche.</w:t>
      </w:r>
    </w:p>
    <w:p w14:paraId="575CEE4F" w14:textId="51FE7831" w:rsidR="00906FC6" w:rsidRPr="00A847B7" w:rsidRDefault="00906FC6" w:rsidP="00906FC6">
      <w:pPr>
        <w:spacing w:beforeAutospacing="1" w:after="100" w:afterAutospacing="1"/>
        <w:rPr>
          <w:rFonts w:cstheme="minorHAnsi"/>
        </w:rPr>
      </w:pPr>
      <w:r w:rsidRPr="00A847B7">
        <w:t>L'ensemble des dépenses de sous-traitance est plafonné à 10 M€ par an en l'absence de liens de dépendance entre l'entreprise et l'organisme prestataire et à 2 M€ dans le cas contraire. Le plafond de 10 M€ est majoré de 2 M€ pour les dépenses confiées aux organismes publics ou assimilés.</w:t>
      </w:r>
    </w:p>
    <w:p w14:paraId="232F3C1F" w14:textId="77777777" w:rsidR="00906FC6" w:rsidRPr="00A847B7" w:rsidRDefault="00906FC6" w:rsidP="00EE0687">
      <w:pPr>
        <w:pStyle w:val="Paragraphedeliste"/>
        <w:numPr>
          <w:ilvl w:val="0"/>
          <w:numId w:val="79"/>
        </w:numPr>
        <w:spacing w:beforeAutospacing="1" w:after="100" w:afterAutospacing="1"/>
        <w:rPr>
          <w:rFonts w:cstheme="minorHAnsi"/>
          <w:b/>
          <w:bCs/>
          <w:i/>
          <w:iCs/>
          <w:u w:val="single"/>
        </w:rPr>
      </w:pPr>
      <w:r w:rsidRPr="00A847B7">
        <w:rPr>
          <w:rFonts w:cstheme="minorHAnsi"/>
          <w:b/>
          <w:bCs/>
          <w:i/>
          <w:iCs/>
          <w:u w:val="single"/>
        </w:rPr>
        <w:t>Les aménagements</w:t>
      </w:r>
    </w:p>
    <w:p w14:paraId="6622288F" w14:textId="77777777" w:rsidR="00906FC6" w:rsidRPr="00A847B7" w:rsidRDefault="00906FC6" w:rsidP="00906FC6">
      <w:pPr>
        <w:spacing w:beforeAutospacing="1" w:after="100" w:afterAutospacing="1" w:line="240" w:lineRule="auto"/>
        <w:rPr>
          <w:rFonts w:eastAsia="Times New Roman" w:cs="Times New Roman"/>
          <w:lang w:eastAsia="fr-FR"/>
        </w:rPr>
      </w:pPr>
      <w:r w:rsidRPr="00A847B7">
        <w:rPr>
          <w:rFonts w:eastAsia="Times New Roman" w:cs="Times New Roman"/>
          <w:lang w:eastAsia="fr-FR"/>
        </w:rPr>
        <w:t>Pour les dépenses qui seront exposées à compter du 1</w:t>
      </w:r>
      <w:r w:rsidRPr="00A847B7">
        <w:rPr>
          <w:rFonts w:eastAsia="Times New Roman" w:cs="Times New Roman"/>
          <w:vertAlign w:val="superscript"/>
          <w:lang w:eastAsia="fr-FR"/>
        </w:rPr>
        <w:t>er</w:t>
      </w:r>
      <w:r w:rsidRPr="00A847B7">
        <w:rPr>
          <w:rFonts w:eastAsia="Times New Roman" w:cs="Times New Roman"/>
          <w:lang w:eastAsia="fr-FR"/>
        </w:rPr>
        <w:t> janvier 2022, les modalités de prise en compte des dépenses de recherche confiées à des organismes de recherche publics ou assimilés s’effectueront de manière similaire aux dépenses de recherche confiées à des organismes de recherche privés agréés.</w:t>
      </w:r>
    </w:p>
    <w:p w14:paraId="477AD1BC" w14:textId="77777777" w:rsidR="00906FC6" w:rsidRPr="00A847B7" w:rsidRDefault="00906FC6" w:rsidP="00906FC6">
      <w:pPr>
        <w:spacing w:beforeAutospacing="1" w:after="100" w:afterAutospacing="1" w:line="240" w:lineRule="auto"/>
        <w:rPr>
          <w:rFonts w:eastAsia="Times New Roman" w:cs="Times New Roman"/>
          <w:lang w:eastAsia="fr-FR"/>
        </w:rPr>
      </w:pPr>
      <w:r w:rsidRPr="00A847B7">
        <w:rPr>
          <w:rFonts w:eastAsia="Times New Roman" w:cs="Times New Roman"/>
          <w:lang w:eastAsia="fr-FR"/>
        </w:rPr>
        <w:t xml:space="preserve">Par voie de conséquence, il ne faudra plus tenir compte du doublement des dépenses de confiées aux organismes publics et de la majoration du plafond de 10 M€. </w:t>
      </w:r>
    </w:p>
    <w:p w14:paraId="4DCD06B1" w14:textId="37567390" w:rsidR="00906FC6" w:rsidRPr="00A847B7" w:rsidRDefault="00906FC6" w:rsidP="00906FC6">
      <w:pPr>
        <w:spacing w:beforeAutospacing="1" w:after="100" w:afterAutospacing="1" w:line="240" w:lineRule="auto"/>
        <w:rPr>
          <w:rFonts w:eastAsia="Times New Roman" w:cs="Times New Roman"/>
          <w:lang w:eastAsia="fr-FR"/>
        </w:rPr>
      </w:pPr>
      <w:r w:rsidRPr="00A847B7">
        <w:rPr>
          <w:rFonts w:eastAsia="Times New Roman" w:cs="Times New Roman"/>
          <w:lang w:eastAsia="fr-FR"/>
        </w:rPr>
        <w:t xml:space="preserve">Concrètement, quel que soit le statut de l’organisme de recherche auprès duquel l’entreprise sous-traite des opérations de recherche, les dépenses correspondantes seront </w:t>
      </w:r>
      <w:r w:rsidRPr="00A847B7">
        <w:t xml:space="preserve">retenues dans la limite de </w:t>
      </w:r>
      <w:r w:rsidR="00D5453B">
        <w:t>3</w:t>
      </w:r>
      <w:r w:rsidR="00D5453B" w:rsidRPr="00A847B7">
        <w:t xml:space="preserve"> </w:t>
      </w:r>
      <w:r w:rsidRPr="00A847B7">
        <w:t>fois le montant total des autres dépenses de recherche. Et l’ensemble des dépenses de sous-traitance est plafonné à 10 M€ par an en l'absence de liens de dépendance entre l'entreprise et l'organisme prestataire et à 2 M € dans le cas contraire.</w:t>
      </w:r>
    </w:p>
    <w:p w14:paraId="3F7A9A27" w14:textId="77777777" w:rsidR="006124A5" w:rsidRDefault="00906FC6" w:rsidP="00906FC6">
      <w:pPr>
        <w:spacing w:beforeAutospacing="1" w:after="100" w:afterAutospacing="1"/>
        <w:rPr>
          <w:rFonts w:cstheme="minorHAnsi"/>
        </w:rPr>
      </w:pPr>
      <w:r w:rsidRPr="00A847B7">
        <w:rPr>
          <w:rFonts w:cstheme="minorHAnsi"/>
        </w:rPr>
        <w:t>Il faut, par ailleurs, noter que, spécifiquement pour les entreprises exploitées en Corse</w:t>
      </w:r>
      <w:r w:rsidR="006124A5">
        <w:rPr>
          <w:rFonts w:cstheme="minorHAnsi"/>
        </w:rPr>
        <w:t> :</w:t>
      </w:r>
    </w:p>
    <w:p w14:paraId="42BB4DFE" w14:textId="27E370DF" w:rsidR="004A249C" w:rsidRPr="00DC252C" w:rsidRDefault="00DC252C" w:rsidP="00EE0687">
      <w:pPr>
        <w:pStyle w:val="Paragraphedeliste"/>
        <w:numPr>
          <w:ilvl w:val="0"/>
          <w:numId w:val="291"/>
        </w:numPr>
        <w:spacing w:beforeAutospacing="1" w:after="100" w:afterAutospacing="1"/>
        <w:rPr>
          <w:rFonts w:cstheme="minorHAnsi"/>
        </w:rPr>
      </w:pPr>
      <w:r w:rsidRPr="00DC252C">
        <w:rPr>
          <w:rFonts w:cstheme="minorHAnsi"/>
        </w:rPr>
        <w:t>l</w:t>
      </w:r>
      <w:r w:rsidR="004A249C" w:rsidRPr="00DC252C">
        <w:rPr>
          <w:rFonts w:cstheme="minorHAnsi"/>
        </w:rPr>
        <w:t>e taux d</w:t>
      </w:r>
      <w:r w:rsidR="00302BBD" w:rsidRPr="00DC252C">
        <w:rPr>
          <w:rFonts w:cstheme="minorHAnsi"/>
        </w:rPr>
        <w:t>u crédit d’impôt recherche fixé à 30 % (pour l</w:t>
      </w:r>
      <w:r w:rsidR="00CF6373" w:rsidRPr="00DC252C">
        <w:rPr>
          <w:rFonts w:cstheme="minorHAnsi"/>
        </w:rPr>
        <w:t>a fraction d</w:t>
      </w:r>
      <w:r w:rsidR="00302BBD" w:rsidRPr="00DC252C">
        <w:rPr>
          <w:rFonts w:cstheme="minorHAnsi"/>
        </w:rPr>
        <w:t xml:space="preserve">es </w:t>
      </w:r>
      <w:r w:rsidR="00CF6373" w:rsidRPr="00DC252C">
        <w:rPr>
          <w:rFonts w:cstheme="minorHAnsi"/>
        </w:rPr>
        <w:t xml:space="preserve">dépenses </w:t>
      </w:r>
      <w:r w:rsidRPr="00DC252C">
        <w:rPr>
          <w:rFonts w:cstheme="minorHAnsi"/>
        </w:rPr>
        <w:t xml:space="preserve">de recherche </w:t>
      </w:r>
      <w:r w:rsidR="00CF6373" w:rsidRPr="00DC252C">
        <w:rPr>
          <w:rFonts w:cstheme="minorHAnsi"/>
        </w:rPr>
        <w:t>n’excédant pas 100 M€)</w:t>
      </w:r>
      <w:r w:rsidRPr="00DC252C">
        <w:rPr>
          <w:rFonts w:cstheme="minorHAnsi"/>
        </w:rPr>
        <w:t xml:space="preserve"> est porté à 50% ;</w:t>
      </w:r>
    </w:p>
    <w:p w14:paraId="7CD9086D" w14:textId="0B6B6CB6" w:rsidR="0089218C" w:rsidRPr="00DC252C" w:rsidRDefault="00906FC6" w:rsidP="00EE0687">
      <w:pPr>
        <w:pStyle w:val="Paragraphedeliste"/>
        <w:numPr>
          <w:ilvl w:val="0"/>
          <w:numId w:val="291"/>
        </w:numPr>
        <w:spacing w:beforeAutospacing="1" w:after="100" w:afterAutospacing="1"/>
        <w:rPr>
          <w:rFonts w:cstheme="minorHAnsi"/>
        </w:rPr>
      </w:pPr>
      <w:r w:rsidRPr="00DC252C">
        <w:rPr>
          <w:rFonts w:cstheme="minorHAnsi"/>
        </w:rPr>
        <w:t xml:space="preserve">le taux du crédit d’impôt innovation doit normalement être majoré à 40 % au lieu de 20 %. </w:t>
      </w:r>
    </w:p>
    <w:p w14:paraId="58774311" w14:textId="77777777" w:rsidR="009C5490" w:rsidRDefault="0089218C" w:rsidP="00906FC6">
      <w:pPr>
        <w:spacing w:beforeAutospacing="1" w:after="100" w:afterAutospacing="1"/>
        <w:rPr>
          <w:rFonts w:cstheme="minorHAnsi"/>
        </w:rPr>
      </w:pPr>
      <w:r w:rsidRPr="00A847B7">
        <w:rPr>
          <w:rFonts w:cstheme="minorHAnsi"/>
        </w:rPr>
        <w:t>La Loi de Finances pour 2021 prévoit</w:t>
      </w:r>
      <w:r w:rsidR="009C5490">
        <w:rPr>
          <w:rFonts w:cstheme="minorHAnsi"/>
        </w:rPr>
        <w:t xml:space="preserve"> les aménagements suivants pour les entreprises exploitées en Corse :</w:t>
      </w:r>
    </w:p>
    <w:p w14:paraId="4AE876BF" w14:textId="6313BDED" w:rsidR="009C5490" w:rsidRPr="009C5490" w:rsidRDefault="009C5490" w:rsidP="00EE0687">
      <w:pPr>
        <w:pStyle w:val="Paragraphedeliste"/>
        <w:numPr>
          <w:ilvl w:val="0"/>
          <w:numId w:val="292"/>
        </w:numPr>
        <w:spacing w:beforeAutospacing="1" w:after="100" w:afterAutospacing="1"/>
        <w:rPr>
          <w:rFonts w:cstheme="minorHAnsi"/>
        </w:rPr>
      </w:pPr>
      <w:r w:rsidRPr="009C5490">
        <w:rPr>
          <w:rFonts w:cstheme="minorHAnsi"/>
        </w:rPr>
        <w:t>le taux du crédit d’impôt recherche fixé à 50 % est supprimé (le taux de 30 % s’applique donc pour la fraction des dépenses de recherche n’excédant pas 100 M€) ;</w:t>
      </w:r>
    </w:p>
    <w:p w14:paraId="751E56B1" w14:textId="4DF9EA87" w:rsidR="009C5490" w:rsidRPr="009C5490" w:rsidRDefault="009C5490" w:rsidP="00EE0687">
      <w:pPr>
        <w:pStyle w:val="Paragraphedeliste"/>
        <w:numPr>
          <w:ilvl w:val="0"/>
          <w:numId w:val="292"/>
        </w:numPr>
        <w:spacing w:beforeAutospacing="1" w:after="100" w:afterAutospacing="1"/>
        <w:rPr>
          <w:rFonts w:cstheme="minorHAnsi"/>
        </w:rPr>
      </w:pPr>
      <w:r w:rsidRPr="009C5490">
        <w:rPr>
          <w:rFonts w:cstheme="minorHAnsi"/>
        </w:rPr>
        <w:t>pour le crédit d’impôt innovation, le</w:t>
      </w:r>
      <w:r w:rsidR="0089218C" w:rsidRPr="009C5490">
        <w:rPr>
          <w:rFonts w:cstheme="minorHAnsi"/>
        </w:rPr>
        <w:t xml:space="preserve"> taux majoré sera fixé </w:t>
      </w:r>
      <w:r w:rsidRPr="009C5490">
        <w:rPr>
          <w:rFonts w:cstheme="minorHAnsi"/>
        </w:rPr>
        <w:t>40 % pour les petites entreprises (</w:t>
      </w:r>
      <w:r w:rsidR="00921FD4">
        <w:rPr>
          <w:rFonts w:cstheme="minorHAnsi"/>
        </w:rPr>
        <w:t>o</w:t>
      </w:r>
      <w:r w:rsidR="004E40AD">
        <w:t>ccup</w:t>
      </w:r>
      <w:r w:rsidR="00921FD4">
        <w:t>ant</w:t>
      </w:r>
      <w:r w:rsidR="004E40AD">
        <w:t xml:space="preserve"> moins de 50 personnes et dont le chiffre d'affaires annuel ou le total du bilan annuel n'excède pas 10 </w:t>
      </w:r>
      <w:r w:rsidR="00921FD4">
        <w:t>M€</w:t>
      </w:r>
      <w:r w:rsidRPr="009C5490">
        <w:rPr>
          <w:rFonts w:cstheme="minorHAnsi"/>
        </w:rPr>
        <w:t xml:space="preserve"> ) et </w:t>
      </w:r>
      <w:r w:rsidR="0089218C" w:rsidRPr="009C5490">
        <w:rPr>
          <w:rFonts w:cstheme="minorHAnsi"/>
        </w:rPr>
        <w:t>à 35 % pour les moyennes entreprises</w:t>
      </w:r>
      <w:r w:rsidR="00BE157D">
        <w:rPr>
          <w:rFonts w:cstheme="minorHAnsi"/>
        </w:rPr>
        <w:t xml:space="preserve"> (</w:t>
      </w:r>
      <w:r w:rsidR="00BE157D">
        <w:t>occupant moins de 250 personnes et dont le chiffre d'affaires annuel n'excède pas 50 M€ ou dont le total du bilan annuel n'excède pas 43 M€).</w:t>
      </w:r>
      <w:r w:rsidRPr="009C5490">
        <w:rPr>
          <w:rFonts w:cstheme="minorHAnsi"/>
        </w:rPr>
        <w:t xml:space="preserve"> </w:t>
      </w:r>
    </w:p>
    <w:p w14:paraId="3F273FD1" w14:textId="6FB1051F" w:rsidR="00906FC6" w:rsidRPr="00A847B7" w:rsidRDefault="00906FC6" w:rsidP="00906FC6">
      <w:pPr>
        <w:spacing w:beforeAutospacing="1" w:after="100" w:afterAutospacing="1"/>
      </w:pPr>
      <w:r w:rsidRPr="00A847B7">
        <w:rPr>
          <w:rFonts w:cstheme="minorHAnsi"/>
        </w:rPr>
        <w:t>Enfin, à compter du 1</w:t>
      </w:r>
      <w:r w:rsidRPr="00A847B7">
        <w:rPr>
          <w:rFonts w:cstheme="minorHAnsi"/>
          <w:vertAlign w:val="superscript"/>
        </w:rPr>
        <w:t>er</w:t>
      </w:r>
      <w:r w:rsidRPr="00A847B7">
        <w:rPr>
          <w:rFonts w:cstheme="minorHAnsi"/>
        </w:rPr>
        <w:t xml:space="preserve"> janvier 2021, les demandes de rescrit devront être déposées systématiquement au </w:t>
      </w:r>
      <w:r w:rsidRPr="00A847B7">
        <w:t>ministère chargé de la recherche (alors que, jusqu’à présent, les demandes de rescrit pouvaient être déposées auprès de l’agence nationale de la recherche).</w:t>
      </w:r>
    </w:p>
    <w:p w14:paraId="32EF002B" w14:textId="5D19C716" w:rsidR="003D656A" w:rsidRPr="000907D7" w:rsidRDefault="00906FC6" w:rsidP="00EC58E9">
      <w:pPr>
        <w:spacing w:beforeAutospacing="1" w:after="100" w:afterAutospacing="1"/>
      </w:pPr>
      <w:r w:rsidRPr="00A847B7">
        <w:t>Pour rappel, une demande de rescrit, adressée à l’administration et donc au ministère chargé de la recherche, permet à une entreprise qui envisage de demander le bénéfice du crédit d’impôt recherche ou d’innovation de s’assurer que ses dépenses de recherche sont effectivement éligibles au dispositif.</w:t>
      </w:r>
    </w:p>
    <w:p w14:paraId="0CD61D88" w14:textId="77777777" w:rsidR="00EC58E9" w:rsidRPr="00A847B7" w:rsidRDefault="00EC58E9" w:rsidP="00EC58E9">
      <w:pPr>
        <w:spacing w:beforeAutospacing="1" w:after="100" w:afterAutospacing="1"/>
        <w:rPr>
          <w:rFonts w:cstheme="minorHAnsi"/>
        </w:rPr>
      </w:pPr>
    </w:p>
    <w:p w14:paraId="6874185D" w14:textId="52AB5FF6" w:rsidR="00CC2CDC" w:rsidRPr="00A847B7" w:rsidRDefault="00CC2CDC" w:rsidP="00CC2CDC">
      <w:pPr>
        <w:pStyle w:val="Titre3"/>
      </w:pPr>
      <w:bookmarkStart w:id="81" w:name="_Toc60781007"/>
      <w:r w:rsidRPr="00A847B7">
        <w:lastRenderedPageBreak/>
        <w:t xml:space="preserve">Slide </w:t>
      </w:r>
      <w:r w:rsidR="00B55D1E">
        <w:t>52</w:t>
      </w:r>
      <w:r w:rsidRPr="00A847B7">
        <w:t xml:space="preserve"> : </w:t>
      </w:r>
      <w:r w:rsidR="00796743" w:rsidRPr="00A847B7">
        <w:t>C</w:t>
      </w:r>
      <w:r w:rsidR="007501D3" w:rsidRPr="00A847B7">
        <w:t>rédit d’impôt pour la</w:t>
      </w:r>
      <w:r w:rsidR="00796743" w:rsidRPr="00A847B7">
        <w:t xml:space="preserve"> rénovation énergétique des bâtiments</w:t>
      </w:r>
      <w:bookmarkEnd w:id="81"/>
    </w:p>
    <w:p w14:paraId="22C8FF11" w14:textId="49C89082" w:rsidR="00796743" w:rsidRPr="00A847B7" w:rsidRDefault="00147770" w:rsidP="00796743">
      <w:pPr>
        <w:rPr>
          <w:highlight w:val="yellow"/>
        </w:rPr>
      </w:pPr>
      <w:r w:rsidRPr="004F587E">
        <w:rPr>
          <w:u w:val="single"/>
        </w:rPr>
        <w:t xml:space="preserve">Source </w:t>
      </w:r>
      <w:r w:rsidRPr="00A847B7">
        <w:t>:</w:t>
      </w:r>
      <w:r w:rsidR="00CF28B9" w:rsidRPr="00A847B7">
        <w:t xml:space="preserve"> Loi de Finance </w:t>
      </w:r>
      <w:r w:rsidR="00CF28B9" w:rsidRPr="00A4486F">
        <w:t xml:space="preserve">pour 2021, </w:t>
      </w:r>
      <w:r w:rsidR="00CF28B9" w:rsidRPr="007B50B0">
        <w:t>a</w:t>
      </w:r>
      <w:r w:rsidR="00796743" w:rsidRPr="007B50B0">
        <w:t xml:space="preserve">rticle </w:t>
      </w:r>
      <w:r w:rsidR="004B29E2" w:rsidRPr="007B50B0">
        <w:t>27</w:t>
      </w:r>
    </w:p>
    <w:p w14:paraId="4BE032B3" w14:textId="7FC6271B" w:rsidR="007177CF" w:rsidRPr="00A847B7" w:rsidRDefault="00082EDD" w:rsidP="007B53D3">
      <w:r w:rsidRPr="00A847B7">
        <w:t>U</w:t>
      </w:r>
      <w:r w:rsidR="007177CF" w:rsidRPr="00A847B7">
        <w:t>n crédit d’impôt exceptionnel</w:t>
      </w:r>
      <w:r w:rsidRPr="00A847B7">
        <w:t xml:space="preserve"> est mis en place à destination des </w:t>
      </w:r>
      <w:r w:rsidR="00681ECD" w:rsidRPr="00A847B7">
        <w:t>T</w:t>
      </w:r>
      <w:r w:rsidR="007177CF" w:rsidRPr="00A847B7">
        <w:t xml:space="preserve">PE et PME, tous secteurs d’activités confondus, soumises à l’impôt sur le revenu (IR) ou à l’impôt sur les sociétés (IS), propriétaires ou locataires des locaux, qui engagent des travaux d’amélioration de l’efficacité énergétique de </w:t>
      </w:r>
      <w:r w:rsidR="00BB25B2" w:rsidRPr="00A847B7">
        <w:t>certains</w:t>
      </w:r>
      <w:r w:rsidR="007177CF" w:rsidRPr="00A847B7">
        <w:t xml:space="preserve"> bâtiments</w:t>
      </w:r>
      <w:r w:rsidR="00BB25B2" w:rsidRPr="00A847B7">
        <w:t>.</w:t>
      </w:r>
    </w:p>
    <w:p w14:paraId="2FDECEF9" w14:textId="6312D6DC" w:rsidR="00BB25B2" w:rsidRPr="00A847B7" w:rsidRDefault="00BB25B2" w:rsidP="007B53D3">
      <w:r w:rsidRPr="00A847B7">
        <w:t xml:space="preserve">Sont visés les </w:t>
      </w:r>
      <w:r w:rsidR="00F41E13" w:rsidRPr="00A847B7">
        <w:t>bâtiments</w:t>
      </w:r>
      <w:r w:rsidRPr="00A847B7">
        <w:t xml:space="preserve"> à usage tertiaire, achevés depuis plus de</w:t>
      </w:r>
      <w:r w:rsidR="00787C5A">
        <w:t xml:space="preserve"> </w:t>
      </w:r>
      <w:r w:rsidRPr="00A847B7">
        <w:t>2 ans</w:t>
      </w:r>
      <w:r w:rsidR="006C6A9F" w:rsidRPr="00A847B7">
        <w:t xml:space="preserve">, dont les </w:t>
      </w:r>
      <w:r w:rsidR="00F41E13" w:rsidRPr="00A847B7">
        <w:t>entreprises</w:t>
      </w:r>
      <w:r w:rsidR="006C6A9F" w:rsidRPr="00A847B7">
        <w:t xml:space="preserve"> sont propriétaires ou locataires, affectés à leur activité industrielle, commerciale, artisanale, l</w:t>
      </w:r>
      <w:r w:rsidR="00F41E13" w:rsidRPr="00A847B7">
        <w:t>ibérale ou agricole.</w:t>
      </w:r>
    </w:p>
    <w:p w14:paraId="7305D3DE" w14:textId="6617879E" w:rsidR="007177CF" w:rsidRPr="00A847B7" w:rsidRDefault="007177CF" w:rsidP="007B53D3">
      <w:r w:rsidRPr="00A847B7">
        <w:t xml:space="preserve">Cet avantage fiscal s’applique </w:t>
      </w:r>
      <w:r w:rsidR="00F41E13" w:rsidRPr="00A847B7">
        <w:t>aux</w:t>
      </w:r>
      <w:r w:rsidRPr="00A847B7">
        <w:t xml:space="preserve"> dépenses de travaux </w:t>
      </w:r>
      <w:r w:rsidR="00F41E13" w:rsidRPr="00A847B7">
        <w:t xml:space="preserve">suivantes, </w:t>
      </w:r>
      <w:r w:rsidRPr="00A847B7">
        <w:t>engagées entre le 1</w:t>
      </w:r>
      <w:r w:rsidRPr="00A847B7">
        <w:rPr>
          <w:vertAlign w:val="superscript"/>
        </w:rPr>
        <w:t>er</w:t>
      </w:r>
      <w:r w:rsidRPr="00A847B7">
        <w:t xml:space="preserve"> octobre 2020 (devis daté et signé postérieurement au 1</w:t>
      </w:r>
      <w:r w:rsidRPr="00A847B7">
        <w:rPr>
          <w:vertAlign w:val="superscript"/>
        </w:rPr>
        <w:t>er</w:t>
      </w:r>
      <w:r w:rsidRPr="00A847B7">
        <w:t xml:space="preserve"> octobre) et le 31 décembre 2021 :</w:t>
      </w:r>
    </w:p>
    <w:p w14:paraId="419DD97E" w14:textId="0A3EEA32" w:rsidR="007177CF" w:rsidRPr="00A847B7" w:rsidRDefault="00BE64AB" w:rsidP="00EE0687">
      <w:pPr>
        <w:pStyle w:val="Paragraphedeliste"/>
        <w:numPr>
          <w:ilvl w:val="0"/>
          <w:numId w:val="124"/>
        </w:numPr>
        <w:spacing w:beforeAutospacing="1" w:after="100" w:afterAutospacing="1" w:line="240" w:lineRule="auto"/>
        <w:rPr>
          <w:rFonts w:ascii="Arial" w:hAnsi="Arial" w:cs="Arial"/>
        </w:rPr>
      </w:pPr>
      <w:r w:rsidRPr="00A847B7">
        <w:t>acquisition et pose d’un système d’isolation thermique en rampant de toitures ou en plafond de combles</w:t>
      </w:r>
      <w:r w:rsidR="007B53D3" w:rsidRPr="00A847B7">
        <w:t>,</w:t>
      </w:r>
    </w:p>
    <w:p w14:paraId="06DD5F01" w14:textId="2AAB3597" w:rsidR="00BE64AB" w:rsidRPr="00A847B7" w:rsidRDefault="00BE64AB" w:rsidP="00EE0687">
      <w:pPr>
        <w:pStyle w:val="Paragraphedeliste"/>
        <w:numPr>
          <w:ilvl w:val="0"/>
          <w:numId w:val="124"/>
        </w:numPr>
        <w:spacing w:beforeAutospacing="1" w:after="100" w:afterAutospacing="1" w:line="240" w:lineRule="auto"/>
        <w:rPr>
          <w:rFonts w:ascii="Arial" w:hAnsi="Arial" w:cs="Arial"/>
        </w:rPr>
      </w:pPr>
      <w:r w:rsidRPr="00A847B7">
        <w:t>acquisition et pose d’un système d’isolation thermique sur murs, en façade ou pignon, par l’intérieur ou par l’extérieur</w:t>
      </w:r>
      <w:r w:rsidR="007B53D3" w:rsidRPr="00A847B7">
        <w:t>,</w:t>
      </w:r>
    </w:p>
    <w:p w14:paraId="42D05705" w14:textId="0533A8E4" w:rsidR="00C25B9D" w:rsidRPr="00A847B7" w:rsidRDefault="00C25B9D" w:rsidP="00EE0687">
      <w:pPr>
        <w:pStyle w:val="Paragraphedeliste"/>
        <w:numPr>
          <w:ilvl w:val="0"/>
          <w:numId w:val="124"/>
        </w:numPr>
        <w:spacing w:beforeAutospacing="1" w:after="100" w:afterAutospacing="1" w:line="240" w:lineRule="auto"/>
        <w:rPr>
          <w:rFonts w:ascii="Arial" w:hAnsi="Arial" w:cs="Arial"/>
        </w:rPr>
      </w:pPr>
      <w:r w:rsidRPr="00A847B7">
        <w:t>acquisition et pose d’un système d’isolation thermique en toiture terrasse ou couverture de pente inférieure à 5 %</w:t>
      </w:r>
      <w:r w:rsidR="007B53D3" w:rsidRPr="00A847B7">
        <w:t>,</w:t>
      </w:r>
    </w:p>
    <w:p w14:paraId="35C87DB0" w14:textId="29E2EDCC" w:rsidR="00C25B9D" w:rsidRPr="00A847B7" w:rsidRDefault="00C25B9D" w:rsidP="00EE0687">
      <w:pPr>
        <w:pStyle w:val="Paragraphedeliste"/>
        <w:numPr>
          <w:ilvl w:val="0"/>
          <w:numId w:val="124"/>
        </w:numPr>
        <w:spacing w:beforeAutospacing="1" w:after="100" w:afterAutospacing="1" w:line="240" w:lineRule="auto"/>
        <w:rPr>
          <w:rFonts w:ascii="Arial" w:hAnsi="Arial" w:cs="Arial"/>
        </w:rPr>
      </w:pPr>
      <w:r w:rsidRPr="00A847B7">
        <w:t>acquisition et pose d’un chauffe-eau solaire collectif ou d’un dispositif solaire collectif pour la production d’eau chaude sanitaire</w:t>
      </w:r>
      <w:r w:rsidR="007B53D3" w:rsidRPr="00A847B7">
        <w:t>,</w:t>
      </w:r>
    </w:p>
    <w:p w14:paraId="30EC8724" w14:textId="71FC7C2F" w:rsidR="00C25B9D" w:rsidRPr="00A847B7" w:rsidRDefault="00C25B9D" w:rsidP="00EE0687">
      <w:pPr>
        <w:pStyle w:val="Paragraphedeliste"/>
        <w:numPr>
          <w:ilvl w:val="0"/>
          <w:numId w:val="124"/>
        </w:numPr>
        <w:spacing w:beforeAutospacing="1" w:after="100" w:afterAutospacing="1" w:line="240" w:lineRule="auto"/>
        <w:rPr>
          <w:rFonts w:ascii="Arial" w:hAnsi="Arial" w:cs="Arial"/>
        </w:rPr>
      </w:pPr>
      <w:r w:rsidRPr="00A847B7">
        <w:t>acquisition et pose d’une pompe à chaleur, autre que air/air, dont la finalité essentielle est d’assurer le chauffage des locaux</w:t>
      </w:r>
      <w:r w:rsidR="007B53D3" w:rsidRPr="00A847B7">
        <w:t>,</w:t>
      </w:r>
    </w:p>
    <w:p w14:paraId="76AAC134" w14:textId="2AB6532F" w:rsidR="004E6716" w:rsidRPr="00A847B7" w:rsidRDefault="004E6716" w:rsidP="00EE0687">
      <w:pPr>
        <w:pStyle w:val="Paragraphedeliste"/>
        <w:numPr>
          <w:ilvl w:val="0"/>
          <w:numId w:val="124"/>
        </w:numPr>
        <w:spacing w:beforeAutospacing="1" w:after="100" w:afterAutospacing="1" w:line="240" w:lineRule="auto"/>
        <w:rPr>
          <w:rFonts w:ascii="Arial" w:hAnsi="Arial" w:cs="Arial"/>
        </w:rPr>
      </w:pPr>
      <w:r w:rsidRPr="00A847B7">
        <w:t>acquisition et pose d’un système de ventilation mécanique simple flux ou double flux</w:t>
      </w:r>
      <w:r w:rsidR="007B53D3" w:rsidRPr="00A847B7">
        <w:t>,</w:t>
      </w:r>
    </w:p>
    <w:p w14:paraId="684973CF" w14:textId="794A193B" w:rsidR="004E6716" w:rsidRPr="00A847B7" w:rsidRDefault="004E6716" w:rsidP="00EE0687">
      <w:pPr>
        <w:pStyle w:val="Paragraphedeliste"/>
        <w:numPr>
          <w:ilvl w:val="0"/>
          <w:numId w:val="124"/>
        </w:numPr>
        <w:spacing w:beforeAutospacing="1" w:after="100" w:afterAutospacing="1" w:line="240" w:lineRule="auto"/>
        <w:rPr>
          <w:rFonts w:ascii="Arial" w:hAnsi="Arial" w:cs="Arial"/>
        </w:rPr>
      </w:pPr>
      <w:r w:rsidRPr="00A847B7">
        <w:t>raccordement à un réseau de chaleur ou de froid</w:t>
      </w:r>
      <w:r w:rsidR="007B53D3" w:rsidRPr="00A847B7">
        <w:t>,</w:t>
      </w:r>
    </w:p>
    <w:p w14:paraId="11B80AB9" w14:textId="2FA1FF67" w:rsidR="004E6716" w:rsidRPr="00A847B7" w:rsidRDefault="004E6716" w:rsidP="00EE0687">
      <w:pPr>
        <w:pStyle w:val="Paragraphedeliste"/>
        <w:numPr>
          <w:ilvl w:val="0"/>
          <w:numId w:val="124"/>
        </w:numPr>
        <w:spacing w:beforeAutospacing="1" w:after="100" w:afterAutospacing="1" w:line="240" w:lineRule="auto"/>
        <w:rPr>
          <w:rFonts w:ascii="Arial" w:hAnsi="Arial" w:cs="Arial"/>
        </w:rPr>
      </w:pPr>
      <w:r w:rsidRPr="00A847B7">
        <w:t>acquisition et pose d’une chaudière biomasse</w:t>
      </w:r>
      <w:r w:rsidR="007B53D3" w:rsidRPr="00A847B7">
        <w:t>,</w:t>
      </w:r>
    </w:p>
    <w:p w14:paraId="1AF8DF29" w14:textId="67F50E28" w:rsidR="00AF7154" w:rsidRPr="00A847B7" w:rsidRDefault="00AF7154" w:rsidP="00EE0687">
      <w:pPr>
        <w:pStyle w:val="Paragraphedeliste"/>
        <w:numPr>
          <w:ilvl w:val="0"/>
          <w:numId w:val="124"/>
        </w:numPr>
        <w:spacing w:beforeAutospacing="1" w:after="100" w:afterAutospacing="1" w:line="240" w:lineRule="auto"/>
        <w:rPr>
          <w:rFonts w:ascii="Arial" w:hAnsi="Arial" w:cs="Arial"/>
        </w:rPr>
      </w:pPr>
      <w:r w:rsidRPr="00A847B7">
        <w:t>acquisition et pose d’un système de régulation ou de programmation du chauffage et de la ventilation</w:t>
      </w:r>
      <w:r w:rsidR="00787C5A">
        <w:t>.</w:t>
      </w:r>
    </w:p>
    <w:p w14:paraId="6ED5CE70" w14:textId="264167E6" w:rsidR="007177CF" w:rsidRPr="00A847B7" w:rsidRDefault="007177CF" w:rsidP="00097E83">
      <w:r w:rsidRPr="00A847B7">
        <w:t>Notez que pour être éligibles, les travaux doivent être réalisés par un professionnel qualifié reconnu garant de l’environnement (RGE)</w:t>
      </w:r>
      <w:r w:rsidR="00B57284">
        <w:t>.</w:t>
      </w:r>
    </w:p>
    <w:p w14:paraId="0DDFD1B0" w14:textId="68F77B8F" w:rsidR="00103259" w:rsidRPr="00A847B7" w:rsidRDefault="007177CF" w:rsidP="00097E83">
      <w:r w:rsidRPr="00A847B7">
        <w:t xml:space="preserve">Le montant du crédit d’impôt est fixé à 30 % des dépenses éligibles, dans la limite </w:t>
      </w:r>
      <w:r w:rsidR="00291C57" w:rsidRPr="00A847B7">
        <w:t xml:space="preserve">d’un plafond de </w:t>
      </w:r>
      <w:r w:rsidRPr="00A847B7">
        <w:t xml:space="preserve">25 000 € </w:t>
      </w:r>
      <w:r w:rsidR="00291C57" w:rsidRPr="00A847B7">
        <w:t xml:space="preserve">au titre des dépenses engagées </w:t>
      </w:r>
      <w:r w:rsidR="00017CE8" w:rsidRPr="00A847B7">
        <w:t>du 1</w:t>
      </w:r>
      <w:r w:rsidR="00017CE8" w:rsidRPr="00A847B7">
        <w:rPr>
          <w:vertAlign w:val="superscript"/>
        </w:rPr>
        <w:t>er</w:t>
      </w:r>
      <w:r w:rsidR="00017CE8" w:rsidRPr="00A847B7">
        <w:t xml:space="preserve"> octobre 2020 au 31 décembre 2021</w:t>
      </w:r>
      <w:r w:rsidR="00117196" w:rsidRPr="00A847B7">
        <w:t>, sous déduction des aides perçues au titre des certificats d’économie d’énergie et des aides publiques reçues à raison des opérations ouvrant droit au crédit d’impôt</w:t>
      </w:r>
      <w:r w:rsidRPr="00A847B7">
        <w:t>.</w:t>
      </w:r>
    </w:p>
    <w:p w14:paraId="66AD8FEA" w14:textId="7B246A7C" w:rsidR="00D42123" w:rsidRPr="00A847B7" w:rsidRDefault="00D42123" w:rsidP="00097E83">
      <w:r w:rsidRPr="00A847B7">
        <w:t>Lorsque les dépenses sont engagées par les sociétés de personnes, le crédit d’impôt peut être utilisé par leurs associés proportionnellement à leurs droits dans ces sociétés ou groupements, à condition qu’il s’agisse de redevables de l’impôt sur les sociétés ou de personnes physiques participant à l’exploitation.</w:t>
      </w:r>
    </w:p>
    <w:p w14:paraId="11A8132D" w14:textId="00040C07" w:rsidR="00003854" w:rsidRPr="00A847B7" w:rsidRDefault="00003854" w:rsidP="00097E83">
      <w:r w:rsidRPr="00A847B7">
        <w:t>Le plafond de 25 000 € s’apprécie, le cas échéant, en prenant en compte la fraction du crédit d’impôt correspondant aux parts des associés de sociétés de personnes.</w:t>
      </w:r>
    </w:p>
    <w:p w14:paraId="1B5D815F" w14:textId="6F2B4583" w:rsidR="007177CF" w:rsidRPr="00A847B7" w:rsidRDefault="007440DE" w:rsidP="00097E83">
      <w:r w:rsidRPr="00A847B7">
        <w:t xml:space="preserve">Pour les entreprises relevant de l’impôt sur le revenu, </w:t>
      </w:r>
      <w:r w:rsidR="00006022" w:rsidRPr="00A847B7">
        <w:t>le crédit d’impôt est imputé sur l’impôt sur le revenu dû au titre de l’année civile au cours de laquelle l’entreprise a engagé les dépenses, après imputation des prélèvements non libératoires et des autres crédits d’impôt. Si le montant du crédit d’impôt excède l’impôt dû au titre de cette année, l’excédent est restitué</w:t>
      </w:r>
      <w:r w:rsidR="00B503ED">
        <w:t>.</w:t>
      </w:r>
    </w:p>
    <w:p w14:paraId="4EA76598" w14:textId="2E8BD984" w:rsidR="00006022" w:rsidRPr="00A847B7" w:rsidRDefault="00006022" w:rsidP="00097E83">
      <w:r w:rsidRPr="00A847B7">
        <w:t xml:space="preserve">Pour les entreprises soumises à l’impôt sur les sociétés, </w:t>
      </w:r>
      <w:r w:rsidR="003C3DC2" w:rsidRPr="00A847B7">
        <w:t>le crédit d’impôt est imputé sur l’impôt sur les sociétés dû par l’entreprise. En cas de clôture d’exercice en cours d’année civile, le montant du crédit d’impôt est calculé en prenant en compte les dépenses éligibles au titre de la dernière année civile écoulée.</w:t>
      </w:r>
    </w:p>
    <w:p w14:paraId="54D878E4" w14:textId="43D7089D" w:rsidR="009012C6" w:rsidRDefault="009012C6" w:rsidP="00097E83">
      <w:r w:rsidRPr="00A847B7">
        <w:lastRenderedPageBreak/>
        <w:t xml:space="preserve">En cas d’option pour le régime de l’intégration fiscale, la société mère est substituée aux sociétés du groupe pour l’imputation sur le montant de l’impôt sur les sociétés dont elle est redevable, au titre de chaque exercice, des crédits d’impôt dégagés par chaque société du groupe. </w:t>
      </w:r>
    </w:p>
    <w:p w14:paraId="4A2D5EE5" w14:textId="54376E92" w:rsidR="0080045A" w:rsidRPr="0080045A" w:rsidRDefault="0080045A" w:rsidP="00097E83">
      <w:pPr>
        <w:rPr>
          <w:rFonts w:cstheme="minorHAnsi"/>
        </w:rPr>
      </w:pPr>
      <w:r>
        <w:rPr>
          <w:rFonts w:cstheme="minorHAnsi"/>
        </w:rPr>
        <w:t>Notez enfin que cet avantage fiscal est soumis</w:t>
      </w:r>
      <w:r w:rsidRPr="00A847B7">
        <w:rPr>
          <w:rFonts w:cstheme="minorHAnsi"/>
        </w:rPr>
        <w:t xml:space="preserve"> au respect du plafonnement applicable en matière de réglementation européenne relative aux aides de minimis.</w:t>
      </w:r>
    </w:p>
    <w:p w14:paraId="11FBA19D" w14:textId="77777777" w:rsidR="00CC2CDC" w:rsidRPr="00A847B7" w:rsidRDefault="00CC2CDC" w:rsidP="00CC2CDC">
      <w:pPr>
        <w:spacing w:beforeAutospacing="1" w:after="100" w:afterAutospacing="1"/>
        <w:rPr>
          <w:rFonts w:cstheme="minorHAnsi"/>
        </w:rPr>
      </w:pPr>
    </w:p>
    <w:p w14:paraId="6029FE08" w14:textId="1DB75CE0" w:rsidR="00CC2CDC" w:rsidRPr="00A847B7" w:rsidRDefault="00CC2CDC" w:rsidP="00CC2CDC">
      <w:pPr>
        <w:pStyle w:val="Titre3"/>
      </w:pPr>
      <w:bookmarkStart w:id="82" w:name="_Toc60781008"/>
      <w:r w:rsidRPr="00A847B7">
        <w:t xml:space="preserve">Slide </w:t>
      </w:r>
      <w:r w:rsidR="00A430DD">
        <w:t>53</w:t>
      </w:r>
      <w:r w:rsidRPr="00A847B7">
        <w:t xml:space="preserve"> : </w:t>
      </w:r>
      <w:r w:rsidR="004D5279" w:rsidRPr="00A847B7">
        <w:t>S</w:t>
      </w:r>
      <w:r w:rsidR="000750E4" w:rsidRPr="00A847B7">
        <w:t>ouscr</w:t>
      </w:r>
      <w:r w:rsidR="00D21094" w:rsidRPr="00A847B7">
        <w:t>iption au capital d’une entreprise de presse</w:t>
      </w:r>
      <w:bookmarkEnd w:id="82"/>
    </w:p>
    <w:p w14:paraId="41031613" w14:textId="7909F415" w:rsidR="00CB1D7B" w:rsidRPr="00A847B7" w:rsidRDefault="00147770" w:rsidP="00CB1D7B">
      <w:pPr>
        <w:rPr>
          <w:rFonts w:cstheme="minorHAnsi"/>
        </w:rPr>
      </w:pPr>
      <w:r w:rsidRPr="004F587E">
        <w:rPr>
          <w:u w:val="single"/>
        </w:rPr>
        <w:t xml:space="preserve">Source </w:t>
      </w:r>
      <w:r w:rsidRPr="00A847B7">
        <w:t>:</w:t>
      </w:r>
      <w:r w:rsidR="00B46B7A" w:rsidRPr="00A847B7">
        <w:rPr>
          <w:rFonts w:cstheme="minorHAnsi"/>
        </w:rPr>
        <w:t xml:space="preserve"> Loi de Finances pour 2021, article </w:t>
      </w:r>
      <w:r w:rsidR="009532A6">
        <w:rPr>
          <w:rFonts w:cstheme="minorHAnsi"/>
        </w:rPr>
        <w:t>147</w:t>
      </w:r>
    </w:p>
    <w:p w14:paraId="7D9DEDD7" w14:textId="643019AE" w:rsidR="0078270F" w:rsidRPr="00A847B7" w:rsidRDefault="00CD0551" w:rsidP="00EE0687">
      <w:pPr>
        <w:pStyle w:val="Paragraphedeliste"/>
        <w:numPr>
          <w:ilvl w:val="0"/>
          <w:numId w:val="153"/>
        </w:numPr>
        <w:rPr>
          <w:rFonts w:cstheme="minorHAnsi"/>
          <w:b/>
          <w:i/>
          <w:u w:val="single"/>
        </w:rPr>
      </w:pPr>
      <w:r w:rsidRPr="00A847B7">
        <w:rPr>
          <w:rFonts w:cstheme="minorHAnsi"/>
          <w:b/>
          <w:bCs/>
          <w:i/>
          <w:iCs/>
          <w:u w:val="single"/>
        </w:rPr>
        <w:t>Rappel du dispositif</w:t>
      </w:r>
    </w:p>
    <w:p w14:paraId="5162C71B" w14:textId="319061E6" w:rsidR="00CD0551" w:rsidRPr="00A847B7" w:rsidRDefault="00CD0551" w:rsidP="00306F67">
      <w:r w:rsidRPr="00A847B7">
        <w:t xml:space="preserve">Les entreprises soumises à l'impôt sur les sociétés pouvaient bénéficier d'une réduction d'impôt égale à 25 % du montant des sommes versées au titre des souscriptions en numéraire réalisées entre le 1er janvier 2007 et le 31 décembre 2013 au capital de sociétés, elles-mêmes soumises à l'impôt sur les sociétés </w:t>
      </w:r>
      <w:r w:rsidR="00486E6C">
        <w:t xml:space="preserve">exploitant </w:t>
      </w:r>
      <w:r w:rsidRPr="00A847B7">
        <w:t>soit un journal quotidien, soit une publication de périodicité au maximum mensuelle consacrée à l'information politique et générale</w:t>
      </w:r>
      <w:r w:rsidR="00BF39A5" w:rsidRPr="00A847B7">
        <w:t>.</w:t>
      </w:r>
    </w:p>
    <w:p w14:paraId="60C1C9EB" w14:textId="3DC25705" w:rsidR="00BF39A5" w:rsidRPr="00A847B7" w:rsidRDefault="005B674D" w:rsidP="00306F67">
      <w:pPr>
        <w:rPr>
          <w:rFonts w:cstheme="minorHAnsi"/>
          <w:highlight w:val="yellow"/>
        </w:rPr>
      </w:pPr>
      <w:r w:rsidRPr="00A847B7">
        <w:t xml:space="preserve">L'entreprise souscriptrice devait conserver, pendant </w:t>
      </w:r>
      <w:r w:rsidR="00DA1BB1">
        <w:t>5</w:t>
      </w:r>
      <w:r w:rsidR="00DA1BB1" w:rsidRPr="00A847B7">
        <w:t xml:space="preserve"> </w:t>
      </w:r>
      <w:r w:rsidRPr="00A847B7">
        <w:t>ans à compter de la souscription en numéraire, les titres ayant ouvert droit à la réduction d'impôt.</w:t>
      </w:r>
    </w:p>
    <w:p w14:paraId="17790645" w14:textId="3171A58C" w:rsidR="00CD0551" w:rsidRPr="00A847B7" w:rsidRDefault="00CD0551" w:rsidP="00EE0687">
      <w:pPr>
        <w:pStyle w:val="Paragraphedeliste"/>
        <w:numPr>
          <w:ilvl w:val="0"/>
          <w:numId w:val="154"/>
        </w:numPr>
        <w:rPr>
          <w:rFonts w:cstheme="minorHAnsi"/>
          <w:b/>
          <w:bCs/>
          <w:i/>
          <w:iCs/>
          <w:u w:val="single"/>
        </w:rPr>
      </w:pPr>
      <w:r w:rsidRPr="00A847B7">
        <w:rPr>
          <w:rFonts w:cstheme="minorHAnsi"/>
          <w:b/>
          <w:bCs/>
          <w:i/>
          <w:iCs/>
          <w:u w:val="single"/>
        </w:rPr>
        <w:t>Rétablissement du dispositif</w:t>
      </w:r>
    </w:p>
    <w:p w14:paraId="4EE46AAA" w14:textId="7C61235A" w:rsidR="00CD0551" w:rsidRPr="00A847B7" w:rsidRDefault="00237871" w:rsidP="00306F67">
      <w:pPr>
        <w:rPr>
          <w:rFonts w:cstheme="minorHAnsi"/>
        </w:rPr>
      </w:pPr>
      <w:r w:rsidRPr="00A847B7">
        <w:rPr>
          <w:rFonts w:cstheme="minorHAnsi"/>
        </w:rPr>
        <w:t xml:space="preserve">La Loi de </w:t>
      </w:r>
      <w:r w:rsidR="004D34E9" w:rsidRPr="00A847B7">
        <w:rPr>
          <w:rFonts w:cstheme="minorHAnsi"/>
        </w:rPr>
        <w:t>Finances</w:t>
      </w:r>
      <w:r w:rsidRPr="00A847B7">
        <w:rPr>
          <w:rFonts w:cstheme="minorHAnsi"/>
        </w:rPr>
        <w:t xml:space="preserve"> pour 2021 ré</w:t>
      </w:r>
      <w:r w:rsidR="00CA0F48" w:rsidRPr="00A847B7">
        <w:rPr>
          <w:rFonts w:cstheme="minorHAnsi"/>
        </w:rPr>
        <w:t xml:space="preserve">tablit ce dispositif </w:t>
      </w:r>
      <w:r w:rsidR="00C67CD2" w:rsidRPr="00A847B7">
        <w:rPr>
          <w:rFonts w:cstheme="minorHAnsi"/>
        </w:rPr>
        <w:t>pour les souscriptions (en numéraire) réalisées</w:t>
      </w:r>
      <w:r w:rsidR="002A5B8F" w:rsidRPr="00A847B7">
        <w:rPr>
          <w:rFonts w:cstheme="minorHAnsi"/>
        </w:rPr>
        <w:t xml:space="preserve"> entre le 1</w:t>
      </w:r>
      <w:r w:rsidR="002A5B8F" w:rsidRPr="00A847B7">
        <w:rPr>
          <w:rFonts w:cstheme="minorHAnsi"/>
          <w:vertAlign w:val="superscript"/>
        </w:rPr>
        <w:t>er</w:t>
      </w:r>
      <w:r w:rsidR="002A5B8F" w:rsidRPr="00A847B7">
        <w:rPr>
          <w:rFonts w:cstheme="minorHAnsi"/>
        </w:rPr>
        <w:t xml:space="preserve"> janvier 2021 et </w:t>
      </w:r>
      <w:r w:rsidR="004C6030" w:rsidRPr="00A847B7">
        <w:rPr>
          <w:rFonts w:cstheme="minorHAnsi"/>
        </w:rPr>
        <w:t>le 31 décembre 2024</w:t>
      </w:r>
      <w:r w:rsidR="00892BEC" w:rsidRPr="00A847B7">
        <w:rPr>
          <w:rFonts w:cstheme="minorHAnsi"/>
        </w:rPr>
        <w:t xml:space="preserve"> </w:t>
      </w:r>
      <w:r w:rsidR="004D34E9" w:rsidRPr="00A847B7">
        <w:rPr>
          <w:rFonts w:cstheme="minorHAnsi"/>
        </w:rPr>
        <w:t xml:space="preserve">par des sociétés soumises à l’impôt sur les sociétés au bénéfice </w:t>
      </w:r>
      <w:r w:rsidR="00236E64">
        <w:rPr>
          <w:rFonts w:cstheme="minorHAnsi"/>
        </w:rPr>
        <w:t>de</w:t>
      </w:r>
      <w:r w:rsidR="004D34E9" w:rsidRPr="00A847B7">
        <w:rPr>
          <w:rFonts w:cstheme="minorHAnsi"/>
        </w:rPr>
        <w:t xml:space="preserve"> sociétés</w:t>
      </w:r>
      <w:r w:rsidR="00DB6667" w:rsidRPr="00A847B7">
        <w:rPr>
          <w:rFonts w:cstheme="minorHAnsi"/>
        </w:rPr>
        <w:t xml:space="preserve"> de presse, elles-mêmes soumises à l’impôt sur les sociétés, éditant</w:t>
      </w:r>
      <w:r w:rsidR="006D4C6F">
        <w:rPr>
          <w:rFonts w:cstheme="minorHAnsi"/>
        </w:rPr>
        <w:t> :</w:t>
      </w:r>
    </w:p>
    <w:p w14:paraId="5DB36584" w14:textId="175B51E5" w:rsidR="00172F43" w:rsidRPr="00A847B7" w:rsidRDefault="00172F43" w:rsidP="00EE0687">
      <w:pPr>
        <w:pStyle w:val="Paragraphedeliste"/>
        <w:numPr>
          <w:ilvl w:val="0"/>
          <w:numId w:val="152"/>
        </w:numPr>
      </w:pPr>
      <w:r w:rsidRPr="00A847B7">
        <w:t>une ou plusieurs publications de presse d’information politique et générale ;</w:t>
      </w:r>
    </w:p>
    <w:p w14:paraId="4A8271D2" w14:textId="77777777" w:rsidR="00BC18CB" w:rsidRPr="00A847B7" w:rsidRDefault="00172F43" w:rsidP="00EE0687">
      <w:pPr>
        <w:pStyle w:val="Paragraphedeliste"/>
        <w:numPr>
          <w:ilvl w:val="0"/>
          <w:numId w:val="152"/>
        </w:numPr>
      </w:pPr>
      <w:r w:rsidRPr="00A847B7">
        <w:t xml:space="preserve">ou </w:t>
      </w:r>
      <w:r w:rsidR="00BC18CB" w:rsidRPr="00A847B7">
        <w:t>u</w:t>
      </w:r>
      <w:r w:rsidR="00E1568B" w:rsidRPr="00A847B7">
        <w:t>n ou plusieurs services de presse en ligne d’information politique et générale reconnus ;</w:t>
      </w:r>
    </w:p>
    <w:p w14:paraId="08566A4A" w14:textId="35963E2A" w:rsidR="00E1568B" w:rsidRPr="00A847B7" w:rsidRDefault="00E1568B" w:rsidP="00EE0687">
      <w:pPr>
        <w:pStyle w:val="Paragraphedeliste"/>
        <w:numPr>
          <w:ilvl w:val="0"/>
          <w:numId w:val="152"/>
        </w:numPr>
      </w:pPr>
      <w:r w:rsidRPr="00A847B7">
        <w:t xml:space="preserve">ou </w:t>
      </w:r>
      <w:r w:rsidR="000C5F62">
        <w:t>u</w:t>
      </w:r>
      <w:r w:rsidR="00BC18CB" w:rsidRPr="00A847B7">
        <w:t>ne ou plusieurs publications de presse ou services de presse en ligne consacrés pour une large part à l’information politique et générale.</w:t>
      </w:r>
    </w:p>
    <w:p w14:paraId="30AC9580" w14:textId="0A6804D8" w:rsidR="00172F43" w:rsidRPr="00A847B7" w:rsidRDefault="00BC18CB" w:rsidP="00306F67">
      <w:pPr>
        <w:rPr>
          <w:rFonts w:cstheme="minorHAnsi"/>
        </w:rPr>
      </w:pPr>
      <w:r w:rsidRPr="00A847B7">
        <w:rPr>
          <w:rFonts w:cstheme="minorHAnsi"/>
        </w:rPr>
        <w:t>Cette mesure s’appliquera aux exercices clos à compter du 31 décembre 2021.</w:t>
      </w:r>
    </w:p>
    <w:p w14:paraId="18E97323" w14:textId="77777777" w:rsidR="00E4014A" w:rsidRPr="0080045A" w:rsidRDefault="00E4014A" w:rsidP="00E4014A">
      <w:pPr>
        <w:rPr>
          <w:rFonts w:cstheme="minorHAnsi"/>
        </w:rPr>
      </w:pPr>
      <w:r>
        <w:rPr>
          <w:rFonts w:cstheme="minorHAnsi"/>
        </w:rPr>
        <w:t>Notez enfin que cet avantage fiscal est soumis</w:t>
      </w:r>
      <w:r w:rsidRPr="00A847B7">
        <w:rPr>
          <w:rFonts w:cstheme="minorHAnsi"/>
        </w:rPr>
        <w:t xml:space="preserve"> au respect du plafonnement applicable en matière de réglementation européenne relative aux aides de minimis.</w:t>
      </w:r>
    </w:p>
    <w:p w14:paraId="31473B12" w14:textId="77777777" w:rsidR="0078270F" w:rsidRPr="00A847B7" w:rsidRDefault="0078270F" w:rsidP="00306F67">
      <w:pPr>
        <w:rPr>
          <w:rFonts w:cstheme="minorHAnsi"/>
        </w:rPr>
      </w:pPr>
    </w:p>
    <w:p w14:paraId="28501D2F" w14:textId="0AA37E37" w:rsidR="00CF28B9" w:rsidRPr="00A847B7" w:rsidRDefault="00CF28B9" w:rsidP="00CF28B9">
      <w:pPr>
        <w:pStyle w:val="Titre3"/>
      </w:pPr>
      <w:bookmarkStart w:id="83" w:name="_Toc60781009"/>
      <w:r w:rsidRPr="00A847B7">
        <w:t xml:space="preserve">Slide </w:t>
      </w:r>
      <w:r w:rsidR="00C34C09">
        <w:t>54</w:t>
      </w:r>
      <w:r w:rsidRPr="00A847B7">
        <w:t> : Mécénat</w:t>
      </w:r>
      <w:bookmarkEnd w:id="83"/>
    </w:p>
    <w:p w14:paraId="12290E6F" w14:textId="2EE81BC7" w:rsidR="00BC18CB" w:rsidRPr="00A847B7" w:rsidRDefault="00147770" w:rsidP="00BC18CB">
      <w:pPr>
        <w:rPr>
          <w:rFonts w:cstheme="minorHAnsi"/>
        </w:rPr>
      </w:pPr>
      <w:r w:rsidRPr="004F587E">
        <w:rPr>
          <w:u w:val="single"/>
        </w:rPr>
        <w:t xml:space="preserve">Source </w:t>
      </w:r>
      <w:r w:rsidRPr="00A847B7">
        <w:t>:</w:t>
      </w:r>
      <w:r w:rsidR="00BC18CB" w:rsidRPr="00A847B7">
        <w:rPr>
          <w:rFonts w:cstheme="minorHAnsi"/>
        </w:rPr>
        <w:t xml:space="preserve"> Loi de Finances pour 2021, </w:t>
      </w:r>
      <w:r w:rsidR="00BC18CB" w:rsidRPr="00D5335E">
        <w:rPr>
          <w:rFonts w:cstheme="minorHAnsi"/>
        </w:rPr>
        <w:t xml:space="preserve">article </w:t>
      </w:r>
      <w:r w:rsidR="00C87E69" w:rsidRPr="00C87E69">
        <w:rPr>
          <w:rFonts w:cstheme="minorHAnsi"/>
        </w:rPr>
        <w:t>149</w:t>
      </w:r>
    </w:p>
    <w:p w14:paraId="4E044FD6" w14:textId="0277BE5F" w:rsidR="00C85128" w:rsidRPr="00A847B7" w:rsidRDefault="00C85128" w:rsidP="00BC18CB">
      <w:pPr>
        <w:rPr>
          <w:rFonts w:cstheme="minorHAnsi"/>
        </w:rPr>
      </w:pPr>
      <w:r w:rsidRPr="00A847B7">
        <w:rPr>
          <w:rFonts w:cstheme="minorHAnsi"/>
        </w:rPr>
        <w:t xml:space="preserve">Les dons versés par une entreprise au profit d’organismes </w:t>
      </w:r>
      <w:r w:rsidR="00285416" w:rsidRPr="00A847B7">
        <w:rPr>
          <w:rFonts w:cstheme="minorHAnsi"/>
        </w:rPr>
        <w:t>limitativement</w:t>
      </w:r>
      <w:r w:rsidRPr="00A847B7">
        <w:rPr>
          <w:rFonts w:cstheme="minorHAnsi"/>
        </w:rPr>
        <w:t xml:space="preserve"> énumérés par la Loi </w:t>
      </w:r>
      <w:r w:rsidR="00285416" w:rsidRPr="00A847B7">
        <w:rPr>
          <w:rFonts w:cstheme="minorHAnsi"/>
        </w:rPr>
        <w:t>ouvrent</w:t>
      </w:r>
      <w:r w:rsidRPr="00A847B7">
        <w:rPr>
          <w:rFonts w:cstheme="minorHAnsi"/>
        </w:rPr>
        <w:t xml:space="preserve"> droit à une réduction d’impôt, au titre du mécénat, égale à 60 %</w:t>
      </w:r>
      <w:r w:rsidR="00C12FF3" w:rsidRPr="00A847B7">
        <w:rPr>
          <w:rFonts w:cstheme="minorHAnsi"/>
        </w:rPr>
        <w:t xml:space="preserve"> de leur montant, dans la limite de </w:t>
      </w:r>
      <w:r w:rsidR="009428BB" w:rsidRPr="00A847B7">
        <w:rPr>
          <w:rFonts w:cstheme="minorHAnsi"/>
        </w:rPr>
        <w:t>10 000 €</w:t>
      </w:r>
      <w:r w:rsidR="005F27FD" w:rsidRPr="00A847B7">
        <w:rPr>
          <w:rFonts w:cstheme="minorHAnsi"/>
        </w:rPr>
        <w:t xml:space="preserve"> (pour les exercices clos </w:t>
      </w:r>
      <w:r w:rsidR="00723209" w:rsidRPr="00A847B7">
        <w:rPr>
          <w:rFonts w:cstheme="minorHAnsi"/>
        </w:rPr>
        <w:t>entre le 31 décembre 2019 et le 31 décembre 2020)</w:t>
      </w:r>
      <w:r w:rsidR="005D6D7E" w:rsidRPr="00A847B7">
        <w:rPr>
          <w:rFonts w:cstheme="minorHAnsi"/>
        </w:rPr>
        <w:t xml:space="preserve"> ou 20 000 € (pour les exercices clos à compter du 31 décembre 2020)</w:t>
      </w:r>
      <w:r w:rsidR="009428BB" w:rsidRPr="00A847B7">
        <w:rPr>
          <w:rFonts w:cstheme="minorHAnsi"/>
        </w:rPr>
        <w:t xml:space="preserve"> ou de 5 pour mille du chiffre d’affaires lorsque ce dernier montant </w:t>
      </w:r>
      <w:r w:rsidR="005D6D7E" w:rsidRPr="00A847B7">
        <w:rPr>
          <w:rFonts w:cstheme="minorHAnsi"/>
        </w:rPr>
        <w:t>est</w:t>
      </w:r>
      <w:r w:rsidR="009428BB" w:rsidRPr="00A847B7">
        <w:rPr>
          <w:rFonts w:cstheme="minorHAnsi"/>
        </w:rPr>
        <w:t xml:space="preserve"> plus élevé.</w:t>
      </w:r>
    </w:p>
    <w:p w14:paraId="74068B9D" w14:textId="34AC8BCB" w:rsidR="00285416" w:rsidRPr="00A847B7" w:rsidRDefault="005D6D7E" w:rsidP="00285416">
      <w:pPr>
        <w:rPr>
          <w:rFonts w:cstheme="minorHAnsi"/>
        </w:rPr>
      </w:pPr>
      <w:r w:rsidRPr="00A847B7">
        <w:rPr>
          <w:rFonts w:cstheme="minorHAnsi"/>
        </w:rPr>
        <w:lastRenderedPageBreak/>
        <w:t>En outre, p</w:t>
      </w:r>
      <w:r w:rsidR="00285416" w:rsidRPr="00A847B7">
        <w:rPr>
          <w:rFonts w:cstheme="minorHAnsi"/>
        </w:rPr>
        <w:t>our les exercices clos à compter du 31 décembre 2020, le taux de la réduction d’impôt est fixé à 40</w:t>
      </w:r>
      <w:r w:rsidR="00FA0CA9">
        <w:rPr>
          <w:rFonts w:cstheme="minorHAnsi"/>
        </w:rPr>
        <w:t> </w:t>
      </w:r>
      <w:r w:rsidR="00285416" w:rsidRPr="00A847B7">
        <w:rPr>
          <w:rFonts w:cstheme="minorHAnsi"/>
        </w:rPr>
        <w:t>% des sommes versées, pour la fraction des versements qui excède 2 M€.</w:t>
      </w:r>
      <w:r w:rsidR="00E61200" w:rsidRPr="00A847B7">
        <w:rPr>
          <w:rFonts w:cstheme="minorHAnsi"/>
        </w:rPr>
        <w:t xml:space="preserve"> Et p</w:t>
      </w:r>
      <w:r w:rsidR="00285416" w:rsidRPr="00A847B7">
        <w:rPr>
          <w:rFonts w:cstheme="minorHAnsi"/>
        </w:rPr>
        <w:t>our les versements n’excédant pas ce seuil de 2 M€, le taux de la réduction d’impôt sera fixé à 60 % des sommes versées dans la limite de 5 pour mille du CA ou, si elle est plus favorable, dans la limite de 20 000 € (au lieu du seuil de 10 000 € applicable pour les exercices clos entre le 31 décembre 2019 et le 31 décembre 2020).</w:t>
      </w:r>
    </w:p>
    <w:p w14:paraId="3A26F1EF" w14:textId="32DF3DFA" w:rsidR="00285416" w:rsidRPr="00A847B7" w:rsidRDefault="00285416" w:rsidP="00285416">
      <w:pPr>
        <w:spacing w:beforeAutospacing="1" w:after="100" w:afterAutospacing="1" w:line="240" w:lineRule="auto"/>
        <w:rPr>
          <w:rFonts w:cstheme="minorHAnsi"/>
        </w:rPr>
      </w:pPr>
      <w:r w:rsidRPr="00A847B7">
        <w:rPr>
          <w:rFonts w:cstheme="minorHAnsi"/>
        </w:rPr>
        <w:t xml:space="preserve">Ce nouveau taux de 40 % ne s’appliquera pas aux versements effectués au profit d’organismes sans but lucratif qui proposent les prestations ou les produits suivants : </w:t>
      </w:r>
    </w:p>
    <w:p w14:paraId="031C26E2" w14:textId="77777777" w:rsidR="00285416" w:rsidRPr="00A847B7" w:rsidRDefault="00285416" w:rsidP="00EE0687">
      <w:pPr>
        <w:pStyle w:val="Paragraphedeliste"/>
        <w:numPr>
          <w:ilvl w:val="0"/>
          <w:numId w:val="157"/>
        </w:numPr>
        <w:spacing w:beforeAutospacing="1" w:after="100" w:afterAutospacing="1" w:line="240" w:lineRule="auto"/>
        <w:rPr>
          <w:rFonts w:cstheme="minorHAnsi"/>
        </w:rPr>
      </w:pPr>
      <w:r w:rsidRPr="00A847B7">
        <w:rPr>
          <w:rFonts w:cstheme="minorHAnsi"/>
        </w:rPr>
        <w:t>fourniture gratuite de repas à des personnes en difficulté ;</w:t>
      </w:r>
    </w:p>
    <w:p w14:paraId="6A0C6365" w14:textId="77777777" w:rsidR="00285416" w:rsidRPr="00A847B7" w:rsidRDefault="00285416" w:rsidP="00EE0687">
      <w:pPr>
        <w:pStyle w:val="Paragraphedeliste"/>
        <w:numPr>
          <w:ilvl w:val="0"/>
          <w:numId w:val="157"/>
        </w:numPr>
        <w:spacing w:beforeAutospacing="1" w:after="100" w:afterAutospacing="1" w:line="240" w:lineRule="auto"/>
        <w:rPr>
          <w:rFonts w:cstheme="minorHAnsi"/>
        </w:rPr>
      </w:pPr>
      <w:r w:rsidRPr="00A847B7">
        <w:rPr>
          <w:rFonts w:cstheme="minorHAnsi"/>
        </w:rPr>
        <w:t>logement de personnes en difficulté ;</w:t>
      </w:r>
    </w:p>
    <w:p w14:paraId="784E1BD7" w14:textId="77777777" w:rsidR="00285416" w:rsidRPr="00A847B7" w:rsidRDefault="00285416" w:rsidP="00EE0687">
      <w:pPr>
        <w:pStyle w:val="Paragraphedeliste"/>
        <w:numPr>
          <w:ilvl w:val="0"/>
          <w:numId w:val="157"/>
        </w:numPr>
        <w:spacing w:beforeAutospacing="1" w:after="100" w:afterAutospacing="1" w:line="240" w:lineRule="auto"/>
        <w:rPr>
          <w:rFonts w:cstheme="minorHAnsi"/>
        </w:rPr>
      </w:pPr>
      <w:r w:rsidRPr="00A847B7">
        <w:rPr>
          <w:rFonts w:cstheme="minorHAnsi"/>
        </w:rPr>
        <w:t>lorsqu'elle est exercée à titre principal, la fourniture gratuite à des personnes en difficulté de :</w:t>
      </w:r>
    </w:p>
    <w:p w14:paraId="678F0B80" w14:textId="77777777" w:rsidR="00285416" w:rsidRPr="00A847B7" w:rsidRDefault="00285416" w:rsidP="00EE0687">
      <w:pPr>
        <w:pStyle w:val="Paragraphedeliste"/>
        <w:numPr>
          <w:ilvl w:val="1"/>
          <w:numId w:val="156"/>
        </w:numPr>
        <w:spacing w:beforeAutospacing="1" w:after="100" w:afterAutospacing="1" w:line="240" w:lineRule="auto"/>
        <w:rPr>
          <w:rFonts w:cstheme="minorHAnsi"/>
        </w:rPr>
      </w:pPr>
      <w:r w:rsidRPr="00A847B7">
        <w:rPr>
          <w:rFonts w:cstheme="minorHAnsi"/>
        </w:rPr>
        <w:t>soins dispensés aux personnes par les membres des professions médicales et paramédicales réglementées, par les pharmaciens, par les praticiens autorisés à faire usage légalement du titre d'ostéopathe, de chiropracteur, de psychologue ou de psychothérapeute et par les psychanalystes titulaires d'un des diplômes requis, à la date de sa délivrance, pour être recruté comme psychologue dans la fonction publique hospitalière ainsi que les travaux d'analyse de biologie médicale et les fournitures de prothèses dentaires par les dentistes et les prothésistes,</w:t>
      </w:r>
    </w:p>
    <w:p w14:paraId="75B92C33" w14:textId="77777777" w:rsidR="00285416" w:rsidRPr="00A847B7" w:rsidRDefault="00285416" w:rsidP="00EE0687">
      <w:pPr>
        <w:pStyle w:val="Paragraphedeliste"/>
        <w:numPr>
          <w:ilvl w:val="1"/>
          <w:numId w:val="156"/>
        </w:numPr>
        <w:spacing w:beforeAutospacing="1" w:after="100" w:afterAutospacing="1" w:line="240" w:lineRule="auto"/>
        <w:rPr>
          <w:rFonts w:cstheme="minorHAnsi"/>
        </w:rPr>
      </w:pPr>
      <w:r w:rsidRPr="00A847B7">
        <w:rPr>
          <w:rFonts w:cstheme="minorHAnsi"/>
        </w:rPr>
        <w:t>matériels (literie, dispositif d’occultation des fenêtres dans les pièces destinées à être utilisées comme chambre à coucher, etc.), ainsi que meubles de rangement, linge de maison, équipements de salle de bain et de puériculture, biberons et matériels pour nourrissons et enfants en bas âge, petits et gros appareils électroménagers,</w:t>
      </w:r>
    </w:p>
    <w:p w14:paraId="5BE1A6A6" w14:textId="77777777" w:rsidR="00285416" w:rsidRPr="00A847B7" w:rsidRDefault="00285416" w:rsidP="00EE0687">
      <w:pPr>
        <w:pStyle w:val="Paragraphedeliste"/>
        <w:numPr>
          <w:ilvl w:val="1"/>
          <w:numId w:val="156"/>
        </w:numPr>
        <w:spacing w:beforeAutospacing="1" w:after="100" w:afterAutospacing="1" w:line="240" w:lineRule="auto"/>
        <w:rPr>
          <w:rFonts w:cstheme="minorHAnsi"/>
        </w:rPr>
      </w:pPr>
      <w:r w:rsidRPr="00A847B7">
        <w:rPr>
          <w:rFonts w:cstheme="minorHAnsi"/>
        </w:rPr>
        <w:t>matériels et équipements conçus spécialement pour les personnes handicapées ou à mobilité réduite,</w:t>
      </w:r>
    </w:p>
    <w:p w14:paraId="7AC30D89" w14:textId="77777777" w:rsidR="00285416" w:rsidRPr="00A847B7" w:rsidRDefault="00285416" w:rsidP="00EE0687">
      <w:pPr>
        <w:pStyle w:val="Paragraphedeliste"/>
        <w:numPr>
          <w:ilvl w:val="1"/>
          <w:numId w:val="156"/>
        </w:numPr>
        <w:spacing w:beforeAutospacing="1" w:after="100" w:afterAutospacing="1" w:line="240" w:lineRule="auto"/>
        <w:rPr>
          <w:rFonts w:cstheme="minorHAnsi"/>
        </w:rPr>
      </w:pPr>
      <w:r w:rsidRPr="00A847B7">
        <w:rPr>
          <w:rFonts w:cstheme="minorHAnsi"/>
        </w:rPr>
        <w:t>fournitures scolaires, y compris jouets et jeux d'éveil et éducatifs,</w:t>
      </w:r>
    </w:p>
    <w:p w14:paraId="27EB3BCE" w14:textId="77777777" w:rsidR="00285416" w:rsidRPr="00A847B7" w:rsidRDefault="00285416" w:rsidP="00EE0687">
      <w:pPr>
        <w:pStyle w:val="Paragraphedeliste"/>
        <w:numPr>
          <w:ilvl w:val="1"/>
          <w:numId w:val="156"/>
        </w:numPr>
        <w:spacing w:beforeAutospacing="1" w:after="100" w:afterAutospacing="1" w:line="240" w:lineRule="auto"/>
        <w:rPr>
          <w:rFonts w:cstheme="minorHAnsi"/>
        </w:rPr>
      </w:pPr>
      <w:r w:rsidRPr="00A847B7">
        <w:rPr>
          <w:rFonts w:cstheme="minorHAnsi"/>
        </w:rPr>
        <w:t>vêtements, y compris chaussures,</w:t>
      </w:r>
    </w:p>
    <w:p w14:paraId="06620B35" w14:textId="77777777" w:rsidR="00285416" w:rsidRPr="00A847B7" w:rsidRDefault="00285416" w:rsidP="00EE0687">
      <w:pPr>
        <w:pStyle w:val="Paragraphedeliste"/>
        <w:numPr>
          <w:ilvl w:val="1"/>
          <w:numId w:val="156"/>
        </w:numPr>
        <w:spacing w:beforeAutospacing="1" w:after="100" w:afterAutospacing="1" w:line="240" w:lineRule="auto"/>
        <w:rPr>
          <w:rFonts w:cstheme="minorHAnsi"/>
        </w:rPr>
      </w:pPr>
      <w:r w:rsidRPr="00A847B7">
        <w:rPr>
          <w:rFonts w:cstheme="minorHAnsi"/>
        </w:rPr>
        <w:t>produits sanitaires, y compris d'entretien ménager, et produits d'hygiène bucco-dentaire et corporelle,</w:t>
      </w:r>
    </w:p>
    <w:p w14:paraId="7A549AA9" w14:textId="77777777" w:rsidR="00285416" w:rsidRPr="00A847B7" w:rsidRDefault="00285416" w:rsidP="00EE0687">
      <w:pPr>
        <w:pStyle w:val="Paragraphedeliste"/>
        <w:numPr>
          <w:ilvl w:val="1"/>
          <w:numId w:val="156"/>
        </w:numPr>
        <w:spacing w:beforeAutospacing="1" w:after="100" w:afterAutospacing="1" w:line="240" w:lineRule="auto"/>
        <w:rPr>
          <w:rFonts w:cstheme="minorHAnsi"/>
        </w:rPr>
      </w:pPr>
      <w:r w:rsidRPr="00A847B7">
        <w:rPr>
          <w:rFonts w:cstheme="minorHAnsi"/>
        </w:rPr>
        <w:t>produits de protection hygiénique féminine,</w:t>
      </w:r>
    </w:p>
    <w:p w14:paraId="1ABE3E42" w14:textId="77777777" w:rsidR="00285416" w:rsidRPr="00A847B7" w:rsidRDefault="00285416" w:rsidP="00EE0687">
      <w:pPr>
        <w:pStyle w:val="Paragraphedeliste"/>
        <w:numPr>
          <w:ilvl w:val="1"/>
          <w:numId w:val="156"/>
        </w:numPr>
        <w:spacing w:beforeAutospacing="1" w:after="100" w:afterAutospacing="1" w:line="240" w:lineRule="auto"/>
        <w:rPr>
          <w:rFonts w:cstheme="minorHAnsi"/>
        </w:rPr>
      </w:pPr>
      <w:r w:rsidRPr="00A847B7">
        <w:rPr>
          <w:rFonts w:cstheme="minorHAnsi"/>
        </w:rPr>
        <w:t>couches pour nourrissons,</w:t>
      </w:r>
    </w:p>
    <w:p w14:paraId="0F671D02" w14:textId="77777777" w:rsidR="00285416" w:rsidRPr="00A847B7" w:rsidRDefault="00285416" w:rsidP="00EE0687">
      <w:pPr>
        <w:pStyle w:val="Paragraphedeliste"/>
        <w:numPr>
          <w:ilvl w:val="1"/>
          <w:numId w:val="156"/>
        </w:numPr>
        <w:spacing w:beforeAutospacing="1" w:after="100" w:afterAutospacing="1" w:line="240" w:lineRule="auto"/>
        <w:rPr>
          <w:rFonts w:cstheme="minorHAnsi"/>
        </w:rPr>
      </w:pPr>
      <w:r w:rsidRPr="00A847B7">
        <w:rPr>
          <w:rFonts w:cstheme="minorHAnsi"/>
        </w:rPr>
        <w:t>produits et matériels utilisés pour l'incontinence,</w:t>
      </w:r>
    </w:p>
    <w:p w14:paraId="01D07D98" w14:textId="77777777" w:rsidR="00285416" w:rsidRPr="00A847B7" w:rsidRDefault="00285416" w:rsidP="00EE0687">
      <w:pPr>
        <w:pStyle w:val="Paragraphedeliste"/>
        <w:numPr>
          <w:ilvl w:val="1"/>
          <w:numId w:val="156"/>
        </w:numPr>
        <w:spacing w:beforeAutospacing="1" w:after="100" w:afterAutospacing="1" w:line="240" w:lineRule="auto"/>
        <w:rPr>
          <w:rFonts w:cstheme="minorHAnsi"/>
        </w:rPr>
      </w:pPr>
      <w:r w:rsidRPr="00A847B7">
        <w:rPr>
          <w:rFonts w:cstheme="minorHAnsi"/>
        </w:rPr>
        <w:t>produits contraceptifs.</w:t>
      </w:r>
    </w:p>
    <w:p w14:paraId="4449F84C" w14:textId="653D3C03" w:rsidR="00BC18CB" w:rsidRPr="00A847B7" w:rsidRDefault="00CB7ADF" w:rsidP="00BC18CB">
      <w:pPr>
        <w:rPr>
          <w:rFonts w:cstheme="minorHAnsi"/>
        </w:rPr>
      </w:pPr>
      <w:r w:rsidRPr="00A847B7">
        <w:rPr>
          <w:rFonts w:cstheme="minorHAnsi"/>
        </w:rPr>
        <w:t xml:space="preserve">La Loi de Finances pour 2021 prévoit </w:t>
      </w:r>
      <w:r w:rsidR="00E61200" w:rsidRPr="00A847B7">
        <w:rPr>
          <w:rFonts w:cstheme="minorHAnsi"/>
        </w:rPr>
        <w:t>qu</w:t>
      </w:r>
      <w:r w:rsidR="007972E0" w:rsidRPr="00A847B7">
        <w:rPr>
          <w:rFonts w:cstheme="minorHAnsi"/>
        </w:rPr>
        <w:t>e le bénéfice de cette</w:t>
      </w:r>
      <w:r w:rsidR="00747FB6" w:rsidRPr="00A847B7">
        <w:rPr>
          <w:rFonts w:cstheme="minorHAnsi"/>
        </w:rPr>
        <w:t xml:space="preserve"> </w:t>
      </w:r>
      <w:r w:rsidR="007972E0" w:rsidRPr="00A847B7">
        <w:rPr>
          <w:rFonts w:cstheme="minorHAnsi"/>
        </w:rPr>
        <w:t xml:space="preserve">réduction d’impôt au titre du mécénat profite aux versements </w:t>
      </w:r>
      <w:r w:rsidR="00747FB6" w:rsidRPr="00A847B7">
        <w:rPr>
          <w:rFonts w:cstheme="minorHAnsi"/>
        </w:rPr>
        <w:t>effectués</w:t>
      </w:r>
      <w:r w:rsidR="007972E0" w:rsidRPr="00A847B7">
        <w:rPr>
          <w:rFonts w:cstheme="minorHAnsi"/>
        </w:rPr>
        <w:t xml:space="preserve"> au </w:t>
      </w:r>
      <w:r w:rsidR="00747FB6" w:rsidRPr="00A847B7">
        <w:rPr>
          <w:rFonts w:cstheme="minorHAnsi"/>
        </w:rPr>
        <w:t>cours</w:t>
      </w:r>
      <w:r w:rsidR="007972E0" w:rsidRPr="00A847B7">
        <w:rPr>
          <w:rFonts w:cstheme="minorHAnsi"/>
        </w:rPr>
        <w:t xml:space="preserve"> des </w:t>
      </w:r>
      <w:r w:rsidR="00747FB6" w:rsidRPr="00A847B7">
        <w:rPr>
          <w:rFonts w:cstheme="minorHAnsi"/>
        </w:rPr>
        <w:t>exercices clos à compter du 31 décembre 2021</w:t>
      </w:r>
      <w:r w:rsidR="00E02A77" w:rsidRPr="00A847B7">
        <w:rPr>
          <w:rFonts w:cstheme="minorHAnsi"/>
        </w:rPr>
        <w:t xml:space="preserve"> au bénéfice de</w:t>
      </w:r>
      <w:r w:rsidR="0071682B" w:rsidRPr="00A847B7">
        <w:rPr>
          <w:rFonts w:cstheme="minorHAnsi"/>
        </w:rPr>
        <w:t>s f</w:t>
      </w:r>
      <w:r w:rsidR="0071682B" w:rsidRPr="00A847B7">
        <w:t>édérations ou unions d’organismes, dûment agréées, ayant pour objet exclusif de fédérer, d’organiser, de représenter et de promouvoir les organismes agréés</w:t>
      </w:r>
      <w:r w:rsidR="00B86243" w:rsidRPr="00A847B7">
        <w:t>,</w:t>
      </w:r>
      <w:r w:rsidR="0071682B" w:rsidRPr="00A847B7">
        <w:t xml:space="preserve"> sous réserve qu’elles présentent une gestion désintéressée et réalisent exclusivement des prestations non rémunérées au bénéfice de leurs membres.</w:t>
      </w:r>
    </w:p>
    <w:p w14:paraId="4D6836FC" w14:textId="77777777" w:rsidR="00BC18CB" w:rsidRPr="00A847B7" w:rsidRDefault="00BC18CB" w:rsidP="00BC18CB">
      <w:pPr>
        <w:rPr>
          <w:rFonts w:cstheme="minorHAnsi"/>
        </w:rPr>
      </w:pPr>
    </w:p>
    <w:p w14:paraId="7F33B426" w14:textId="6E9590AB" w:rsidR="00CC2CDC" w:rsidRPr="00A847B7" w:rsidRDefault="00CC2CDC" w:rsidP="00CC2CDC">
      <w:pPr>
        <w:pStyle w:val="Titre3"/>
      </w:pPr>
      <w:bookmarkStart w:id="84" w:name="_Toc60781010"/>
      <w:r w:rsidRPr="00A847B7">
        <w:t xml:space="preserve">Slide </w:t>
      </w:r>
      <w:r w:rsidR="00A9130F">
        <w:t>55</w:t>
      </w:r>
      <w:r w:rsidRPr="00A847B7">
        <w:t xml:space="preserve"> : </w:t>
      </w:r>
      <w:r w:rsidR="000C6354" w:rsidRPr="00A847B7">
        <w:t>M</w:t>
      </w:r>
      <w:r w:rsidR="004F29FB" w:rsidRPr="00A847B7">
        <w:t>ise à disposition d’une flotte de vélos</w:t>
      </w:r>
      <w:bookmarkEnd w:id="84"/>
    </w:p>
    <w:p w14:paraId="4DB53D3A" w14:textId="7B1F0842" w:rsidR="00505E57" w:rsidRPr="00A847B7" w:rsidRDefault="00147770" w:rsidP="00505E57">
      <w:r w:rsidRPr="004F587E">
        <w:rPr>
          <w:u w:val="single"/>
        </w:rPr>
        <w:t xml:space="preserve">Source </w:t>
      </w:r>
      <w:r w:rsidRPr="00A847B7">
        <w:t>:</w:t>
      </w:r>
      <w:r w:rsidR="00505E57" w:rsidRPr="00A847B7">
        <w:t xml:space="preserve"> Loi de Finances pour 2021</w:t>
      </w:r>
      <w:r w:rsidR="00505E57" w:rsidRPr="00050A87">
        <w:t xml:space="preserve">, </w:t>
      </w:r>
      <w:r w:rsidR="00505E57" w:rsidRPr="00B327D5">
        <w:t xml:space="preserve">article </w:t>
      </w:r>
      <w:r w:rsidR="00050A87" w:rsidRPr="00050A87">
        <w:t>148</w:t>
      </w:r>
    </w:p>
    <w:p w14:paraId="2DC3C6A2" w14:textId="15F28DB4" w:rsidR="00505E57" w:rsidRPr="00A847B7" w:rsidRDefault="00505E57" w:rsidP="00EE0687">
      <w:pPr>
        <w:pStyle w:val="Paragraphedeliste"/>
        <w:numPr>
          <w:ilvl w:val="0"/>
          <w:numId w:val="159"/>
        </w:numPr>
        <w:rPr>
          <w:b/>
          <w:i/>
          <w:u w:val="single"/>
        </w:rPr>
      </w:pPr>
      <w:r w:rsidRPr="00A847B7">
        <w:rPr>
          <w:b/>
          <w:i/>
          <w:u w:val="single"/>
        </w:rPr>
        <w:t>Rappel du dispositif</w:t>
      </w:r>
    </w:p>
    <w:p w14:paraId="72C25864" w14:textId="77777777" w:rsidR="00505E57" w:rsidRPr="00A847B7" w:rsidRDefault="00505E57" w:rsidP="005D7DD3">
      <w:pPr>
        <w:rPr>
          <w:rFonts w:eastAsia="Times New Roman"/>
          <w:lang w:eastAsia="fr-FR"/>
        </w:rPr>
      </w:pPr>
      <w:r w:rsidRPr="00A847B7">
        <w:rPr>
          <w:rFonts w:eastAsia="Times New Roman"/>
          <w:lang w:eastAsia="fr-FR"/>
        </w:rPr>
        <w:t>Les entreprises soumises à l'impôt sur les sociétés peuvent bénéficier d'une réduction d'impôt égale aux frais générés jusqu'au 31 décembre 2021 par la mise à la disposition gratuite de leurs salariés, pour leurs déplacements entre leur domicile et le lieu de travail, d'une flotte de vélos, dans la limite de 25 % du prix d'achat ou de location de ladite flotte de vélos.</w:t>
      </w:r>
    </w:p>
    <w:p w14:paraId="24C5F86E" w14:textId="03B559E8" w:rsidR="00505E57" w:rsidRPr="00A847B7" w:rsidRDefault="00505E57" w:rsidP="005D7DD3">
      <w:pPr>
        <w:rPr>
          <w:rFonts w:eastAsia="Times New Roman"/>
          <w:lang w:eastAsia="fr-FR"/>
        </w:rPr>
      </w:pPr>
      <w:r w:rsidRPr="00A847B7">
        <w:rPr>
          <w:rFonts w:eastAsia="Times New Roman"/>
          <w:lang w:eastAsia="fr-FR"/>
        </w:rPr>
        <w:lastRenderedPageBreak/>
        <w:t xml:space="preserve">Lorsque la flotte de vélos est prise en location par l'entreprise, le bénéfice de la réduction d'impôt est subordonné à la condition que le contrat de location soit souscrit pour une durée minimale de </w:t>
      </w:r>
      <w:r w:rsidR="00B52B41">
        <w:rPr>
          <w:rFonts w:eastAsia="Times New Roman"/>
          <w:lang w:eastAsia="fr-FR"/>
        </w:rPr>
        <w:t>3</w:t>
      </w:r>
      <w:r w:rsidRPr="00A847B7">
        <w:rPr>
          <w:rFonts w:eastAsia="Times New Roman"/>
          <w:lang w:eastAsia="fr-FR"/>
        </w:rPr>
        <w:t xml:space="preserve"> ans.</w:t>
      </w:r>
    </w:p>
    <w:p w14:paraId="5E3035BB" w14:textId="5BBA1322" w:rsidR="00505E57" w:rsidRPr="00A847B7" w:rsidRDefault="00505E57" w:rsidP="00EE0687">
      <w:pPr>
        <w:pStyle w:val="Paragraphedeliste"/>
        <w:numPr>
          <w:ilvl w:val="0"/>
          <w:numId w:val="158"/>
        </w:numPr>
        <w:rPr>
          <w:b/>
          <w:i/>
          <w:u w:val="single"/>
        </w:rPr>
      </w:pPr>
      <w:r w:rsidRPr="00A847B7">
        <w:rPr>
          <w:b/>
          <w:i/>
          <w:u w:val="single"/>
        </w:rPr>
        <w:t>Les aménagements</w:t>
      </w:r>
    </w:p>
    <w:p w14:paraId="424063D9" w14:textId="505CD4BF" w:rsidR="00505E57" w:rsidRPr="00A847B7" w:rsidRDefault="00505E57" w:rsidP="00505E57">
      <w:r w:rsidRPr="00A847B7">
        <w:t xml:space="preserve">La Loi de Finances pour 2021 prolonge ce </w:t>
      </w:r>
      <w:r w:rsidR="00FB15E4" w:rsidRPr="00A847B7">
        <w:t>dispositif</w:t>
      </w:r>
      <w:r w:rsidRPr="00A847B7">
        <w:t xml:space="preserve"> </w:t>
      </w:r>
      <w:r w:rsidR="00FB15E4" w:rsidRPr="00A847B7">
        <w:t>jusqu’au 31 décembre 2024.</w:t>
      </w:r>
    </w:p>
    <w:p w14:paraId="29239230" w14:textId="77777777" w:rsidR="00505E57" w:rsidRPr="00A847B7" w:rsidRDefault="00505E57" w:rsidP="00505E57"/>
    <w:p w14:paraId="33344A73" w14:textId="585B3045" w:rsidR="001974A8" w:rsidRPr="00A847B7" w:rsidRDefault="001974A8" w:rsidP="001974A8">
      <w:pPr>
        <w:pStyle w:val="Titre3"/>
      </w:pPr>
      <w:bookmarkStart w:id="85" w:name="_Toc60781011"/>
      <w:r w:rsidRPr="0004102E">
        <w:t xml:space="preserve">Slide </w:t>
      </w:r>
      <w:r w:rsidR="008C525C">
        <w:t>56</w:t>
      </w:r>
      <w:r w:rsidRPr="0004102E">
        <w:t xml:space="preserve"> : </w:t>
      </w:r>
      <w:r w:rsidR="000A7302">
        <w:t>A</w:t>
      </w:r>
      <w:r w:rsidR="00FF1B42">
        <w:t>llègements fiscaux et sociaux dans les zones territoriales</w:t>
      </w:r>
      <w:bookmarkEnd w:id="85"/>
    </w:p>
    <w:p w14:paraId="7818FC1C" w14:textId="29811472" w:rsidR="001974A8" w:rsidRPr="005A54C4" w:rsidRDefault="00147770" w:rsidP="001974A8">
      <w:pPr>
        <w:rPr>
          <w:rFonts w:ascii="Arial" w:hAnsi="Arial" w:cs="Arial"/>
        </w:rPr>
      </w:pPr>
      <w:r w:rsidRPr="004F587E">
        <w:rPr>
          <w:u w:val="single"/>
        </w:rPr>
        <w:t xml:space="preserve">Source </w:t>
      </w:r>
      <w:r w:rsidRPr="00A847B7">
        <w:t>:</w:t>
      </w:r>
      <w:r w:rsidR="0028232D" w:rsidRPr="005E5B08">
        <w:t xml:space="preserve"> Loi de Finances pour </w:t>
      </w:r>
      <w:r w:rsidR="0028232D" w:rsidRPr="00B67500">
        <w:t>2021,</w:t>
      </w:r>
      <w:r w:rsidR="0028232D" w:rsidRPr="005A54C4">
        <w:t xml:space="preserve"> </w:t>
      </w:r>
      <w:proofErr w:type="gramStart"/>
      <w:r w:rsidR="0028232D" w:rsidRPr="005A54C4">
        <w:t>article</w:t>
      </w:r>
      <w:r w:rsidR="00194D97" w:rsidRPr="005A54C4">
        <w:t>s</w:t>
      </w:r>
      <w:r w:rsidR="0028232D" w:rsidRPr="005A54C4">
        <w:t xml:space="preserve"> </w:t>
      </w:r>
      <w:r w:rsidR="00B67500" w:rsidRPr="005A54C4">
        <w:t xml:space="preserve"> 144</w:t>
      </w:r>
      <w:proofErr w:type="gramEnd"/>
      <w:r w:rsidR="00B67500" w:rsidRPr="005A54C4">
        <w:t xml:space="preserve"> et</w:t>
      </w:r>
      <w:r w:rsidR="00B67500" w:rsidRPr="005A54C4">
        <w:rPr>
          <w:rFonts w:ascii="Arial" w:hAnsi="Arial" w:cs="Arial"/>
        </w:rPr>
        <w:t xml:space="preserve"> </w:t>
      </w:r>
      <w:r w:rsidR="00881270" w:rsidRPr="005A54C4">
        <w:t>223</w:t>
      </w:r>
    </w:p>
    <w:p w14:paraId="3DA16F85" w14:textId="01048B57" w:rsidR="00B86874" w:rsidRPr="00B86874" w:rsidRDefault="005E5B08" w:rsidP="00B86874">
      <w:r w:rsidRPr="005E5B08">
        <w:t xml:space="preserve">La Loi de </w:t>
      </w:r>
      <w:r>
        <w:t xml:space="preserve">Finance pour 2021 prévoit </w:t>
      </w:r>
      <w:r w:rsidR="001A691A">
        <w:t xml:space="preserve">de prolonger certains </w:t>
      </w:r>
      <w:r w:rsidR="008E3D73">
        <w:t>dispositifs</w:t>
      </w:r>
      <w:r w:rsidR="001A691A">
        <w:t xml:space="preserve"> d’allègements fiscaux et sociaux dont la période d’application </w:t>
      </w:r>
      <w:r w:rsidR="008E3D73">
        <w:t>arrivait</w:t>
      </w:r>
      <w:r w:rsidR="001A691A">
        <w:t xml:space="preserve"> à échéance au 31 décembre 2020.</w:t>
      </w:r>
    </w:p>
    <w:p w14:paraId="56BDED47" w14:textId="77777777" w:rsidR="00C8332F" w:rsidRDefault="001D02E9" w:rsidP="005E5B08">
      <w:r>
        <w:t>Sont ainsi prolongées :</w:t>
      </w:r>
    </w:p>
    <w:p w14:paraId="7C883D1B" w14:textId="6DD3C37A" w:rsidR="000F0EE3" w:rsidRDefault="00A35E63" w:rsidP="00EE0687">
      <w:pPr>
        <w:pStyle w:val="Paragraphedeliste"/>
        <w:numPr>
          <w:ilvl w:val="0"/>
          <w:numId w:val="190"/>
        </w:numPr>
      </w:pPr>
      <w:r>
        <w:t>j</w:t>
      </w:r>
      <w:r w:rsidR="00C8332F">
        <w:t xml:space="preserve">usqu’au 31 décembre 2021, </w:t>
      </w:r>
      <w:r w:rsidR="001D02E9">
        <w:t xml:space="preserve">les </w:t>
      </w:r>
      <w:r w:rsidR="000F0EE3">
        <w:t>allègements</w:t>
      </w:r>
      <w:r w:rsidR="001D02E9">
        <w:t xml:space="preserve"> </w:t>
      </w:r>
      <w:r w:rsidR="00220C62">
        <w:t>temporaires d’impôt sur les bénéfices</w:t>
      </w:r>
      <w:r w:rsidR="000F0EE3">
        <w:t xml:space="preserve"> bénéficiant aux entreprises créées pour </w:t>
      </w:r>
      <w:r w:rsidR="00D807DB">
        <w:t>reprendre</w:t>
      </w:r>
      <w:r w:rsidR="000F0EE3">
        <w:t xml:space="preserve"> une entreprise industrielle en difficulté ;</w:t>
      </w:r>
    </w:p>
    <w:p w14:paraId="7190D075" w14:textId="27BFBC92" w:rsidR="00785678" w:rsidRPr="00785678" w:rsidRDefault="00A35E63" w:rsidP="00EE0687">
      <w:pPr>
        <w:pStyle w:val="Paragraphedeliste"/>
        <w:numPr>
          <w:ilvl w:val="0"/>
          <w:numId w:val="190"/>
        </w:numPr>
      </w:pPr>
      <w:r>
        <w:t>j</w:t>
      </w:r>
      <w:r w:rsidR="005D4A49">
        <w:t>usqu’au 31 décembre 2022, les allègements temporaires d’impôt sur les bénéfices pour les entreprises imp</w:t>
      </w:r>
      <w:r w:rsidR="008949EF">
        <w:t>lantées :</w:t>
      </w:r>
    </w:p>
    <w:p w14:paraId="60D3E689" w14:textId="3534DE89" w:rsidR="00BB21E6" w:rsidRPr="00BB21E6" w:rsidRDefault="00A35E63" w:rsidP="00EE0687">
      <w:pPr>
        <w:pStyle w:val="Paragraphedeliste"/>
        <w:numPr>
          <w:ilvl w:val="1"/>
          <w:numId w:val="190"/>
        </w:numPr>
      </w:pPr>
      <w:r>
        <w:t>d</w:t>
      </w:r>
      <w:r w:rsidR="00E8254F">
        <w:t>ans les zones d’aide à finalité régionale</w:t>
      </w:r>
      <w:r w:rsidR="00370250">
        <w:t xml:space="preserve"> (AFR)</w:t>
      </w:r>
      <w:r w:rsidR="006F032C">
        <w:t> ;</w:t>
      </w:r>
    </w:p>
    <w:p w14:paraId="1CD241BF" w14:textId="5BAB167D" w:rsidR="00E8254F" w:rsidRDefault="00A35E63" w:rsidP="00EE0687">
      <w:pPr>
        <w:pStyle w:val="Paragraphedeliste"/>
        <w:numPr>
          <w:ilvl w:val="1"/>
          <w:numId w:val="190"/>
        </w:numPr>
      </w:pPr>
      <w:r>
        <w:t>d</w:t>
      </w:r>
      <w:r w:rsidR="00E8254F">
        <w:t>ans les zones franche</w:t>
      </w:r>
      <w:r w:rsidR="00370250">
        <w:t>s</w:t>
      </w:r>
      <w:r w:rsidR="00E8254F">
        <w:t xml:space="preserve"> urbaine</w:t>
      </w:r>
      <w:r w:rsidR="00370250">
        <w:t>s-territoire entrepreneur (ZFU-TE)</w:t>
      </w:r>
      <w:r w:rsidR="006F032C">
        <w:t> ;</w:t>
      </w:r>
    </w:p>
    <w:p w14:paraId="624DB9A2" w14:textId="59F1DC64" w:rsidR="001734BD" w:rsidRDefault="00A35E63" w:rsidP="00EE0687">
      <w:pPr>
        <w:pStyle w:val="Paragraphedeliste"/>
        <w:numPr>
          <w:ilvl w:val="1"/>
          <w:numId w:val="190"/>
        </w:numPr>
      </w:pPr>
      <w:r>
        <w:t>d</w:t>
      </w:r>
      <w:r w:rsidR="00EB3FAC">
        <w:t>ans les bassins d’emploi à redynamiser (BER)</w:t>
      </w:r>
      <w:r w:rsidR="006F032C">
        <w:t> ;</w:t>
      </w:r>
    </w:p>
    <w:p w14:paraId="3B86728A" w14:textId="01CDF0C3" w:rsidR="00EB3FAC" w:rsidRDefault="00A35E63" w:rsidP="00EE0687">
      <w:pPr>
        <w:pStyle w:val="Paragraphedeliste"/>
        <w:numPr>
          <w:ilvl w:val="1"/>
          <w:numId w:val="190"/>
        </w:numPr>
      </w:pPr>
      <w:r>
        <w:t>da</w:t>
      </w:r>
      <w:r w:rsidR="00EB3FAC">
        <w:t>ns les zones de revitalisation rurale (ZRR)</w:t>
      </w:r>
      <w:r w:rsidR="006F032C">
        <w:t> ;</w:t>
      </w:r>
    </w:p>
    <w:p w14:paraId="6442DD1B" w14:textId="75194B5E" w:rsidR="00EB3FAC" w:rsidRDefault="00A35E63" w:rsidP="00EE0687">
      <w:pPr>
        <w:pStyle w:val="Paragraphedeliste"/>
        <w:numPr>
          <w:ilvl w:val="1"/>
          <w:numId w:val="190"/>
        </w:numPr>
      </w:pPr>
      <w:r>
        <w:t>d</w:t>
      </w:r>
      <w:r w:rsidR="00EB3FAC">
        <w:t xml:space="preserve">ans les </w:t>
      </w:r>
      <w:r w:rsidR="000379A3">
        <w:t>bassins urbains à dynamiser (BUD)</w:t>
      </w:r>
      <w:r w:rsidR="006F032C">
        <w:t> ;</w:t>
      </w:r>
    </w:p>
    <w:p w14:paraId="2E2DBE20" w14:textId="07376013" w:rsidR="006F032C" w:rsidRDefault="00A35E63" w:rsidP="00EE0687">
      <w:pPr>
        <w:pStyle w:val="Paragraphedeliste"/>
        <w:numPr>
          <w:ilvl w:val="1"/>
          <w:numId w:val="190"/>
        </w:numPr>
      </w:pPr>
      <w:r>
        <w:t>d</w:t>
      </w:r>
      <w:r w:rsidR="006F032C">
        <w:t>ans les zones de développement prioritaire</w:t>
      </w:r>
      <w:r w:rsidR="00352F96">
        <w:t xml:space="preserve"> (ZDP)</w:t>
      </w:r>
      <w:r w:rsidR="006F032C">
        <w:t> ;</w:t>
      </w:r>
    </w:p>
    <w:p w14:paraId="1D31387E" w14:textId="5AA97906" w:rsidR="008949EF" w:rsidRDefault="00A35E63" w:rsidP="00EE0687">
      <w:pPr>
        <w:pStyle w:val="Paragraphedeliste"/>
        <w:numPr>
          <w:ilvl w:val="0"/>
          <w:numId w:val="190"/>
        </w:numPr>
      </w:pPr>
      <w:r>
        <w:t>j</w:t>
      </w:r>
      <w:r w:rsidR="008949EF">
        <w:t xml:space="preserve">usqu’au 31 décembre 2022, </w:t>
      </w:r>
      <w:r w:rsidR="00570B9F">
        <w:t>les allègements d’impôts fonciers</w:t>
      </w:r>
      <w:r w:rsidR="00A71BFC">
        <w:t xml:space="preserve"> pour les entreprises implantées :</w:t>
      </w:r>
      <w:r w:rsidR="00570B9F">
        <w:t> </w:t>
      </w:r>
    </w:p>
    <w:p w14:paraId="5464C2DD" w14:textId="685CD402" w:rsidR="002E1D21" w:rsidRDefault="00A35E63" w:rsidP="00EE0687">
      <w:pPr>
        <w:pStyle w:val="Paragraphedeliste"/>
        <w:numPr>
          <w:ilvl w:val="1"/>
          <w:numId w:val="190"/>
        </w:numPr>
      </w:pPr>
      <w:r>
        <w:t>d</w:t>
      </w:r>
      <w:r w:rsidR="002E1D21">
        <w:t>ans les bassins d’emploi à redynamiser (BER) ;</w:t>
      </w:r>
    </w:p>
    <w:p w14:paraId="7728BE17" w14:textId="08DF83BF" w:rsidR="003B40C9" w:rsidRDefault="00A35E63" w:rsidP="00EE0687">
      <w:pPr>
        <w:pStyle w:val="Paragraphedeliste"/>
        <w:numPr>
          <w:ilvl w:val="1"/>
          <w:numId w:val="190"/>
        </w:numPr>
      </w:pPr>
      <w:r>
        <w:t>d</w:t>
      </w:r>
      <w:r w:rsidR="003B40C9">
        <w:t>ans les bassins urbains à dynamiser (BUD) ;</w:t>
      </w:r>
    </w:p>
    <w:p w14:paraId="71117961" w14:textId="345A6256" w:rsidR="003B40C9" w:rsidRDefault="00A35E63" w:rsidP="00EE0687">
      <w:pPr>
        <w:pStyle w:val="Paragraphedeliste"/>
        <w:numPr>
          <w:ilvl w:val="1"/>
          <w:numId w:val="190"/>
        </w:numPr>
      </w:pPr>
      <w:r>
        <w:t>d</w:t>
      </w:r>
      <w:r w:rsidR="003B40C9">
        <w:t>ans les zones de développement prioritaire</w:t>
      </w:r>
      <w:r w:rsidR="00352F96">
        <w:t xml:space="preserve"> (ZDP)</w:t>
      </w:r>
      <w:r w:rsidR="003B40C9">
        <w:t> ;</w:t>
      </w:r>
    </w:p>
    <w:p w14:paraId="73779C3A" w14:textId="3294B71E" w:rsidR="00570B9F" w:rsidRDefault="00A35E63" w:rsidP="00EE0687">
      <w:pPr>
        <w:pStyle w:val="Paragraphedeliste"/>
        <w:numPr>
          <w:ilvl w:val="0"/>
          <w:numId w:val="190"/>
        </w:numPr>
      </w:pPr>
      <w:r>
        <w:t>j</w:t>
      </w:r>
      <w:r w:rsidR="00570B9F">
        <w:t xml:space="preserve">usqu’au </w:t>
      </w:r>
      <w:r w:rsidR="005C15B4">
        <w:t xml:space="preserve">31 décembre 2022, </w:t>
      </w:r>
      <w:r w:rsidR="00AF5B4B">
        <w:t>les allègements de cotisation foncière des entreprises</w:t>
      </w:r>
      <w:r w:rsidR="00A71BFC">
        <w:t xml:space="preserve"> pour les entreprises implantées :</w:t>
      </w:r>
      <w:r w:rsidR="00AF5B4B">
        <w:t> </w:t>
      </w:r>
    </w:p>
    <w:p w14:paraId="34932ADF" w14:textId="39E8055E" w:rsidR="00352F96" w:rsidRDefault="00A35E63" w:rsidP="00EE0687">
      <w:pPr>
        <w:pStyle w:val="Paragraphedeliste"/>
        <w:numPr>
          <w:ilvl w:val="1"/>
          <w:numId w:val="190"/>
        </w:numPr>
      </w:pPr>
      <w:r>
        <w:t>d</w:t>
      </w:r>
      <w:r w:rsidR="00352F96">
        <w:t>ans les zones d’aide à finalité régionale (AFR) ;</w:t>
      </w:r>
    </w:p>
    <w:p w14:paraId="1B97ACAC" w14:textId="72BCAB49" w:rsidR="00352F96" w:rsidRDefault="00A35E63" w:rsidP="00EE0687">
      <w:pPr>
        <w:pStyle w:val="Paragraphedeliste"/>
        <w:numPr>
          <w:ilvl w:val="1"/>
          <w:numId w:val="190"/>
        </w:numPr>
      </w:pPr>
      <w:r>
        <w:t>d</w:t>
      </w:r>
      <w:r w:rsidR="00352F96">
        <w:t>ans les zones de revitalisation rurale (ZRR) ;</w:t>
      </w:r>
    </w:p>
    <w:p w14:paraId="43708366" w14:textId="0AD75E7F" w:rsidR="00AF5B4B" w:rsidRDefault="00A35E63" w:rsidP="00EE0687">
      <w:pPr>
        <w:pStyle w:val="Paragraphedeliste"/>
        <w:numPr>
          <w:ilvl w:val="1"/>
          <w:numId w:val="190"/>
        </w:numPr>
      </w:pPr>
      <w:r>
        <w:t>d</w:t>
      </w:r>
      <w:r w:rsidR="00352F96">
        <w:t xml:space="preserve">ans les </w:t>
      </w:r>
      <w:r>
        <w:t>zones d’aides à l’investissement</w:t>
      </w:r>
      <w:r w:rsidR="00FD272A">
        <w:t xml:space="preserve"> des PME (ZAI-PME</w:t>
      </w:r>
      <w:r w:rsidR="00DC06DF">
        <w:t>) ;</w:t>
      </w:r>
    </w:p>
    <w:p w14:paraId="14E686BD" w14:textId="318D87E9" w:rsidR="008949EF" w:rsidRPr="005E5B08" w:rsidRDefault="000234BB" w:rsidP="00EE0687">
      <w:pPr>
        <w:pStyle w:val="Paragraphedeliste"/>
        <w:numPr>
          <w:ilvl w:val="0"/>
          <w:numId w:val="191"/>
        </w:numPr>
      </w:pPr>
      <w:r>
        <w:t xml:space="preserve">jusqu’au 31 décembre 2022, les </w:t>
      </w:r>
      <w:r w:rsidR="00A71BFC">
        <w:t>dispositifs</w:t>
      </w:r>
      <w:r>
        <w:t xml:space="preserve"> d’</w:t>
      </w:r>
      <w:r w:rsidR="00A71BFC">
        <w:t>allègements de cotisations sociales pour les entreprises implantées :</w:t>
      </w:r>
    </w:p>
    <w:p w14:paraId="44458EF5" w14:textId="77777777" w:rsidR="00755C21" w:rsidRDefault="00755C21" w:rsidP="00EE0687">
      <w:pPr>
        <w:pStyle w:val="Paragraphedeliste"/>
        <w:numPr>
          <w:ilvl w:val="1"/>
          <w:numId w:val="191"/>
        </w:numPr>
      </w:pPr>
      <w:r>
        <w:t>dans les zones franches urbaines-territoire entrepreneur (ZFU-TE) ;</w:t>
      </w:r>
    </w:p>
    <w:p w14:paraId="3B8A2A71" w14:textId="4291F95A" w:rsidR="00755C21" w:rsidRDefault="00755C21" w:rsidP="00EE0687">
      <w:pPr>
        <w:pStyle w:val="Paragraphedeliste"/>
        <w:numPr>
          <w:ilvl w:val="1"/>
          <w:numId w:val="191"/>
        </w:numPr>
      </w:pPr>
      <w:r>
        <w:t>dans les bassins d’emploi à redynamiser (BER)</w:t>
      </w:r>
      <w:r w:rsidR="009E1692">
        <w:t>.</w:t>
      </w:r>
    </w:p>
    <w:p w14:paraId="2E1F9375" w14:textId="3F3E9D62" w:rsidR="00A71BFC" w:rsidRPr="005E5B08" w:rsidRDefault="009D6169" w:rsidP="005E5B08">
      <w:r>
        <w:t>Il faut par ailleurs noter les aménagements suivants apportés par la Loi</w:t>
      </w:r>
      <w:r w:rsidR="00E84005">
        <w:t xml:space="preserve"> </w:t>
      </w:r>
      <w:r>
        <w:t>de Finances pour 2021 :</w:t>
      </w:r>
    </w:p>
    <w:p w14:paraId="350171CC" w14:textId="3827BD25" w:rsidR="009D6169" w:rsidRPr="005E5B08" w:rsidRDefault="003E265F" w:rsidP="00EE0687">
      <w:pPr>
        <w:pStyle w:val="Paragraphedeliste"/>
        <w:numPr>
          <w:ilvl w:val="0"/>
          <w:numId w:val="191"/>
        </w:numPr>
      </w:pPr>
      <w:r>
        <w:t>s</w:t>
      </w:r>
      <w:r w:rsidR="009D6169">
        <w:t>’</w:t>
      </w:r>
      <w:r w:rsidR="00E84005">
        <w:t>agissant</w:t>
      </w:r>
      <w:r w:rsidR="009D6169">
        <w:t xml:space="preserve"> </w:t>
      </w:r>
      <w:r w:rsidR="00E84005">
        <w:t>d</w:t>
      </w:r>
      <w:r w:rsidR="009D6169">
        <w:t xml:space="preserve">u dispositif d’allègements applicable aux entreprises implantées </w:t>
      </w:r>
      <w:r w:rsidR="00DF4EE2">
        <w:t>dans les zones de revitalisation rurale</w:t>
      </w:r>
      <w:r w:rsidR="006816B2">
        <w:t xml:space="preserve"> (ZRR)</w:t>
      </w:r>
      <w:r w:rsidR="00DF4EE2">
        <w:t>, qui permet une e</w:t>
      </w:r>
      <w:r w:rsidR="0076502B">
        <w:t>xonération</w:t>
      </w:r>
      <w:r w:rsidR="00E84005">
        <w:t xml:space="preserve"> </w:t>
      </w:r>
      <w:r w:rsidR="0076502B">
        <w:t xml:space="preserve">de cotisations sociales pour les 5 </w:t>
      </w:r>
      <w:r w:rsidR="00E84005">
        <w:t>premières</w:t>
      </w:r>
      <w:r w:rsidR="0076502B">
        <w:t xml:space="preserve"> embauches de salariés, </w:t>
      </w:r>
      <w:r w:rsidR="0006434D">
        <w:t xml:space="preserve">la </w:t>
      </w:r>
      <w:r w:rsidR="00E52E45">
        <w:t>période</w:t>
      </w:r>
      <w:r w:rsidR="0006434D">
        <w:t xml:space="preserve"> transitoire </w:t>
      </w:r>
      <w:r w:rsidR="007E5BE2">
        <w:t>d’</w:t>
      </w:r>
      <w:r w:rsidR="0006434D">
        <w:t xml:space="preserve">application de ce </w:t>
      </w:r>
      <w:r w:rsidR="007E5BE2">
        <w:t>régime</w:t>
      </w:r>
      <w:r w:rsidR="0006434D">
        <w:t xml:space="preserve"> </w:t>
      </w:r>
      <w:r w:rsidR="007E5BE2">
        <w:t>jusqu’</w:t>
      </w:r>
      <w:r w:rsidR="00E52E45">
        <w:t>au 31 décembre 2020</w:t>
      </w:r>
      <w:r w:rsidR="0006434D">
        <w:t xml:space="preserve"> applicable aux communes sor</w:t>
      </w:r>
      <w:r w:rsidR="00E52E45">
        <w:t>t</w:t>
      </w:r>
      <w:r w:rsidR="0006434D">
        <w:t xml:space="preserve">ies du classement ZRR </w:t>
      </w:r>
      <w:r w:rsidR="00667EA1">
        <w:t>au 1</w:t>
      </w:r>
      <w:r w:rsidR="00667EA1" w:rsidRPr="00667EA1">
        <w:rPr>
          <w:vertAlign w:val="superscript"/>
        </w:rPr>
        <w:t>er</w:t>
      </w:r>
      <w:r w:rsidR="00667EA1">
        <w:t xml:space="preserve"> juillet 2017</w:t>
      </w:r>
      <w:r w:rsidR="00980BD4">
        <w:t xml:space="preserve"> est prolongée jusq</w:t>
      </w:r>
      <w:r w:rsidR="009B717B">
        <w:t>u</w:t>
      </w:r>
      <w:r w:rsidR="00980BD4">
        <w:t>’au 31 décembre 2022 ;</w:t>
      </w:r>
    </w:p>
    <w:p w14:paraId="016CD6F3" w14:textId="2FAFAB6D" w:rsidR="00980BD4" w:rsidRPr="005E5B08" w:rsidRDefault="003E265F" w:rsidP="00EE0687">
      <w:pPr>
        <w:pStyle w:val="Paragraphedeliste"/>
        <w:numPr>
          <w:ilvl w:val="0"/>
          <w:numId w:val="191"/>
        </w:numPr>
      </w:pPr>
      <w:r>
        <w:t>s</w:t>
      </w:r>
      <w:r w:rsidR="00980BD4">
        <w:t xml:space="preserve">’agissant du dispositif </w:t>
      </w:r>
      <w:r w:rsidR="001C30A7">
        <w:t xml:space="preserve">d’allègements applicable aux entreprise </w:t>
      </w:r>
      <w:r w:rsidR="009B717B">
        <w:t>implantées</w:t>
      </w:r>
      <w:r w:rsidR="001C30A7">
        <w:t xml:space="preserve"> dans zones de restructuration de la défense</w:t>
      </w:r>
      <w:r w:rsidR="006816B2">
        <w:t xml:space="preserve"> (ZRD)</w:t>
      </w:r>
      <w:r w:rsidR="001C30A7">
        <w:t xml:space="preserve">, </w:t>
      </w:r>
      <w:r w:rsidR="009B717B">
        <w:t xml:space="preserve">des </w:t>
      </w:r>
      <w:r>
        <w:t>aménagements</w:t>
      </w:r>
      <w:r w:rsidR="009B717B">
        <w:t xml:space="preserve"> </w:t>
      </w:r>
      <w:r>
        <w:t>seront</w:t>
      </w:r>
      <w:r w:rsidR="009B717B">
        <w:t xml:space="preserve"> </w:t>
      </w:r>
      <w:r>
        <w:t>apportés</w:t>
      </w:r>
      <w:r w:rsidR="009B717B">
        <w:t xml:space="preserve"> quant </w:t>
      </w:r>
      <w:r>
        <w:t xml:space="preserve">à la définition des </w:t>
      </w:r>
      <w:r>
        <w:lastRenderedPageBreak/>
        <w:t>zones concernées</w:t>
      </w:r>
      <w:r w:rsidR="00D722D0">
        <w:t xml:space="preserve"> : </w:t>
      </w:r>
      <w:r w:rsidR="00D722D0" w:rsidRPr="00667EA1">
        <w:t>les pouvoirs publics auront jusqu’au 31 décembre 2021 (au lieu de 2019) pour classer par arrêté de nouveaux territoires en zones de restructuration de défense</w:t>
      </w:r>
      <w:r w:rsidR="00667EA1">
        <w:t>.</w:t>
      </w:r>
    </w:p>
    <w:p w14:paraId="40317AD5" w14:textId="77777777" w:rsidR="005E5B08" w:rsidRPr="005E5B08" w:rsidRDefault="005E5B08" w:rsidP="005E5B08"/>
    <w:p w14:paraId="127D9BA7" w14:textId="77777777" w:rsidR="00EC58E9" w:rsidRPr="00A847B7" w:rsidRDefault="00EC58E9" w:rsidP="00EC58E9">
      <w:pPr>
        <w:rPr>
          <w:rFonts w:cstheme="minorHAnsi"/>
        </w:rPr>
      </w:pPr>
      <w:r w:rsidRPr="00A847B7">
        <w:rPr>
          <w:rFonts w:cstheme="minorHAnsi"/>
        </w:rPr>
        <w:br w:type="page"/>
      </w:r>
    </w:p>
    <w:p w14:paraId="77C90817" w14:textId="77777777" w:rsidR="00EC58E9" w:rsidRPr="00A847B7" w:rsidRDefault="00EC58E9" w:rsidP="00EC58E9">
      <w:pPr>
        <w:jc w:val="center"/>
        <w:rPr>
          <w:b/>
        </w:rPr>
      </w:pPr>
    </w:p>
    <w:p w14:paraId="02FEE237" w14:textId="7E17CF4F" w:rsidR="000D42FC" w:rsidRDefault="000D42FC" w:rsidP="000D42FC">
      <w:pPr>
        <w:pStyle w:val="Titre2"/>
        <w:rPr>
          <w:rFonts w:cstheme="minorHAnsi"/>
        </w:rPr>
      </w:pPr>
      <w:bookmarkStart w:id="86" w:name="_Toc30149284"/>
      <w:bookmarkStart w:id="87" w:name="_Toc60781012"/>
      <w:r w:rsidRPr="00A847B7">
        <w:rPr>
          <w:rFonts w:cstheme="minorHAnsi"/>
        </w:rPr>
        <w:t>TVA</w:t>
      </w:r>
      <w:bookmarkEnd w:id="86"/>
      <w:bookmarkEnd w:id="87"/>
    </w:p>
    <w:p w14:paraId="7278FF69" w14:textId="77777777" w:rsidR="00147770" w:rsidRPr="00147770" w:rsidRDefault="00147770" w:rsidP="00147770"/>
    <w:p w14:paraId="7C25B8F1" w14:textId="29215F49" w:rsidR="00DE3DBD" w:rsidRPr="00A847B7" w:rsidRDefault="00DE3DBD" w:rsidP="00DE3DBD">
      <w:pPr>
        <w:pStyle w:val="Titre3"/>
      </w:pPr>
      <w:bookmarkStart w:id="88" w:name="_Toc60781013"/>
      <w:r w:rsidRPr="00A847B7">
        <w:t xml:space="preserve">Slide </w:t>
      </w:r>
      <w:r w:rsidR="006F079F">
        <w:t>57</w:t>
      </w:r>
      <w:r w:rsidRPr="00A847B7">
        <w:t> : E-commerce et ventes à distance</w:t>
      </w:r>
      <w:bookmarkEnd w:id="88"/>
    </w:p>
    <w:p w14:paraId="4E34F0A8" w14:textId="0C6218D9" w:rsidR="00DE3DBD" w:rsidRPr="00A847B7" w:rsidRDefault="00147770" w:rsidP="00DE3DBD">
      <w:r w:rsidRPr="004F587E">
        <w:rPr>
          <w:u w:val="single"/>
        </w:rPr>
        <w:t xml:space="preserve">Source </w:t>
      </w:r>
      <w:r w:rsidRPr="00A847B7">
        <w:t>:</w:t>
      </w:r>
      <w:r w:rsidR="00DE3DBD" w:rsidRPr="00A847B7">
        <w:t xml:space="preserve"> Loi de </w:t>
      </w:r>
      <w:r w:rsidR="00DE3DBD" w:rsidRPr="007568B5">
        <w:t xml:space="preserve">Finances </w:t>
      </w:r>
      <w:r w:rsidR="00DE3DBD" w:rsidRPr="00E4014A">
        <w:t xml:space="preserve">pour 2021, </w:t>
      </w:r>
      <w:r w:rsidR="00DE3DBD" w:rsidRPr="005A54C4">
        <w:t xml:space="preserve">article </w:t>
      </w:r>
      <w:r w:rsidR="007568B5" w:rsidRPr="00E4014A">
        <w:t>51</w:t>
      </w:r>
      <w:r w:rsidR="007568B5" w:rsidRPr="00A847B7">
        <w:t xml:space="preserve"> </w:t>
      </w:r>
    </w:p>
    <w:p w14:paraId="600147A7" w14:textId="2ED5BDF6" w:rsidR="00DE3DBD" w:rsidRPr="00A847B7" w:rsidRDefault="00DE3DBD" w:rsidP="00DE3DBD">
      <w:pPr>
        <w:spacing w:beforeAutospacing="1" w:after="100" w:afterAutospacing="1"/>
        <w:rPr>
          <w:rFonts w:cstheme="minorHAnsi"/>
        </w:rPr>
      </w:pPr>
      <w:r w:rsidRPr="00A847B7">
        <w:rPr>
          <w:rFonts w:cstheme="minorHAnsi"/>
        </w:rPr>
        <w:t xml:space="preserve">La Loi de Finances pour 2020 a transposé la directive européenne « e-commerce » et avait prévu une entrée en vigueur de </w:t>
      </w:r>
      <w:r w:rsidR="00505F03">
        <w:rPr>
          <w:rFonts w:cstheme="minorHAnsi"/>
        </w:rPr>
        <w:t>la</w:t>
      </w:r>
      <w:r w:rsidR="00505F03" w:rsidRPr="00A847B7">
        <w:rPr>
          <w:rFonts w:cstheme="minorHAnsi"/>
        </w:rPr>
        <w:t xml:space="preserve"> </w:t>
      </w:r>
      <w:r w:rsidRPr="00A847B7">
        <w:rPr>
          <w:rFonts w:cstheme="minorHAnsi"/>
        </w:rPr>
        <w:t xml:space="preserve">réforme </w:t>
      </w:r>
      <w:r w:rsidR="00505F03">
        <w:rPr>
          <w:rFonts w:cstheme="minorHAnsi"/>
        </w:rPr>
        <w:t>d</w:t>
      </w:r>
      <w:r w:rsidR="00505F03" w:rsidRPr="00A847B7">
        <w:rPr>
          <w:rFonts w:cstheme="minorHAnsi"/>
        </w:rPr>
        <w:t>u régime de TVA applicable au commerce électronique et aux ventes à distance</w:t>
      </w:r>
      <w:r w:rsidR="00505F03">
        <w:rPr>
          <w:rFonts w:cstheme="minorHAnsi"/>
        </w:rPr>
        <w:t xml:space="preserve"> </w:t>
      </w:r>
      <w:r w:rsidRPr="00A847B7">
        <w:rPr>
          <w:rFonts w:cstheme="minorHAnsi"/>
        </w:rPr>
        <w:t>au 1</w:t>
      </w:r>
      <w:r w:rsidRPr="00A847B7">
        <w:rPr>
          <w:rFonts w:cstheme="minorHAnsi"/>
          <w:vertAlign w:val="superscript"/>
        </w:rPr>
        <w:t>er</w:t>
      </w:r>
      <w:r w:rsidRPr="00A847B7">
        <w:rPr>
          <w:rFonts w:cstheme="minorHAnsi"/>
        </w:rPr>
        <w:t xml:space="preserve"> janvier 2021. Compte tenu de la crise sanitaire liée à la pandémie de C</w:t>
      </w:r>
      <w:r w:rsidR="00307EF8">
        <w:rPr>
          <w:rFonts w:cstheme="minorHAnsi"/>
        </w:rPr>
        <w:t>o</w:t>
      </w:r>
      <w:r w:rsidRPr="00A847B7">
        <w:rPr>
          <w:rFonts w:cstheme="minorHAnsi"/>
        </w:rPr>
        <w:t xml:space="preserve">vid-19 et de la situation économique, les </w:t>
      </w:r>
      <w:proofErr w:type="spellStart"/>
      <w:r w:rsidRPr="00A847B7">
        <w:rPr>
          <w:rFonts w:cstheme="minorHAnsi"/>
        </w:rPr>
        <w:t>Etats</w:t>
      </w:r>
      <w:r w:rsidR="0031588A">
        <w:rPr>
          <w:rFonts w:cstheme="minorHAnsi"/>
        </w:rPr>
        <w:t>m</w:t>
      </w:r>
      <w:r w:rsidRPr="00A847B7">
        <w:rPr>
          <w:rFonts w:cstheme="minorHAnsi"/>
        </w:rPr>
        <w:t>embres</w:t>
      </w:r>
      <w:proofErr w:type="spellEnd"/>
      <w:r w:rsidRPr="00A847B7">
        <w:rPr>
          <w:rFonts w:cstheme="minorHAnsi"/>
        </w:rPr>
        <w:t xml:space="preserve"> n’ont pu mener à bien les différentes missions nécessaires à la mise </w:t>
      </w:r>
      <w:r w:rsidR="0031588A">
        <w:rPr>
          <w:rFonts w:cstheme="minorHAnsi"/>
        </w:rPr>
        <w:t>en</w:t>
      </w:r>
      <w:r w:rsidRPr="00A847B7">
        <w:rPr>
          <w:rFonts w:cstheme="minorHAnsi"/>
        </w:rPr>
        <w:t xml:space="preserve"> place de cette réforme. C’est pourquoi la Loi de Finance pour 2021 prévoit une entrée en vigueur de ce dispositif au 1</w:t>
      </w:r>
      <w:r w:rsidRPr="00A847B7">
        <w:rPr>
          <w:rFonts w:cstheme="minorHAnsi"/>
          <w:vertAlign w:val="superscript"/>
        </w:rPr>
        <w:t>er</w:t>
      </w:r>
      <w:r w:rsidRPr="00A847B7">
        <w:rPr>
          <w:rFonts w:cstheme="minorHAnsi"/>
        </w:rPr>
        <w:t xml:space="preserve"> juillet 2021.</w:t>
      </w:r>
    </w:p>
    <w:p w14:paraId="2C26BDB7" w14:textId="58E55BEF" w:rsidR="00DE3DBD" w:rsidRPr="00A847B7" w:rsidRDefault="00DE3DBD" w:rsidP="00DE3DBD">
      <w:pPr>
        <w:spacing w:beforeAutospacing="1" w:after="100" w:afterAutospacing="1"/>
        <w:rPr>
          <w:rFonts w:cstheme="minorHAnsi"/>
        </w:rPr>
      </w:pPr>
      <w:r w:rsidRPr="00A847B7">
        <w:rPr>
          <w:rFonts w:cstheme="minorHAnsi"/>
        </w:rPr>
        <w:t xml:space="preserve">Pour rappel, voici les aménagements apportés au régime de TVA applicable au commerce électronique et aux ventes à distance. </w:t>
      </w:r>
    </w:p>
    <w:p w14:paraId="6548EC78" w14:textId="77777777" w:rsidR="00DE3DBD" w:rsidRPr="00A847B7" w:rsidRDefault="00DE3DBD" w:rsidP="00EE0687">
      <w:pPr>
        <w:pStyle w:val="Paragraphedeliste"/>
        <w:numPr>
          <w:ilvl w:val="0"/>
          <w:numId w:val="84"/>
        </w:numPr>
        <w:spacing w:beforeAutospacing="1" w:after="100" w:afterAutospacing="1"/>
        <w:rPr>
          <w:rFonts w:cstheme="minorHAnsi"/>
          <w:b/>
        </w:rPr>
      </w:pPr>
      <w:r w:rsidRPr="00A847B7">
        <w:rPr>
          <w:rFonts w:cstheme="minorHAnsi"/>
          <w:b/>
          <w:i/>
          <w:u w:val="single"/>
        </w:rPr>
        <w:t>Définition de la vente à distance intracommunautaire</w:t>
      </w:r>
    </w:p>
    <w:p w14:paraId="39A4B360" w14:textId="77777777" w:rsidR="00DE3DBD" w:rsidRPr="00A847B7" w:rsidRDefault="00DE3DBD" w:rsidP="00DE3DBD">
      <w:pPr>
        <w:spacing w:beforeAutospacing="1" w:after="100" w:afterAutospacing="1"/>
        <w:rPr>
          <w:rFonts w:cstheme="minorHAnsi"/>
        </w:rPr>
      </w:pPr>
      <w:r w:rsidRPr="00A847B7">
        <w:rPr>
          <w:rFonts w:cstheme="minorHAnsi"/>
        </w:rPr>
        <w:t>La Loi de Finances vient donner une définition de la vente à distance intracommunautaire de biens. Concrètement, il s’agit d’une livraison de biens « expédiés ou transportés par le fournisseur ou pour son compte, y compris lorsque le fournisseur intervient indirectement dans le transport ou l'expédition des biens, à partir d'un Etat membre autre que celui d'arrivée de l'expédition ou du transport à destination de l'acquéreur, lorsque les conditions suivantes sont réunies » :</w:t>
      </w:r>
    </w:p>
    <w:p w14:paraId="7E824668" w14:textId="6A33BC10" w:rsidR="00DE3DBD" w:rsidRPr="00A847B7" w:rsidRDefault="00DE3DBD" w:rsidP="00EE0687">
      <w:pPr>
        <w:pStyle w:val="Paragraphedeliste"/>
        <w:numPr>
          <w:ilvl w:val="0"/>
          <w:numId w:val="85"/>
        </w:numPr>
        <w:spacing w:beforeAutospacing="1" w:after="100" w:afterAutospacing="1"/>
        <w:rPr>
          <w:rFonts w:cstheme="minorHAnsi"/>
        </w:rPr>
      </w:pPr>
      <w:r w:rsidRPr="00A847B7">
        <w:rPr>
          <w:rFonts w:cstheme="minorHAnsi"/>
        </w:rPr>
        <w:t xml:space="preserve">la livraison est effectuée au profit d'un assujetti ou d'une personne morale non assujettie, dont les acquisitions intracommunautaires de biens ne sont pas soumises </w:t>
      </w:r>
      <w:r w:rsidR="00DE5AB0">
        <w:rPr>
          <w:rFonts w:cstheme="minorHAnsi"/>
        </w:rPr>
        <w:t xml:space="preserve">à </w:t>
      </w:r>
      <w:r w:rsidRPr="00A847B7">
        <w:rPr>
          <w:rFonts w:cstheme="minorHAnsi"/>
        </w:rPr>
        <w:t>TVA, ou au profit de toute autre personne non assujettie ;</w:t>
      </w:r>
    </w:p>
    <w:p w14:paraId="66D4107F" w14:textId="77777777" w:rsidR="00DE3DBD" w:rsidRPr="00A847B7" w:rsidRDefault="00DE3DBD" w:rsidP="00EE0687">
      <w:pPr>
        <w:pStyle w:val="Paragraphedeliste"/>
        <w:numPr>
          <w:ilvl w:val="0"/>
          <w:numId w:val="85"/>
        </w:numPr>
        <w:spacing w:beforeAutospacing="1" w:after="100" w:afterAutospacing="1"/>
        <w:rPr>
          <w:rFonts w:cstheme="minorHAnsi"/>
        </w:rPr>
      </w:pPr>
      <w:r w:rsidRPr="00A847B7">
        <w:rPr>
          <w:rFonts w:cstheme="minorHAnsi"/>
        </w:rPr>
        <w:t>les biens livrés ne sont ni des moyens de transport neufs, ni des biens livrés après montage ou installation, avec ou sans essai de mise en service, par le fournisseur ou pour son compte.</w:t>
      </w:r>
    </w:p>
    <w:p w14:paraId="7089B6C5" w14:textId="77777777" w:rsidR="00DE3DBD" w:rsidRPr="00A847B7" w:rsidRDefault="00DE3DBD" w:rsidP="00DE3DBD">
      <w:pPr>
        <w:spacing w:beforeAutospacing="1" w:after="100" w:afterAutospacing="1"/>
        <w:rPr>
          <w:rFonts w:cstheme="minorHAnsi"/>
        </w:rPr>
      </w:pPr>
      <w:r w:rsidRPr="00A847B7">
        <w:rPr>
          <w:rFonts w:cstheme="minorHAnsi"/>
        </w:rPr>
        <w:t>La Loi définit également la notion de vente à distance de biens importés de territoires ou de pays tiers : il s’agit d’une « livraison de biens expédiés ou transportés par le fournisseur ou pour son compte, y compris lorsque le fournisseur intervient indirectement dans le transport ou l'expédition des biens, à partir d'un territoire tiers ou d'un pays tiers à destination d'un acquéreur dans un Etat membre, lorsque les conditions suivantes sont réunies » :</w:t>
      </w:r>
    </w:p>
    <w:p w14:paraId="6E358D36" w14:textId="77777777" w:rsidR="00DE3DBD" w:rsidRPr="00A847B7" w:rsidRDefault="00DE3DBD" w:rsidP="00EE0687">
      <w:pPr>
        <w:pStyle w:val="Paragraphedeliste"/>
        <w:numPr>
          <w:ilvl w:val="0"/>
          <w:numId w:val="85"/>
        </w:numPr>
        <w:spacing w:beforeAutospacing="1" w:after="100" w:afterAutospacing="1"/>
        <w:rPr>
          <w:rFonts w:cstheme="minorHAnsi"/>
        </w:rPr>
      </w:pPr>
      <w:r w:rsidRPr="00A847B7">
        <w:rPr>
          <w:rFonts w:cstheme="minorHAnsi"/>
        </w:rPr>
        <w:t>la livraison de biens est effectuée au profit d'un assujetti ou d'une personne morale non assujettie dont les acquisitions intracommunautaires de biens ne sont pas soumises à TVA, ou au profit de toute autre personne non assujettie ;</w:t>
      </w:r>
    </w:p>
    <w:p w14:paraId="17775551" w14:textId="77777777" w:rsidR="00DE3DBD" w:rsidRPr="00A847B7" w:rsidRDefault="00DE3DBD" w:rsidP="00EE0687">
      <w:pPr>
        <w:pStyle w:val="Paragraphedeliste"/>
        <w:numPr>
          <w:ilvl w:val="0"/>
          <w:numId w:val="85"/>
        </w:numPr>
        <w:spacing w:beforeAutospacing="1" w:after="100" w:afterAutospacing="1"/>
        <w:rPr>
          <w:rFonts w:cstheme="minorHAnsi"/>
        </w:rPr>
      </w:pPr>
      <w:r w:rsidRPr="00A847B7">
        <w:rPr>
          <w:rFonts w:cstheme="minorHAnsi"/>
        </w:rPr>
        <w:t>les biens livrés ne sont ni des moyens de transport neufs ni des biens livrés après montage ou installation, avec ou sans essai de mise en service, par le fournisseur ou pour son compte.</w:t>
      </w:r>
    </w:p>
    <w:p w14:paraId="5810D246" w14:textId="77777777" w:rsidR="00DE3DBD" w:rsidRPr="00A847B7" w:rsidRDefault="00DE3DBD" w:rsidP="00DE3DBD">
      <w:pPr>
        <w:pStyle w:val="Paragraphedeliste"/>
        <w:spacing w:beforeAutospacing="1" w:after="100" w:afterAutospacing="1"/>
        <w:rPr>
          <w:rFonts w:cstheme="minorHAnsi"/>
        </w:rPr>
      </w:pPr>
    </w:p>
    <w:p w14:paraId="185FBD12" w14:textId="77777777" w:rsidR="00DE3DBD" w:rsidRPr="00A847B7" w:rsidRDefault="00DE3DBD" w:rsidP="00EE0687">
      <w:pPr>
        <w:pStyle w:val="Paragraphedeliste"/>
        <w:numPr>
          <w:ilvl w:val="0"/>
          <w:numId w:val="86"/>
        </w:numPr>
        <w:spacing w:beforeAutospacing="1" w:after="100" w:afterAutospacing="1"/>
        <w:rPr>
          <w:rFonts w:cstheme="minorHAnsi"/>
        </w:rPr>
      </w:pPr>
      <w:r w:rsidRPr="00A847B7">
        <w:rPr>
          <w:rFonts w:cstheme="minorHAnsi"/>
          <w:b/>
          <w:i/>
          <w:u w:val="single"/>
        </w:rPr>
        <w:t>Création d’un seuil unique de chiffre d’affaires</w:t>
      </w:r>
    </w:p>
    <w:p w14:paraId="2BE515C3" w14:textId="7204CA4B" w:rsidR="00DE3DBD" w:rsidRPr="00A847B7" w:rsidRDefault="00DE3DBD" w:rsidP="00DE3DBD">
      <w:pPr>
        <w:spacing w:beforeAutospacing="1" w:after="100" w:afterAutospacing="1"/>
        <w:rPr>
          <w:rFonts w:cstheme="minorHAnsi"/>
        </w:rPr>
      </w:pPr>
      <w:r w:rsidRPr="00A847B7">
        <w:rPr>
          <w:rFonts w:cstheme="minorHAnsi"/>
        </w:rPr>
        <w:lastRenderedPageBreak/>
        <w:t>A cela s’ajoute la création d’un seuil unique de chiffre d’affaires de 10 000€. Concrètement, à partir du 1</w:t>
      </w:r>
      <w:r w:rsidRPr="00A847B7">
        <w:rPr>
          <w:rFonts w:cstheme="minorHAnsi"/>
          <w:vertAlign w:val="superscript"/>
        </w:rPr>
        <w:t xml:space="preserve">er </w:t>
      </w:r>
      <w:r w:rsidR="00D6439E">
        <w:rPr>
          <w:rFonts w:cstheme="minorHAnsi"/>
        </w:rPr>
        <w:t>juillet</w:t>
      </w:r>
      <w:r w:rsidR="00D6439E" w:rsidRPr="00A847B7">
        <w:rPr>
          <w:rFonts w:cstheme="minorHAnsi"/>
        </w:rPr>
        <w:t xml:space="preserve"> </w:t>
      </w:r>
      <w:r w:rsidRPr="00A847B7">
        <w:rPr>
          <w:rFonts w:cstheme="minorHAnsi"/>
        </w:rPr>
        <w:t>2021, les ventes à distance intracommunautaires de biens seraient soumises à la TVA dans le pays du consommateur final dès lors que ce seuil de 10 000 € serait atteint.</w:t>
      </w:r>
    </w:p>
    <w:p w14:paraId="0E80927D" w14:textId="77777777" w:rsidR="00DE3DBD" w:rsidRPr="00A847B7" w:rsidRDefault="00DE3DBD" w:rsidP="00EE0687">
      <w:pPr>
        <w:pStyle w:val="Paragraphedeliste"/>
        <w:numPr>
          <w:ilvl w:val="0"/>
          <w:numId w:val="86"/>
        </w:numPr>
        <w:spacing w:beforeAutospacing="1" w:after="100" w:afterAutospacing="1"/>
        <w:rPr>
          <w:rFonts w:cstheme="minorHAnsi"/>
        </w:rPr>
      </w:pPr>
      <w:r w:rsidRPr="00A847B7">
        <w:rPr>
          <w:rFonts w:cstheme="minorHAnsi"/>
          <w:b/>
          <w:i/>
          <w:u w:val="single"/>
        </w:rPr>
        <w:t>Ventes à distance à partir de la France</w:t>
      </w:r>
    </w:p>
    <w:p w14:paraId="7580852C" w14:textId="77777777" w:rsidR="00DE3DBD" w:rsidRPr="00A847B7" w:rsidRDefault="00DE3DBD" w:rsidP="00DE3DBD">
      <w:pPr>
        <w:spacing w:beforeAutospacing="1" w:after="100" w:afterAutospacing="1"/>
        <w:rPr>
          <w:rFonts w:cstheme="minorHAnsi"/>
        </w:rPr>
      </w:pPr>
      <w:r w:rsidRPr="00A847B7">
        <w:rPr>
          <w:rFonts w:cstheme="minorHAnsi"/>
        </w:rPr>
        <w:t>Lorsque les biens sont expédiés ou transportés à partir de la France vers un autre Etat membre dans le cadre d’une opération de vente à distance intracommunautaire, le lieu de livraison des biens est réputé ne pas se situer en France lorsque :</w:t>
      </w:r>
    </w:p>
    <w:p w14:paraId="5E81D8ED" w14:textId="77777777" w:rsidR="00DE3DBD" w:rsidRPr="00A847B7" w:rsidRDefault="00DE3DBD" w:rsidP="00EE0687">
      <w:pPr>
        <w:pStyle w:val="Paragraphedeliste"/>
        <w:numPr>
          <w:ilvl w:val="0"/>
          <w:numId w:val="88"/>
        </w:numPr>
        <w:spacing w:beforeAutospacing="1" w:after="100" w:afterAutospacing="1"/>
        <w:rPr>
          <w:rFonts w:cstheme="minorHAnsi"/>
        </w:rPr>
      </w:pPr>
      <w:r w:rsidRPr="00A847B7">
        <w:rPr>
          <w:rFonts w:cstheme="minorHAnsi"/>
        </w:rPr>
        <w:t>la valeur totale des prestations de services et des ventes à distance intracommunautaires de biens effectuées par l'assujetti dépasse le seuil de 10 000 € pendant l'année civile en cours ou l'a été pendant l'année civile précédente ;</w:t>
      </w:r>
    </w:p>
    <w:p w14:paraId="366BE453" w14:textId="3CD1A3B8" w:rsidR="00DE3DBD" w:rsidRPr="00A847B7" w:rsidRDefault="00DE3DBD" w:rsidP="00EE0687">
      <w:pPr>
        <w:pStyle w:val="Paragraphedeliste"/>
        <w:numPr>
          <w:ilvl w:val="0"/>
          <w:numId w:val="88"/>
        </w:numPr>
        <w:spacing w:beforeAutospacing="1" w:after="100" w:afterAutospacing="1"/>
        <w:rPr>
          <w:rFonts w:cstheme="minorHAnsi"/>
        </w:rPr>
      </w:pPr>
      <w:r w:rsidRPr="00A847B7">
        <w:rPr>
          <w:rFonts w:cstheme="minorHAnsi"/>
        </w:rPr>
        <w:t>ou, lorsque le seuil de 10 000 € n’est pas dépassé, l'assujetti a opté pour que le lieu des prestations se situe dans l’Etat membre où il est établi et que le lieu de livraison des ventes se situe dans l’Etat membre de destination des biens.</w:t>
      </w:r>
    </w:p>
    <w:p w14:paraId="64231107" w14:textId="77777777" w:rsidR="00DE3DBD" w:rsidRPr="00A847B7" w:rsidRDefault="00DE3DBD" w:rsidP="00DE3DBD">
      <w:pPr>
        <w:spacing w:beforeAutospacing="1" w:after="100" w:afterAutospacing="1"/>
        <w:rPr>
          <w:rFonts w:cstheme="minorHAnsi"/>
        </w:rPr>
      </w:pPr>
      <w:r w:rsidRPr="00A847B7">
        <w:rPr>
          <w:rFonts w:cstheme="minorHAnsi"/>
        </w:rPr>
        <w:t xml:space="preserve">Ces règles ne sont pas applicables aux livraisons de biens d'occasion, d'objets d'art, d'objets de collection ou d'antiquités et aux livraisons de moyens de transport d'occasion. </w:t>
      </w:r>
    </w:p>
    <w:p w14:paraId="30512152" w14:textId="77777777" w:rsidR="00DE3DBD" w:rsidRPr="00A847B7" w:rsidRDefault="00DE3DBD" w:rsidP="00EE0687">
      <w:pPr>
        <w:pStyle w:val="Paragraphedeliste"/>
        <w:numPr>
          <w:ilvl w:val="0"/>
          <w:numId w:val="86"/>
        </w:numPr>
        <w:spacing w:beforeAutospacing="1" w:after="100" w:afterAutospacing="1"/>
        <w:rPr>
          <w:rFonts w:cstheme="minorHAnsi"/>
        </w:rPr>
      </w:pPr>
      <w:r w:rsidRPr="00A847B7">
        <w:rPr>
          <w:rFonts w:cstheme="minorHAnsi"/>
          <w:b/>
          <w:i/>
          <w:u w:val="single"/>
        </w:rPr>
        <w:t>Ventes à distance à partir d’un autre Etat membre</w:t>
      </w:r>
    </w:p>
    <w:p w14:paraId="33781038" w14:textId="1C9D38F0" w:rsidR="00DE3DBD" w:rsidRPr="00A847B7" w:rsidRDefault="00DE3DBD" w:rsidP="00DE3DBD">
      <w:pPr>
        <w:spacing w:beforeAutospacing="1" w:after="100" w:afterAutospacing="1"/>
        <w:rPr>
          <w:rFonts w:cstheme="minorHAnsi"/>
        </w:rPr>
      </w:pPr>
      <w:r w:rsidRPr="00A847B7">
        <w:rPr>
          <w:rFonts w:cstheme="minorHAnsi"/>
        </w:rPr>
        <w:t xml:space="preserve">Lorsque les biens sont expédiés ou transportés à partir d’un autre Etat membre à destination de la France dans le cadre de ventes à distance communautaires, le lieu de livraison des biens est réputé </w:t>
      </w:r>
      <w:proofErr w:type="gramStart"/>
      <w:r w:rsidRPr="00A847B7">
        <w:rPr>
          <w:rFonts w:cstheme="minorHAnsi"/>
        </w:rPr>
        <w:t xml:space="preserve">se </w:t>
      </w:r>
      <w:r w:rsidR="00CA3C41">
        <w:rPr>
          <w:rFonts w:cstheme="minorHAnsi"/>
        </w:rPr>
        <w:t xml:space="preserve"> situer</w:t>
      </w:r>
      <w:proofErr w:type="gramEnd"/>
      <w:r w:rsidR="00CA3C41">
        <w:rPr>
          <w:rFonts w:cstheme="minorHAnsi"/>
        </w:rPr>
        <w:t xml:space="preserve"> </w:t>
      </w:r>
      <w:r w:rsidRPr="00A847B7">
        <w:rPr>
          <w:rFonts w:cstheme="minorHAnsi"/>
        </w:rPr>
        <w:t>en France lorsque :</w:t>
      </w:r>
    </w:p>
    <w:p w14:paraId="20130E7C" w14:textId="77777777" w:rsidR="00DE3DBD" w:rsidRPr="00A847B7" w:rsidRDefault="00DE3DBD" w:rsidP="00EE0687">
      <w:pPr>
        <w:pStyle w:val="Paragraphedeliste"/>
        <w:numPr>
          <w:ilvl w:val="0"/>
          <w:numId w:val="88"/>
        </w:numPr>
        <w:spacing w:beforeAutospacing="1" w:after="100" w:afterAutospacing="1"/>
        <w:rPr>
          <w:rFonts w:cstheme="minorHAnsi"/>
        </w:rPr>
      </w:pPr>
      <w:r w:rsidRPr="00A847B7">
        <w:rPr>
          <w:rFonts w:cstheme="minorHAnsi"/>
        </w:rPr>
        <w:t>la valeur totale des prestations de services et des ventes à distance intracommunautaires de biens effectuées par l'assujetti dépasse le seuil de 10 000 € pendant l'année civile en cours ou l'a été pendant l'année civile précédente ;</w:t>
      </w:r>
    </w:p>
    <w:p w14:paraId="161F723B" w14:textId="569E0C67" w:rsidR="00DE3DBD" w:rsidRPr="00A847B7" w:rsidRDefault="00DE3DBD" w:rsidP="00EE0687">
      <w:pPr>
        <w:pStyle w:val="Paragraphedeliste"/>
        <w:numPr>
          <w:ilvl w:val="0"/>
          <w:numId w:val="88"/>
        </w:numPr>
        <w:spacing w:beforeAutospacing="1" w:after="100" w:afterAutospacing="1"/>
        <w:rPr>
          <w:rFonts w:cstheme="minorHAnsi"/>
        </w:rPr>
      </w:pPr>
      <w:r w:rsidRPr="00A847B7">
        <w:rPr>
          <w:rFonts w:cstheme="minorHAnsi"/>
        </w:rPr>
        <w:t>ou, lorsque le seuil de 10 000 € n’est pas dépassé, l'assujetti a opté pour que le lieu des prestations se situe dans l’Etat membre où il est établi et que le lieu de livraison des ventes se situe dans l’Etat membre de destination des biens.</w:t>
      </w:r>
    </w:p>
    <w:p w14:paraId="4F6E0A57" w14:textId="77777777" w:rsidR="00DE3DBD" w:rsidRPr="00A847B7" w:rsidRDefault="00DE3DBD" w:rsidP="00DE3DBD">
      <w:pPr>
        <w:spacing w:beforeAutospacing="1" w:after="100" w:afterAutospacing="1"/>
        <w:rPr>
          <w:rFonts w:cstheme="minorHAnsi"/>
        </w:rPr>
      </w:pPr>
      <w:r w:rsidRPr="00A847B7">
        <w:rPr>
          <w:rFonts w:cstheme="minorHAnsi"/>
        </w:rPr>
        <w:t xml:space="preserve">Ces règles ne sont pas applicables aux livraisons de biens d'occasion, d'objets d'art, d'objets de collection ou d'antiquités et aux livraisons de moyens de transport d'occasion. </w:t>
      </w:r>
    </w:p>
    <w:p w14:paraId="4B8F7B54" w14:textId="77777777" w:rsidR="00DE3DBD" w:rsidRPr="00A847B7" w:rsidRDefault="00DE3DBD" w:rsidP="00EE0687">
      <w:pPr>
        <w:pStyle w:val="Paragraphedeliste"/>
        <w:numPr>
          <w:ilvl w:val="0"/>
          <w:numId w:val="86"/>
        </w:numPr>
        <w:spacing w:beforeAutospacing="1" w:after="100" w:afterAutospacing="1"/>
        <w:rPr>
          <w:rFonts w:cstheme="minorHAnsi"/>
        </w:rPr>
      </w:pPr>
      <w:r w:rsidRPr="00A847B7">
        <w:rPr>
          <w:rFonts w:cstheme="minorHAnsi"/>
          <w:b/>
          <w:i/>
          <w:u w:val="single"/>
        </w:rPr>
        <w:t>Vente à distance de biens importés</w:t>
      </w:r>
    </w:p>
    <w:p w14:paraId="5A7B298B" w14:textId="75A18543" w:rsidR="00DE3DBD" w:rsidRPr="00A847B7" w:rsidRDefault="00DE3DBD" w:rsidP="00DE3DBD">
      <w:pPr>
        <w:spacing w:beforeAutospacing="1" w:after="100" w:afterAutospacing="1"/>
        <w:rPr>
          <w:rFonts w:cstheme="minorHAnsi"/>
        </w:rPr>
      </w:pPr>
      <w:r w:rsidRPr="00A847B7">
        <w:rPr>
          <w:rFonts w:cstheme="minorHAnsi"/>
        </w:rPr>
        <w:t xml:space="preserve">Est considérée comme une importation, l’importation de bien effectuée dans le cadre d'une vente à distance de biens importés pour lesquelles l'assujetti qui réalise la vente à distance de biens importés a présenté, au plus tard au moment du dépôt de la déclaration d'importation, le numéro d'identification à la taxe sur la valeur ajoutée qui lui a été attribué dans le cadre du régime particulier (guichet unique pour les ventes à distance de biens importés – </w:t>
      </w:r>
      <w:r w:rsidR="00A42AB8" w:rsidRPr="00A847B7">
        <w:rPr>
          <w:rFonts w:cstheme="minorHAnsi"/>
        </w:rPr>
        <w:t>cf.</w:t>
      </w:r>
      <w:r w:rsidRPr="00A847B7">
        <w:rPr>
          <w:rFonts w:cstheme="minorHAnsi"/>
        </w:rPr>
        <w:t xml:space="preserve"> plus bas) ou qui lui a été fourni conformément à la législation d’un autre Etat membre.</w:t>
      </w:r>
    </w:p>
    <w:p w14:paraId="41F5A624" w14:textId="77777777" w:rsidR="00DE3DBD" w:rsidRPr="00A847B7" w:rsidRDefault="00DE3DBD" w:rsidP="00DE3DBD">
      <w:pPr>
        <w:spacing w:beforeAutospacing="1" w:after="100" w:afterAutospacing="1"/>
        <w:rPr>
          <w:rFonts w:cstheme="minorHAnsi"/>
        </w:rPr>
      </w:pPr>
      <w:r w:rsidRPr="00A847B7">
        <w:rPr>
          <w:rFonts w:cstheme="minorHAnsi"/>
        </w:rPr>
        <w:t>Dans cette situation, le lieu de livraison est réputé se situer en France lorsque le bien se trouve en France :</w:t>
      </w:r>
    </w:p>
    <w:p w14:paraId="07F39B75" w14:textId="77777777" w:rsidR="00DE3DBD" w:rsidRPr="00A847B7" w:rsidRDefault="00DE3DBD" w:rsidP="00EE0687">
      <w:pPr>
        <w:pStyle w:val="Paragraphedeliste"/>
        <w:numPr>
          <w:ilvl w:val="0"/>
          <w:numId w:val="89"/>
        </w:numPr>
        <w:spacing w:beforeAutospacing="1" w:after="100" w:afterAutospacing="1"/>
        <w:rPr>
          <w:rFonts w:cstheme="minorHAnsi"/>
        </w:rPr>
      </w:pPr>
      <w:r w:rsidRPr="00A847B7">
        <w:rPr>
          <w:rFonts w:cstheme="minorHAnsi"/>
        </w:rPr>
        <w:t>au moment de l'arrivée du bien à destination de l'acquéreur s’il a été importé dans un autre Etat membre ;</w:t>
      </w:r>
    </w:p>
    <w:p w14:paraId="279F8BF5" w14:textId="5559A64B" w:rsidR="00DE3DBD" w:rsidRPr="00A847B7" w:rsidRDefault="00DE3DBD" w:rsidP="00EE0687">
      <w:pPr>
        <w:pStyle w:val="Paragraphedeliste"/>
        <w:numPr>
          <w:ilvl w:val="0"/>
          <w:numId w:val="89"/>
        </w:numPr>
        <w:spacing w:beforeAutospacing="1" w:after="100" w:afterAutospacing="1"/>
        <w:rPr>
          <w:rFonts w:cstheme="minorHAnsi"/>
        </w:rPr>
      </w:pPr>
      <w:r w:rsidRPr="00A847B7">
        <w:rPr>
          <w:rFonts w:cstheme="minorHAnsi"/>
        </w:rPr>
        <w:lastRenderedPageBreak/>
        <w:t>au moment de l'arrivée du bien à destination de l'acquéreur si le bien a été importé en France lorsque la TVA est déclarée dans le cadre du régime particulier de déclaration et de paiement (cf</w:t>
      </w:r>
      <w:r w:rsidR="005B1A3C">
        <w:rPr>
          <w:rFonts w:cstheme="minorHAnsi"/>
        </w:rPr>
        <w:t>.</w:t>
      </w:r>
      <w:r w:rsidRPr="00A847B7">
        <w:rPr>
          <w:rFonts w:cstheme="minorHAnsi"/>
        </w:rPr>
        <w:t xml:space="preserve"> </w:t>
      </w:r>
      <w:r w:rsidR="005B1A3C">
        <w:rPr>
          <w:rFonts w:cstheme="minorHAnsi"/>
        </w:rPr>
        <w:t>infra</w:t>
      </w:r>
      <w:r w:rsidRPr="00A847B7">
        <w:rPr>
          <w:rFonts w:cstheme="minorHAnsi"/>
        </w:rPr>
        <w:t>) ;</w:t>
      </w:r>
    </w:p>
    <w:p w14:paraId="2EC8EF2D" w14:textId="77777777" w:rsidR="00DE3DBD" w:rsidRPr="00A847B7" w:rsidRDefault="00DE3DBD" w:rsidP="00EE0687">
      <w:pPr>
        <w:pStyle w:val="Paragraphedeliste"/>
        <w:numPr>
          <w:ilvl w:val="0"/>
          <w:numId w:val="89"/>
        </w:numPr>
        <w:spacing w:beforeAutospacing="1" w:after="100" w:afterAutospacing="1"/>
        <w:rPr>
          <w:rFonts w:cstheme="minorHAnsi"/>
        </w:rPr>
      </w:pPr>
      <w:r w:rsidRPr="00A847B7">
        <w:rPr>
          <w:rFonts w:cstheme="minorHAnsi"/>
        </w:rPr>
        <w:t>au moment de l'arrivée du bien à destination de l'acquéreur, lorsque le bien a été importé en France par une plateforme électronique.</w:t>
      </w:r>
    </w:p>
    <w:p w14:paraId="6D8C5B86" w14:textId="77777777" w:rsidR="00DE3DBD" w:rsidRPr="00A847B7" w:rsidRDefault="00DE3DBD" w:rsidP="00DE3DBD">
      <w:pPr>
        <w:pStyle w:val="Paragraphedeliste"/>
        <w:spacing w:beforeAutospacing="1" w:after="100" w:afterAutospacing="1"/>
        <w:rPr>
          <w:rFonts w:cstheme="minorHAnsi"/>
        </w:rPr>
      </w:pPr>
    </w:p>
    <w:p w14:paraId="3CA01D24" w14:textId="77777777" w:rsidR="00DE3DBD" w:rsidRPr="00A847B7" w:rsidRDefault="00DE3DBD" w:rsidP="00EE0687">
      <w:pPr>
        <w:pStyle w:val="Paragraphedeliste"/>
        <w:numPr>
          <w:ilvl w:val="0"/>
          <w:numId w:val="86"/>
        </w:numPr>
        <w:spacing w:beforeAutospacing="1" w:after="100" w:afterAutospacing="1"/>
        <w:rPr>
          <w:rFonts w:cstheme="minorHAnsi"/>
        </w:rPr>
      </w:pPr>
      <w:r w:rsidRPr="00A847B7">
        <w:rPr>
          <w:rFonts w:cstheme="minorHAnsi"/>
          <w:b/>
          <w:i/>
          <w:u w:val="single"/>
        </w:rPr>
        <w:t>Les plateformes en ligne qui facilitent les ventes à distance peuvent être redevables de la TVA</w:t>
      </w:r>
    </w:p>
    <w:p w14:paraId="658AB27C" w14:textId="77777777" w:rsidR="00DE3DBD" w:rsidRPr="00A847B7" w:rsidRDefault="00DE3DBD" w:rsidP="00DE3DBD">
      <w:pPr>
        <w:spacing w:beforeAutospacing="1" w:after="100" w:afterAutospacing="1"/>
        <w:rPr>
          <w:rFonts w:cstheme="minorHAnsi"/>
        </w:rPr>
      </w:pPr>
      <w:r w:rsidRPr="00A847B7">
        <w:rPr>
          <w:rFonts w:cstheme="minorHAnsi"/>
        </w:rPr>
        <w:t>Seront redevables de la TVA :</w:t>
      </w:r>
    </w:p>
    <w:p w14:paraId="14EE3908" w14:textId="77777777" w:rsidR="00DE3DBD" w:rsidRPr="00A847B7" w:rsidRDefault="00DE3DBD" w:rsidP="00EE0687">
      <w:pPr>
        <w:pStyle w:val="Paragraphedeliste"/>
        <w:numPr>
          <w:ilvl w:val="0"/>
          <w:numId w:val="87"/>
        </w:numPr>
        <w:spacing w:beforeAutospacing="1" w:after="100" w:afterAutospacing="1"/>
        <w:rPr>
          <w:rFonts w:cstheme="minorHAnsi"/>
        </w:rPr>
      </w:pPr>
      <w:r w:rsidRPr="00A847B7">
        <w:rPr>
          <w:rFonts w:cstheme="minorHAnsi"/>
        </w:rPr>
        <w:t>les plateformes en ligne qui facilitent les ventes à distance de biens importés de territoires tiers ou de pays tiers contenus dans des envois d'une valeur intrinsèque ne dépassant pas 150 €, sauf lorsqu’elles facilitent la vente à distance des biens importés dont le lieu d'imposition est situé dans autre Etat membre ;</w:t>
      </w:r>
    </w:p>
    <w:p w14:paraId="120EB6A9" w14:textId="77777777" w:rsidR="00DE3DBD" w:rsidRPr="00A847B7" w:rsidRDefault="00DE3DBD" w:rsidP="00EE0687">
      <w:pPr>
        <w:pStyle w:val="Paragraphedeliste"/>
        <w:numPr>
          <w:ilvl w:val="0"/>
          <w:numId w:val="87"/>
        </w:numPr>
        <w:spacing w:beforeAutospacing="1" w:after="100" w:afterAutospacing="1"/>
        <w:rPr>
          <w:rFonts w:cstheme="minorHAnsi"/>
        </w:rPr>
      </w:pPr>
      <w:r w:rsidRPr="00A847B7">
        <w:rPr>
          <w:rFonts w:cstheme="minorHAnsi"/>
        </w:rPr>
        <w:t>les plateformes en ligne qui facilitent la livraison d'un bien dans l'Union européenne par un assujetti non établi sur le territoire de l'Union européenne à une personne non assujettie : sont exonérées de TVA les livraisons de biens à destination des plateformes en ligne.</w:t>
      </w:r>
    </w:p>
    <w:p w14:paraId="59822133" w14:textId="77777777" w:rsidR="00DE3DBD" w:rsidRPr="00A847B7" w:rsidRDefault="00DE3DBD" w:rsidP="00DE3DBD">
      <w:pPr>
        <w:spacing w:beforeAutospacing="1" w:after="100" w:afterAutospacing="1"/>
        <w:rPr>
          <w:rFonts w:cstheme="minorHAnsi"/>
        </w:rPr>
      </w:pPr>
      <w:r w:rsidRPr="00A847B7">
        <w:rPr>
          <w:rFonts w:cstheme="minorHAnsi"/>
        </w:rPr>
        <w:t>Lorsqu'un assujetti est réputé avoir acquis et livré des biens dans les conditions ci-dessus mentionnées, l'expédition ou le transport de ces biens est imputé(e) à la livraison effectuée par cet assujetti.</w:t>
      </w:r>
    </w:p>
    <w:p w14:paraId="70407705" w14:textId="084EB49F" w:rsidR="00DE3DBD" w:rsidRPr="00A847B7" w:rsidRDefault="00DE3DBD" w:rsidP="00DE3DBD">
      <w:pPr>
        <w:spacing w:beforeAutospacing="1" w:after="100" w:afterAutospacing="1"/>
        <w:rPr>
          <w:rFonts w:cstheme="minorHAnsi"/>
        </w:rPr>
      </w:pPr>
      <w:r w:rsidRPr="00A847B7">
        <w:rPr>
          <w:rFonts w:cstheme="minorHAnsi"/>
        </w:rPr>
        <w:t xml:space="preserve">Notez que si dans ces situations, les plateformes électroniques sont redevables de la TVA, le destinataire réel des biens n’en </w:t>
      </w:r>
      <w:r w:rsidR="00A7205F">
        <w:rPr>
          <w:rFonts w:cstheme="minorHAnsi"/>
        </w:rPr>
        <w:t>est</w:t>
      </w:r>
      <w:r w:rsidR="00A7205F" w:rsidRPr="00A847B7">
        <w:rPr>
          <w:rFonts w:cstheme="minorHAnsi"/>
        </w:rPr>
        <w:t xml:space="preserve"> </w:t>
      </w:r>
      <w:r w:rsidRPr="00A847B7">
        <w:rPr>
          <w:rFonts w:cstheme="minorHAnsi"/>
        </w:rPr>
        <w:t>pas pour autant déchargé de ses obligations : il est tenu solidairement, avec la plateforme électronique, au paiement de la TVA.</w:t>
      </w:r>
    </w:p>
    <w:p w14:paraId="7422DE51" w14:textId="77777777" w:rsidR="00DE3DBD" w:rsidRPr="00A847B7" w:rsidRDefault="00DE3DBD" w:rsidP="00DE3DBD">
      <w:pPr>
        <w:spacing w:beforeAutospacing="1" w:after="100" w:afterAutospacing="1"/>
        <w:rPr>
          <w:rFonts w:cstheme="minorHAnsi"/>
        </w:rPr>
      </w:pPr>
      <w:r w:rsidRPr="00A847B7">
        <w:rPr>
          <w:rFonts w:cstheme="minorHAnsi"/>
        </w:rPr>
        <w:t>Ici, pour les livraisons de biens par une plateforme électronique réputée avoir acquis et livré les biens et pour la livraison à cette plateforme, le fait générateur de la taxe est fixé au moment où le paiement a été accepté.</w:t>
      </w:r>
    </w:p>
    <w:p w14:paraId="78B7D204" w14:textId="77777777" w:rsidR="00DE3DBD" w:rsidRPr="00A847B7" w:rsidRDefault="00DE3DBD" w:rsidP="00DE3DBD">
      <w:pPr>
        <w:spacing w:beforeAutospacing="1" w:after="100" w:afterAutospacing="1"/>
        <w:rPr>
          <w:rFonts w:cstheme="minorHAnsi"/>
        </w:rPr>
      </w:pPr>
      <w:r w:rsidRPr="00A847B7">
        <w:rPr>
          <w:rFonts w:cstheme="minorHAnsi"/>
        </w:rPr>
        <w:t>Les plateformes électroniques qui facilitent la livraison de biens ou de prestations de services à une personne non assujettie sont tenues de consigner dans un registre ces livraisons ou prestations. Le contenu de ce registre doit permettre de vérifier que la TVA a été correctement appliquée.</w:t>
      </w:r>
    </w:p>
    <w:p w14:paraId="3F00E8C0" w14:textId="77777777" w:rsidR="00DE3DBD" w:rsidRPr="00A847B7" w:rsidRDefault="00DE3DBD" w:rsidP="00DE3DBD">
      <w:pPr>
        <w:spacing w:beforeAutospacing="1" w:after="100" w:afterAutospacing="1"/>
        <w:rPr>
          <w:rFonts w:cstheme="minorHAnsi"/>
        </w:rPr>
      </w:pPr>
      <w:r w:rsidRPr="00A847B7">
        <w:rPr>
          <w:rFonts w:cstheme="minorHAnsi"/>
        </w:rPr>
        <w:t>Ce registre, tenu par voie électronique, doit être mis à disposition de l’administration sur simple demande.</w:t>
      </w:r>
    </w:p>
    <w:p w14:paraId="20EDECFC" w14:textId="77777777" w:rsidR="00DE3DBD" w:rsidRPr="00A847B7" w:rsidRDefault="00DE3DBD" w:rsidP="00DE3DBD">
      <w:pPr>
        <w:spacing w:beforeAutospacing="1" w:after="100" w:afterAutospacing="1"/>
        <w:rPr>
          <w:rFonts w:cstheme="minorHAnsi"/>
        </w:rPr>
      </w:pPr>
      <w:r w:rsidRPr="00A847B7">
        <w:rPr>
          <w:rFonts w:cstheme="minorHAnsi"/>
        </w:rPr>
        <w:t>Il doit être conservé pendant 10 ans à compter du 31 décembre de l’année au cours de laquelle l’opération a été effectuée.</w:t>
      </w:r>
    </w:p>
    <w:p w14:paraId="62A95437" w14:textId="77777777" w:rsidR="00DE3DBD" w:rsidRPr="00A847B7" w:rsidRDefault="00DE3DBD" w:rsidP="00EE0687">
      <w:pPr>
        <w:pStyle w:val="Paragraphedeliste"/>
        <w:numPr>
          <w:ilvl w:val="0"/>
          <w:numId w:val="86"/>
        </w:numPr>
        <w:spacing w:beforeAutospacing="1" w:after="100" w:afterAutospacing="1"/>
        <w:rPr>
          <w:rFonts w:cstheme="minorHAnsi"/>
        </w:rPr>
      </w:pPr>
      <w:r w:rsidRPr="00A847B7">
        <w:rPr>
          <w:rFonts w:cstheme="minorHAnsi"/>
          <w:b/>
          <w:i/>
          <w:u w:val="single"/>
        </w:rPr>
        <w:t>Régime du « guichet unique UE »</w:t>
      </w:r>
    </w:p>
    <w:p w14:paraId="1510A590" w14:textId="77777777" w:rsidR="00DE3DBD" w:rsidRPr="00A847B7" w:rsidRDefault="00DE3DBD" w:rsidP="00DE3DBD">
      <w:pPr>
        <w:spacing w:beforeAutospacing="1" w:after="100" w:afterAutospacing="1"/>
        <w:rPr>
          <w:rFonts w:cstheme="minorHAnsi"/>
        </w:rPr>
      </w:pPr>
      <w:r w:rsidRPr="00A847B7">
        <w:rPr>
          <w:rFonts w:cstheme="minorHAnsi"/>
        </w:rPr>
        <w:t>Tout assujetti non établi dans l'Union européenne qui fournit des services de télécommunication, de radiodiffusion, de télévision et de services électroniques à une personne non assujettie qui est établie dans un Etat membre de l'Union européenne, y a son domicile ou sa résidence habituelle, peut se prévaloir du régime spécial « du guichet unique » pour la liquidation de la TVA due dans les différents Etats membres.</w:t>
      </w:r>
    </w:p>
    <w:p w14:paraId="3AAC4826" w14:textId="77777777" w:rsidR="00DE3DBD" w:rsidRPr="00A847B7" w:rsidRDefault="00DE3DBD" w:rsidP="00DE3DBD">
      <w:pPr>
        <w:spacing w:beforeAutospacing="1" w:after="100" w:afterAutospacing="1"/>
        <w:rPr>
          <w:rFonts w:cstheme="minorHAnsi"/>
        </w:rPr>
      </w:pPr>
      <w:r w:rsidRPr="00A847B7">
        <w:rPr>
          <w:rFonts w:cstheme="minorHAnsi"/>
        </w:rPr>
        <w:t>Dans cette situation, l'administration lui attribue et lui communique par voie électronique un numéro individuel d'identification. Pour chaque trimestre civil, le fournisseur dépose, par voie électronique, une déclaration TVA que des services électroniques aient été fournis ou non au titre de cette période. </w:t>
      </w:r>
    </w:p>
    <w:p w14:paraId="7E58B48A" w14:textId="77777777" w:rsidR="00DE3DBD" w:rsidRPr="00A847B7" w:rsidRDefault="00DE3DBD" w:rsidP="00DE3DBD">
      <w:pPr>
        <w:spacing w:beforeAutospacing="1" w:after="100" w:afterAutospacing="1"/>
        <w:rPr>
          <w:rFonts w:cstheme="minorHAnsi"/>
        </w:rPr>
      </w:pPr>
      <w:r w:rsidRPr="00A847B7">
        <w:rPr>
          <w:rFonts w:cstheme="minorHAnsi"/>
        </w:rPr>
        <w:lastRenderedPageBreak/>
        <w:t>La Loi de Finances pour 2020 prévoit tout d’abord d’étendre le régime du « guichet unique » à tous les services fournis par un assujetti non établi dans l’Union à une personne non assujettie établie dans l’Union.</w:t>
      </w:r>
    </w:p>
    <w:p w14:paraId="2C131110" w14:textId="77777777" w:rsidR="00DE3DBD" w:rsidRPr="00A847B7" w:rsidRDefault="00DE3DBD" w:rsidP="00DE3DBD">
      <w:pPr>
        <w:spacing w:beforeAutospacing="1" w:after="100" w:afterAutospacing="1"/>
        <w:rPr>
          <w:rFonts w:cstheme="minorHAnsi"/>
        </w:rPr>
      </w:pPr>
      <w:r w:rsidRPr="00A847B7">
        <w:rPr>
          <w:rFonts w:cstheme="minorHAnsi"/>
        </w:rPr>
        <w:t xml:space="preserve">Ensuite, lorsqu'il est nécessaire d'apporter des modifications à cette déclaration après sa transmission, ces modifications doivent être mentionnées dans une déclaration ultérieure, dans un délai de 3 ans à compter de la date à laquelle la déclaration initiale devait être déposée. </w:t>
      </w:r>
    </w:p>
    <w:p w14:paraId="72826142" w14:textId="77777777" w:rsidR="00DE3DBD" w:rsidRPr="00A847B7" w:rsidRDefault="00DE3DBD" w:rsidP="00DE3DBD">
      <w:pPr>
        <w:spacing w:beforeAutospacing="1" w:after="100" w:afterAutospacing="1"/>
        <w:rPr>
          <w:rFonts w:cstheme="minorHAnsi"/>
        </w:rPr>
      </w:pPr>
      <w:r w:rsidRPr="00A847B7">
        <w:rPr>
          <w:rFonts w:cstheme="minorHAnsi"/>
        </w:rPr>
        <w:t xml:space="preserve">Cette déclaration ultérieure devra préciser l'Etat membre de consommation concerné, la période imposable et le montant de TVA pour lequel des modifications sont nécessaires. </w:t>
      </w:r>
    </w:p>
    <w:p w14:paraId="0EDA2800" w14:textId="77777777" w:rsidR="00DE3DBD" w:rsidRPr="00A847B7" w:rsidRDefault="00DE3DBD" w:rsidP="00DE3DBD">
      <w:pPr>
        <w:spacing w:beforeAutospacing="1" w:after="100" w:afterAutospacing="1"/>
        <w:rPr>
          <w:rFonts w:cstheme="minorHAnsi"/>
        </w:rPr>
      </w:pPr>
      <w:r w:rsidRPr="00A847B7">
        <w:rPr>
          <w:rFonts w:cstheme="minorHAnsi"/>
        </w:rPr>
        <w:t>Un assujetti qui se prévaut, dans un autre Etat membre, du régime de « guichet unique » ne peut, en ce qui concerne ses activités imposables couvertes par ce régime particulier, déduire aucun montant de TVA en France. La taxe afférente aux livraisons de biens et prestations de services couvertes par ce régime devra faire l’objet d’une demande de remboursement.</w:t>
      </w:r>
    </w:p>
    <w:p w14:paraId="623D47C3" w14:textId="77777777" w:rsidR="00DE3DBD" w:rsidRPr="00A847B7" w:rsidRDefault="00DE3DBD" w:rsidP="00DE3DBD">
      <w:pPr>
        <w:spacing w:beforeAutospacing="1" w:after="100" w:afterAutospacing="1"/>
        <w:rPr>
          <w:rFonts w:cstheme="minorHAnsi"/>
        </w:rPr>
      </w:pPr>
      <w:r w:rsidRPr="00A847B7">
        <w:rPr>
          <w:rFonts w:cstheme="minorHAnsi"/>
        </w:rPr>
        <w:t>Si un assujetti qui se prévaut, dans un autre Etat membre, du régime du « guichet unique » est tenu de se faire identifier en France pour des activités non couvertes par ce régime, il pourra déduire la TVA afférente aux biens et services utilisés pour les besoins de ses opérations imposables couvertes par ce régime.</w:t>
      </w:r>
    </w:p>
    <w:p w14:paraId="63F6F3C8" w14:textId="77777777" w:rsidR="00DE3DBD" w:rsidRPr="00A847B7" w:rsidRDefault="00DE3DBD" w:rsidP="00DE3DBD">
      <w:pPr>
        <w:spacing w:beforeAutospacing="1" w:after="100" w:afterAutospacing="1"/>
        <w:rPr>
          <w:rFonts w:cstheme="minorHAnsi"/>
        </w:rPr>
      </w:pPr>
      <w:r w:rsidRPr="00A847B7">
        <w:rPr>
          <w:rFonts w:cstheme="minorHAnsi"/>
        </w:rPr>
        <w:t>L’assujetti doit tenir un registre électronique des opérations relevant du régime du « guichet unique » qui doit être mis à disposition des administrations de l'Etat membre d'identification et de l'Etat membre de consommation sur simple demande. Il doit être suffisamment détaillé pour permettre à l'administration de l'Etat membre de consommation de vérifier l'exactitude de la déclaration de TVA et doit être conservé pendant 10 ans à compter du 31 décembre de l’année de l’opération.</w:t>
      </w:r>
    </w:p>
    <w:p w14:paraId="13F327BC" w14:textId="77777777" w:rsidR="00DE3DBD" w:rsidRPr="00A847B7" w:rsidRDefault="00DE3DBD" w:rsidP="00EE0687">
      <w:pPr>
        <w:pStyle w:val="Paragraphedeliste"/>
        <w:numPr>
          <w:ilvl w:val="0"/>
          <w:numId w:val="86"/>
        </w:numPr>
        <w:spacing w:beforeAutospacing="1" w:after="100" w:afterAutospacing="1"/>
        <w:rPr>
          <w:rFonts w:cstheme="minorHAnsi"/>
          <w:b/>
          <w:i/>
          <w:u w:val="single"/>
        </w:rPr>
      </w:pPr>
      <w:r w:rsidRPr="00A847B7">
        <w:rPr>
          <w:rFonts w:cstheme="minorHAnsi"/>
          <w:b/>
          <w:i/>
          <w:u w:val="single"/>
        </w:rPr>
        <w:t>Guichet unique pour les ventes à distance intracommunautaires de biens</w:t>
      </w:r>
    </w:p>
    <w:p w14:paraId="7248163C" w14:textId="77777777" w:rsidR="00DE3DBD" w:rsidRPr="00A847B7" w:rsidRDefault="00DE3DBD" w:rsidP="00DE3DBD">
      <w:pPr>
        <w:spacing w:beforeAutospacing="1" w:after="100" w:afterAutospacing="1"/>
        <w:rPr>
          <w:rFonts w:cstheme="minorHAnsi"/>
        </w:rPr>
      </w:pPr>
      <w:r w:rsidRPr="00A847B7">
        <w:rPr>
          <w:rFonts w:cstheme="minorHAnsi"/>
        </w:rPr>
        <w:t>La Loi de Finances pour 2020 prévoit que le régime du « guichet unique UE » (voir plus haut) pourra désormais s’appliquer, à compter du 1</w:t>
      </w:r>
      <w:r w:rsidRPr="00A847B7">
        <w:rPr>
          <w:rFonts w:cstheme="minorHAnsi"/>
          <w:vertAlign w:val="superscript"/>
        </w:rPr>
        <w:t>er</w:t>
      </w:r>
      <w:r w:rsidRPr="00A847B7">
        <w:rPr>
          <w:rFonts w:cstheme="minorHAnsi"/>
        </w:rPr>
        <w:t xml:space="preserve"> janvier 2021, à tout assujetti :</w:t>
      </w:r>
    </w:p>
    <w:p w14:paraId="5289EBD0" w14:textId="77777777" w:rsidR="00DE3DBD" w:rsidRPr="00A847B7" w:rsidRDefault="00DE3DBD" w:rsidP="00EE0687">
      <w:pPr>
        <w:pStyle w:val="Paragraphedeliste"/>
        <w:numPr>
          <w:ilvl w:val="0"/>
          <w:numId w:val="90"/>
        </w:numPr>
        <w:spacing w:beforeAutospacing="1" w:after="100" w:afterAutospacing="1"/>
        <w:rPr>
          <w:rFonts w:cstheme="minorHAnsi"/>
        </w:rPr>
      </w:pPr>
      <w:r w:rsidRPr="00A847B7">
        <w:rPr>
          <w:rFonts w:cstheme="minorHAnsi"/>
        </w:rPr>
        <w:t>qui a établi en France le siège de son activité économique ou y dispose d'un établissement stable et qui fournit des prestations de services à des personnes non assujetties dont le lieu d'imposition est situé dans un autre Etat membre que la France et dans lequel il n'est pas établi ;</w:t>
      </w:r>
    </w:p>
    <w:p w14:paraId="102879AF" w14:textId="77777777" w:rsidR="00DE3DBD" w:rsidRPr="00A847B7" w:rsidRDefault="00DE3DBD" w:rsidP="00EE0687">
      <w:pPr>
        <w:pStyle w:val="Paragraphedeliste"/>
        <w:numPr>
          <w:ilvl w:val="0"/>
          <w:numId w:val="90"/>
        </w:numPr>
        <w:spacing w:beforeAutospacing="1" w:after="100" w:afterAutospacing="1"/>
        <w:rPr>
          <w:rFonts w:cstheme="minorHAnsi"/>
        </w:rPr>
      </w:pPr>
      <w:r w:rsidRPr="00A847B7">
        <w:rPr>
          <w:rFonts w:cstheme="minorHAnsi"/>
        </w:rPr>
        <w:t>qui effectue des ventes à distance intracommunautaires de biens ;</w:t>
      </w:r>
    </w:p>
    <w:p w14:paraId="7BD0F05C" w14:textId="77777777" w:rsidR="00DE3DBD" w:rsidRPr="00A847B7" w:rsidRDefault="00DE3DBD" w:rsidP="00EE0687">
      <w:pPr>
        <w:pStyle w:val="Paragraphedeliste"/>
        <w:numPr>
          <w:ilvl w:val="0"/>
          <w:numId w:val="90"/>
        </w:numPr>
        <w:spacing w:beforeAutospacing="1" w:after="100" w:afterAutospacing="1"/>
        <w:rPr>
          <w:rFonts w:cstheme="minorHAnsi"/>
        </w:rPr>
      </w:pPr>
      <w:r w:rsidRPr="00A847B7">
        <w:rPr>
          <w:rFonts w:cstheme="minorHAnsi"/>
        </w:rPr>
        <w:t>qui facilite des livraisons de biens lorsque le lieu de départ et le lieu d'arrivée du transport des biens livrés se situent dans le même Etat membre.</w:t>
      </w:r>
    </w:p>
    <w:p w14:paraId="19A1E5B2" w14:textId="77777777" w:rsidR="00DE3DBD" w:rsidRPr="00A847B7" w:rsidRDefault="00DE3DBD" w:rsidP="00DE3DBD">
      <w:pPr>
        <w:spacing w:beforeAutospacing="1" w:after="100" w:afterAutospacing="1"/>
        <w:rPr>
          <w:rFonts w:cstheme="minorHAnsi"/>
        </w:rPr>
      </w:pPr>
      <w:r w:rsidRPr="00A847B7">
        <w:rPr>
          <w:rFonts w:cstheme="minorHAnsi"/>
        </w:rPr>
        <w:t>Il est précisé que ce régime de « guichet unique UE » s’applique à tous les biens et services fournis dans l’UE.</w:t>
      </w:r>
    </w:p>
    <w:p w14:paraId="72F5A345" w14:textId="77777777" w:rsidR="00DE3DBD" w:rsidRPr="00A847B7" w:rsidRDefault="00DE3DBD" w:rsidP="00DE3DBD">
      <w:pPr>
        <w:spacing w:beforeAutospacing="1" w:after="100" w:afterAutospacing="1"/>
        <w:rPr>
          <w:rFonts w:cstheme="minorHAnsi"/>
        </w:rPr>
      </w:pPr>
      <w:r w:rsidRPr="00A847B7">
        <w:rPr>
          <w:rFonts w:cstheme="minorHAnsi"/>
        </w:rPr>
        <w:t xml:space="preserve">Dans cette situation, l'assujetti doit informer l'administration, par voie électronique, du moment où il commence son activité imposable, la cesse ou la modifie au point de ne plus pouvoir se prévaloir de ce régime de « guichet unique UE ». </w:t>
      </w:r>
    </w:p>
    <w:p w14:paraId="54858474" w14:textId="77777777" w:rsidR="00DE3DBD" w:rsidRPr="00A847B7" w:rsidRDefault="00DE3DBD" w:rsidP="00DE3DBD">
      <w:pPr>
        <w:spacing w:beforeAutospacing="1" w:after="100" w:afterAutospacing="1"/>
        <w:rPr>
          <w:rFonts w:cstheme="minorHAnsi"/>
        </w:rPr>
      </w:pPr>
      <w:r w:rsidRPr="00A847B7">
        <w:rPr>
          <w:rFonts w:cstheme="minorHAnsi"/>
        </w:rPr>
        <w:t>Le professionnel qui se prévaut de ce régime n'est identifié, pour les opérations imposables dans le cadre de ce régime, qu'en France. A cette fin, il doit utiliser le numéro individuel d'identification qui lui a déjà été attribué.</w:t>
      </w:r>
    </w:p>
    <w:p w14:paraId="21372FAF" w14:textId="77777777" w:rsidR="00DE3DBD" w:rsidRPr="00A847B7" w:rsidRDefault="00DE3DBD" w:rsidP="00DE3DBD">
      <w:pPr>
        <w:spacing w:beforeAutospacing="1" w:after="100" w:afterAutospacing="1"/>
        <w:rPr>
          <w:rFonts w:cstheme="minorHAnsi"/>
        </w:rPr>
      </w:pPr>
      <w:r w:rsidRPr="00A847B7">
        <w:rPr>
          <w:rFonts w:cstheme="minorHAnsi"/>
        </w:rPr>
        <w:t>Notez que l'administration pourra exclure l'assujetti du régime du « guichet unique » :</w:t>
      </w:r>
    </w:p>
    <w:p w14:paraId="5D2D025F" w14:textId="77777777" w:rsidR="00DE3DBD" w:rsidRPr="00A847B7" w:rsidRDefault="00DE3DBD" w:rsidP="00EE0687">
      <w:pPr>
        <w:pStyle w:val="Paragraphedeliste"/>
        <w:numPr>
          <w:ilvl w:val="0"/>
          <w:numId w:val="91"/>
        </w:numPr>
        <w:spacing w:beforeAutospacing="1" w:after="100" w:afterAutospacing="1"/>
        <w:rPr>
          <w:rFonts w:cstheme="minorHAnsi"/>
        </w:rPr>
      </w:pPr>
      <w:r w:rsidRPr="00A847B7">
        <w:rPr>
          <w:rFonts w:cstheme="minorHAnsi"/>
        </w:rPr>
        <w:t>s'il notifie qu'il ne réalise plus de livraisons de biens et de prestations de services couvertes par le présent régime ;</w:t>
      </w:r>
    </w:p>
    <w:p w14:paraId="22C0E063" w14:textId="77777777" w:rsidR="00DE3DBD" w:rsidRPr="00A847B7" w:rsidRDefault="00DE3DBD" w:rsidP="00EE0687">
      <w:pPr>
        <w:pStyle w:val="Paragraphedeliste"/>
        <w:numPr>
          <w:ilvl w:val="0"/>
          <w:numId w:val="91"/>
        </w:numPr>
        <w:spacing w:beforeAutospacing="1" w:after="100" w:afterAutospacing="1"/>
        <w:rPr>
          <w:rFonts w:cstheme="minorHAnsi"/>
        </w:rPr>
      </w:pPr>
      <w:r w:rsidRPr="00A847B7">
        <w:rPr>
          <w:rFonts w:cstheme="minorHAnsi"/>
        </w:rPr>
        <w:lastRenderedPageBreak/>
        <w:t>si l'administration peut présumer, par d'autres moyens, que ses activités imposables ont pris fin ;</w:t>
      </w:r>
    </w:p>
    <w:p w14:paraId="5C6D02B1" w14:textId="77777777" w:rsidR="00DE3DBD" w:rsidRPr="00A847B7" w:rsidRDefault="00DE3DBD" w:rsidP="00EE0687">
      <w:pPr>
        <w:pStyle w:val="Paragraphedeliste"/>
        <w:numPr>
          <w:ilvl w:val="0"/>
          <w:numId w:val="91"/>
        </w:numPr>
        <w:spacing w:beforeAutospacing="1" w:after="100" w:afterAutospacing="1"/>
        <w:rPr>
          <w:rFonts w:cstheme="minorHAnsi"/>
        </w:rPr>
      </w:pPr>
      <w:r w:rsidRPr="00A847B7">
        <w:rPr>
          <w:rFonts w:cstheme="minorHAnsi"/>
        </w:rPr>
        <w:t>s'il ne remplit plus les conditions nécessaires pour être autorisé à se prévaloir du présent régime particulier ;</w:t>
      </w:r>
    </w:p>
    <w:p w14:paraId="5D0D1A23" w14:textId="77777777" w:rsidR="00DE3DBD" w:rsidRPr="00A847B7" w:rsidRDefault="00DE3DBD" w:rsidP="00EE0687">
      <w:pPr>
        <w:pStyle w:val="Paragraphedeliste"/>
        <w:numPr>
          <w:ilvl w:val="0"/>
          <w:numId w:val="91"/>
        </w:numPr>
        <w:spacing w:beforeAutospacing="1" w:after="100" w:afterAutospacing="1"/>
        <w:rPr>
          <w:rFonts w:cstheme="minorHAnsi"/>
        </w:rPr>
      </w:pPr>
      <w:r w:rsidRPr="00A847B7">
        <w:rPr>
          <w:rFonts w:cstheme="minorHAnsi"/>
        </w:rPr>
        <w:t>ou si, de manière systématique, il ne se conforme pas aux règles relatives au présent régime particulier.</w:t>
      </w:r>
    </w:p>
    <w:p w14:paraId="5AB0A8C0" w14:textId="77777777" w:rsidR="00DE3DBD" w:rsidRPr="00A847B7" w:rsidRDefault="00DE3DBD" w:rsidP="00DE3DBD">
      <w:pPr>
        <w:spacing w:beforeAutospacing="1" w:after="100" w:afterAutospacing="1"/>
        <w:rPr>
          <w:rFonts w:cstheme="minorHAnsi"/>
        </w:rPr>
      </w:pPr>
      <w:r w:rsidRPr="00A847B7">
        <w:rPr>
          <w:rFonts w:cstheme="minorHAnsi"/>
        </w:rPr>
        <w:t>Pour chaque trimestre civil, le professionnel dépose, par voie électronique, une déclaration TVA que des livraisons de biens ou des prestations de service aient été fournis ou non au titre de cette période.</w:t>
      </w:r>
    </w:p>
    <w:p w14:paraId="4646A724" w14:textId="77777777" w:rsidR="00DE3DBD" w:rsidRPr="00A847B7" w:rsidRDefault="00DE3DBD" w:rsidP="00DE3DBD">
      <w:pPr>
        <w:spacing w:beforeAutospacing="1" w:after="100" w:afterAutospacing="1"/>
        <w:rPr>
          <w:rFonts w:cstheme="minorHAnsi"/>
        </w:rPr>
      </w:pPr>
      <w:r w:rsidRPr="00A847B7">
        <w:rPr>
          <w:rFonts w:cstheme="minorHAnsi"/>
        </w:rPr>
        <w:t>Cette déclaration, libellée en euros, doit comporter :</w:t>
      </w:r>
    </w:p>
    <w:p w14:paraId="1F86DE4E" w14:textId="77777777" w:rsidR="00DE3DBD" w:rsidRPr="00A847B7" w:rsidRDefault="00DE3DBD" w:rsidP="00EE0687">
      <w:pPr>
        <w:pStyle w:val="Paragraphedeliste"/>
        <w:numPr>
          <w:ilvl w:val="0"/>
          <w:numId w:val="92"/>
        </w:numPr>
        <w:spacing w:beforeAutospacing="1" w:after="100" w:afterAutospacing="1"/>
        <w:rPr>
          <w:rFonts w:cstheme="minorHAnsi"/>
        </w:rPr>
      </w:pPr>
      <w:r w:rsidRPr="00A847B7">
        <w:rPr>
          <w:rFonts w:cstheme="minorHAnsi"/>
        </w:rPr>
        <w:t>le numéro d'identification ;</w:t>
      </w:r>
    </w:p>
    <w:p w14:paraId="140B2217" w14:textId="77777777" w:rsidR="00DE3DBD" w:rsidRPr="00A847B7" w:rsidRDefault="00DE3DBD" w:rsidP="00EE0687">
      <w:pPr>
        <w:pStyle w:val="Paragraphedeliste"/>
        <w:numPr>
          <w:ilvl w:val="0"/>
          <w:numId w:val="92"/>
        </w:numPr>
        <w:spacing w:beforeAutospacing="1" w:after="100" w:afterAutospacing="1"/>
        <w:rPr>
          <w:rFonts w:cstheme="minorHAnsi"/>
        </w:rPr>
      </w:pPr>
      <w:r w:rsidRPr="00A847B7">
        <w:rPr>
          <w:rFonts w:cstheme="minorHAnsi"/>
        </w:rPr>
        <w:t>pour chaque Etat membre de consommation dans lequel la taxe est due, la valeur totale hors taxe sur la valeur ajoutée des livraisons de biens et des prestations de services couvertes par le régime du « guichet unique » pour la période imposable ainsi que le montant total de la taxe correspondante ventilé par taux d'imposition ;</w:t>
      </w:r>
    </w:p>
    <w:p w14:paraId="0A279856" w14:textId="77777777" w:rsidR="00DE3DBD" w:rsidRPr="00A847B7" w:rsidRDefault="00DE3DBD" w:rsidP="00EE0687">
      <w:pPr>
        <w:pStyle w:val="Paragraphedeliste"/>
        <w:numPr>
          <w:ilvl w:val="0"/>
          <w:numId w:val="92"/>
        </w:numPr>
        <w:spacing w:beforeAutospacing="1" w:after="100" w:afterAutospacing="1"/>
        <w:rPr>
          <w:rFonts w:cstheme="minorHAnsi"/>
        </w:rPr>
      </w:pPr>
      <w:r w:rsidRPr="00A847B7">
        <w:rPr>
          <w:rFonts w:cstheme="minorHAnsi"/>
        </w:rPr>
        <w:t>les taux d'imposition applicables et le montant total de la taxe due.</w:t>
      </w:r>
    </w:p>
    <w:p w14:paraId="2C0BD5C3" w14:textId="77777777" w:rsidR="00DE3DBD" w:rsidRPr="00A847B7" w:rsidRDefault="00DE3DBD" w:rsidP="00DE3DBD">
      <w:pPr>
        <w:spacing w:beforeAutospacing="1" w:after="100" w:afterAutospacing="1"/>
        <w:rPr>
          <w:rFonts w:cstheme="minorHAnsi"/>
        </w:rPr>
      </w:pPr>
      <w:r w:rsidRPr="00A847B7">
        <w:rPr>
          <w:rFonts w:cstheme="minorHAnsi"/>
        </w:rPr>
        <w:t xml:space="preserve">Dans l’hypothèse où les biens sont expédiés ou transportés à partir d'un Etat membre autre que la France, ou lorsque l'assujetti fournissant des services dispose d'un ou de plusieurs établissements stables situés ailleurs qu'en France à partir desquels les services sont fournis, la déclaration de TVA devra comporter, en plus des éléments mentionnés plus haut, les éléments suivants : </w:t>
      </w:r>
    </w:p>
    <w:p w14:paraId="5D146E5C" w14:textId="77777777" w:rsidR="00DE3DBD" w:rsidRPr="00A847B7" w:rsidRDefault="00DE3DBD" w:rsidP="00EE0687">
      <w:pPr>
        <w:pStyle w:val="Paragraphedeliste"/>
        <w:numPr>
          <w:ilvl w:val="0"/>
          <w:numId w:val="93"/>
        </w:numPr>
        <w:spacing w:beforeAutospacing="1" w:after="100" w:afterAutospacing="1"/>
        <w:rPr>
          <w:rFonts w:cstheme="minorHAnsi"/>
        </w:rPr>
      </w:pPr>
      <w:r w:rsidRPr="00A847B7">
        <w:rPr>
          <w:rFonts w:cstheme="minorHAnsi"/>
        </w:rPr>
        <w:t>la valeur totale, hors taxe, des opérations visées ;</w:t>
      </w:r>
    </w:p>
    <w:p w14:paraId="73DA9510" w14:textId="77777777" w:rsidR="00DE3DBD" w:rsidRPr="00A847B7" w:rsidRDefault="00DE3DBD" w:rsidP="00EE0687">
      <w:pPr>
        <w:pStyle w:val="Paragraphedeliste"/>
        <w:numPr>
          <w:ilvl w:val="0"/>
          <w:numId w:val="93"/>
        </w:numPr>
        <w:spacing w:beforeAutospacing="1" w:after="100" w:afterAutospacing="1"/>
        <w:rPr>
          <w:rFonts w:cstheme="minorHAnsi"/>
        </w:rPr>
      </w:pPr>
      <w:r w:rsidRPr="00A847B7">
        <w:rPr>
          <w:rFonts w:cstheme="minorHAnsi"/>
        </w:rPr>
        <w:t>les taux de taxe sur la valeur ajoutée applicables ;</w:t>
      </w:r>
    </w:p>
    <w:p w14:paraId="23957842" w14:textId="77777777" w:rsidR="00DE3DBD" w:rsidRPr="00A847B7" w:rsidRDefault="00DE3DBD" w:rsidP="00EE0687">
      <w:pPr>
        <w:pStyle w:val="Paragraphedeliste"/>
        <w:numPr>
          <w:ilvl w:val="0"/>
          <w:numId w:val="93"/>
        </w:numPr>
        <w:spacing w:beforeAutospacing="1" w:after="100" w:afterAutospacing="1"/>
        <w:rPr>
          <w:rFonts w:cstheme="minorHAnsi"/>
        </w:rPr>
      </w:pPr>
      <w:r w:rsidRPr="00A847B7">
        <w:rPr>
          <w:rFonts w:cstheme="minorHAnsi"/>
        </w:rPr>
        <w:t>le montant total de la taxe correspondante ventilé par taux d'imposition ;</w:t>
      </w:r>
    </w:p>
    <w:p w14:paraId="38332FC1" w14:textId="77777777" w:rsidR="00DE3DBD" w:rsidRPr="00A847B7" w:rsidRDefault="00DE3DBD" w:rsidP="00EE0687">
      <w:pPr>
        <w:pStyle w:val="Paragraphedeliste"/>
        <w:numPr>
          <w:ilvl w:val="0"/>
          <w:numId w:val="93"/>
        </w:numPr>
        <w:spacing w:beforeAutospacing="1" w:after="100" w:afterAutospacing="1"/>
        <w:rPr>
          <w:rFonts w:cstheme="minorHAnsi"/>
        </w:rPr>
      </w:pPr>
      <w:r w:rsidRPr="00A847B7">
        <w:rPr>
          <w:rFonts w:cstheme="minorHAnsi"/>
        </w:rPr>
        <w:t>le montant total de la TVA due pour les opérations visées, pour chaque Etat membre dans lequel l'assujetti dispose d'un établissement stable ou à partir duquel les biens sont expédiés ou transportés ;</w:t>
      </w:r>
    </w:p>
    <w:p w14:paraId="1EBBC64C" w14:textId="77777777" w:rsidR="00DE3DBD" w:rsidRPr="00A847B7" w:rsidRDefault="00DE3DBD" w:rsidP="00EE0687">
      <w:pPr>
        <w:pStyle w:val="Paragraphedeliste"/>
        <w:numPr>
          <w:ilvl w:val="0"/>
          <w:numId w:val="93"/>
        </w:numPr>
        <w:spacing w:beforeAutospacing="1" w:after="100" w:afterAutospacing="1"/>
        <w:rPr>
          <w:rFonts w:cstheme="minorHAnsi"/>
        </w:rPr>
      </w:pPr>
      <w:r w:rsidRPr="00A847B7">
        <w:rPr>
          <w:rFonts w:cstheme="minorHAnsi"/>
        </w:rPr>
        <w:t>le numéro individuel d'identification à la taxe sur la valeur ajoutée ou le numéro d'enregistrement fiscal attribué par chacun de ces Etats membres.</w:t>
      </w:r>
    </w:p>
    <w:p w14:paraId="24B31A84" w14:textId="77777777" w:rsidR="00DE3DBD" w:rsidRPr="00A847B7" w:rsidRDefault="00DE3DBD" w:rsidP="00DE3DBD">
      <w:pPr>
        <w:spacing w:beforeAutospacing="1" w:after="100" w:afterAutospacing="1"/>
        <w:rPr>
          <w:rFonts w:cstheme="minorHAnsi"/>
        </w:rPr>
      </w:pPr>
      <w:r w:rsidRPr="00A847B7">
        <w:rPr>
          <w:rFonts w:cstheme="minorHAnsi"/>
        </w:rPr>
        <w:t xml:space="preserve">Ensuite, lorsqu'il est nécessaire d'apporter des modifications à cette déclaration après sa transmission, ces modifications doivent être mentionnées dans une déclaration ultérieure, dans un délai de 3 ans à compter de la date à laquelle la déclaration initiale devait être déposée. </w:t>
      </w:r>
    </w:p>
    <w:p w14:paraId="060D09AE" w14:textId="77777777" w:rsidR="00DE3DBD" w:rsidRPr="00A847B7" w:rsidRDefault="00DE3DBD" w:rsidP="00DE3DBD">
      <w:pPr>
        <w:spacing w:beforeAutospacing="1" w:after="100" w:afterAutospacing="1"/>
        <w:rPr>
          <w:rFonts w:cstheme="minorHAnsi"/>
        </w:rPr>
      </w:pPr>
      <w:r w:rsidRPr="00A847B7">
        <w:rPr>
          <w:rFonts w:cstheme="minorHAnsi"/>
        </w:rPr>
        <w:t>Le professionnel qui se prévaut, dans un autre Etat membre, du régime du « guichet unique » ne peut, en ce qui concerne ses activités imposables couvertes par ce régime particulier, déduire aucun montant de TVA en France. La taxe afférente aux livraisons de biens et prestations de services couvertes par ce régime particulier devra faire l’objet d’une demande de remboursement.</w:t>
      </w:r>
    </w:p>
    <w:p w14:paraId="3D3915E1" w14:textId="77777777" w:rsidR="00DE3DBD" w:rsidRPr="00A847B7" w:rsidRDefault="00DE3DBD" w:rsidP="00DE3DBD">
      <w:pPr>
        <w:spacing w:beforeAutospacing="1" w:after="100" w:afterAutospacing="1"/>
        <w:rPr>
          <w:rFonts w:cstheme="minorHAnsi"/>
        </w:rPr>
      </w:pPr>
      <w:r w:rsidRPr="00A847B7">
        <w:rPr>
          <w:rFonts w:cstheme="minorHAnsi"/>
        </w:rPr>
        <w:t>Si ce professionnel qui se prévaut, dans un autre Etat membre, du régime du « guichet unique » est tenu de se faire identifier en France pour des activités non couvertes par ce régime particulier, il pourra déduire la TVA afférente aux biens et services utilisés pour les besoins de ses opérations imposables couvertes par ce régime particulier.</w:t>
      </w:r>
    </w:p>
    <w:p w14:paraId="52091F05" w14:textId="77777777" w:rsidR="00DE3DBD" w:rsidRPr="00A847B7" w:rsidRDefault="00DE3DBD" w:rsidP="00DE3DBD">
      <w:pPr>
        <w:spacing w:beforeAutospacing="1" w:after="100" w:afterAutospacing="1"/>
        <w:rPr>
          <w:rFonts w:cstheme="minorHAnsi"/>
        </w:rPr>
      </w:pPr>
      <w:r w:rsidRPr="00A847B7">
        <w:rPr>
          <w:rFonts w:cstheme="minorHAnsi"/>
        </w:rPr>
        <w:t>Enfin, l’assujetti devra tenir un registre des opérations relevant du régime du « guichet unique ». Ce registre devra être mis à la disposition de l'administration et de l'Etat membre de consommation, par voie électronique, sur simple demande.</w:t>
      </w:r>
    </w:p>
    <w:p w14:paraId="42F7EB31" w14:textId="77777777" w:rsidR="00DE3DBD" w:rsidRPr="00A847B7" w:rsidRDefault="00DE3DBD" w:rsidP="00DE3DBD">
      <w:pPr>
        <w:spacing w:beforeAutospacing="1" w:after="100" w:afterAutospacing="1"/>
        <w:rPr>
          <w:rFonts w:cstheme="minorHAnsi"/>
        </w:rPr>
      </w:pPr>
      <w:r w:rsidRPr="00A847B7">
        <w:rPr>
          <w:rFonts w:cstheme="minorHAnsi"/>
        </w:rPr>
        <w:lastRenderedPageBreak/>
        <w:t>Il doit être suffisamment détaillé pour permettre à l'administration de l'Etat membre de consommation de vérifier l'exactitude de la déclaration de TVA.</w:t>
      </w:r>
    </w:p>
    <w:p w14:paraId="3C06919D" w14:textId="77777777" w:rsidR="00DE3DBD" w:rsidRPr="00A847B7" w:rsidRDefault="00DE3DBD" w:rsidP="00DE3DBD">
      <w:pPr>
        <w:spacing w:beforeAutospacing="1" w:after="100" w:afterAutospacing="1"/>
        <w:rPr>
          <w:rFonts w:cstheme="minorHAnsi"/>
        </w:rPr>
      </w:pPr>
      <w:r w:rsidRPr="00A847B7">
        <w:rPr>
          <w:rFonts w:cstheme="minorHAnsi"/>
        </w:rPr>
        <w:t>Ce registre doit être conservé pendant 10 ans à partir du 31 décembre de l'année de l'opération.</w:t>
      </w:r>
    </w:p>
    <w:p w14:paraId="630D1391" w14:textId="77777777" w:rsidR="00DE3DBD" w:rsidRPr="00A847B7" w:rsidRDefault="00DE3DBD" w:rsidP="00EE0687">
      <w:pPr>
        <w:pStyle w:val="Paragraphedeliste"/>
        <w:numPr>
          <w:ilvl w:val="0"/>
          <w:numId w:val="86"/>
        </w:numPr>
        <w:spacing w:beforeAutospacing="1" w:after="100" w:afterAutospacing="1"/>
        <w:rPr>
          <w:rFonts w:cstheme="minorHAnsi"/>
          <w:b/>
          <w:i/>
          <w:u w:val="single"/>
        </w:rPr>
      </w:pPr>
      <w:r w:rsidRPr="00A847B7">
        <w:rPr>
          <w:rFonts w:cstheme="minorHAnsi"/>
          <w:b/>
          <w:i/>
          <w:u w:val="single"/>
        </w:rPr>
        <w:t>Guichet unique pour les ventes à distance de biens importés</w:t>
      </w:r>
    </w:p>
    <w:p w14:paraId="07B49239" w14:textId="77777777" w:rsidR="00DE3DBD" w:rsidRPr="00A847B7" w:rsidRDefault="00DE3DBD" w:rsidP="00DE3DBD">
      <w:pPr>
        <w:spacing w:beforeAutospacing="1" w:after="100" w:afterAutospacing="1"/>
        <w:rPr>
          <w:rFonts w:cstheme="minorHAnsi"/>
        </w:rPr>
      </w:pPr>
      <w:r w:rsidRPr="00A847B7">
        <w:rPr>
          <w:rFonts w:cstheme="minorHAnsi"/>
        </w:rPr>
        <w:t>La Loi de Finance pour 2020 vient créer, à compter du 1</w:t>
      </w:r>
      <w:r w:rsidRPr="00A847B7">
        <w:rPr>
          <w:rFonts w:cstheme="minorHAnsi"/>
          <w:vertAlign w:val="superscript"/>
        </w:rPr>
        <w:t>er</w:t>
      </w:r>
      <w:r w:rsidRPr="00A847B7">
        <w:rPr>
          <w:rFonts w:cstheme="minorHAnsi"/>
        </w:rPr>
        <w:t xml:space="preserve"> janvier 2021, un régime de « guichet unique » propre aux ventes à distance de biens importés.</w:t>
      </w:r>
    </w:p>
    <w:p w14:paraId="355A4171" w14:textId="77777777" w:rsidR="00DE3DBD" w:rsidRPr="00A847B7" w:rsidRDefault="00DE3DBD" w:rsidP="00DE3DBD">
      <w:pPr>
        <w:spacing w:beforeAutospacing="1" w:after="100" w:afterAutospacing="1"/>
        <w:rPr>
          <w:rFonts w:cstheme="minorHAnsi"/>
        </w:rPr>
      </w:pPr>
      <w:r w:rsidRPr="00A847B7">
        <w:rPr>
          <w:rFonts w:cstheme="minorHAnsi"/>
        </w:rPr>
        <w:t xml:space="preserve">Ce régime s’appliquera aux personnes suivantes : </w:t>
      </w:r>
    </w:p>
    <w:p w14:paraId="628D5062" w14:textId="77777777" w:rsidR="00DE3DBD" w:rsidRPr="00A847B7" w:rsidRDefault="00DE3DBD" w:rsidP="00EE0687">
      <w:pPr>
        <w:pStyle w:val="Paragraphedeliste"/>
        <w:numPr>
          <w:ilvl w:val="0"/>
          <w:numId w:val="94"/>
        </w:numPr>
        <w:spacing w:beforeAutospacing="1" w:after="100" w:afterAutospacing="1"/>
        <w:rPr>
          <w:rFonts w:cstheme="minorHAnsi"/>
        </w:rPr>
      </w:pPr>
      <w:r w:rsidRPr="00A847B7">
        <w:rPr>
          <w:rFonts w:cstheme="minorHAnsi"/>
        </w:rPr>
        <w:t>assujetti établi sur le territoire de l'Union européenne effectuant des ventes à distance de biens importés de territoires ou de pays tiers ;</w:t>
      </w:r>
    </w:p>
    <w:p w14:paraId="6251B29D" w14:textId="77777777" w:rsidR="00DE3DBD" w:rsidRPr="00A847B7" w:rsidRDefault="00DE3DBD" w:rsidP="00EE0687">
      <w:pPr>
        <w:pStyle w:val="Paragraphedeliste"/>
        <w:numPr>
          <w:ilvl w:val="0"/>
          <w:numId w:val="94"/>
        </w:numPr>
        <w:spacing w:beforeAutospacing="1" w:after="100" w:afterAutospacing="1"/>
        <w:rPr>
          <w:rFonts w:cstheme="minorHAnsi"/>
        </w:rPr>
      </w:pPr>
      <w:r w:rsidRPr="00A847B7">
        <w:rPr>
          <w:rFonts w:cstheme="minorHAnsi"/>
        </w:rPr>
        <w:t>assujetti établi ou non sur le territoire de l'Union européenne effectuant des ventes à distance de biens importés de territoires ou de pays tiers et étant représenté par un intermédiaire établi sur le territoire de l'Union européenne : notez qu’il n’est pas possible de désigner plus d'un intermédiaire en même temps ;</w:t>
      </w:r>
    </w:p>
    <w:p w14:paraId="733E2A44" w14:textId="77777777" w:rsidR="00DE3DBD" w:rsidRPr="00A847B7" w:rsidRDefault="00DE3DBD" w:rsidP="00EE0687">
      <w:pPr>
        <w:pStyle w:val="Paragraphedeliste"/>
        <w:numPr>
          <w:ilvl w:val="0"/>
          <w:numId w:val="94"/>
        </w:numPr>
        <w:spacing w:beforeAutospacing="1" w:after="100" w:afterAutospacing="1"/>
        <w:rPr>
          <w:rFonts w:cstheme="minorHAnsi"/>
        </w:rPr>
      </w:pPr>
      <w:r w:rsidRPr="00A847B7">
        <w:rPr>
          <w:rFonts w:cstheme="minorHAnsi"/>
        </w:rPr>
        <w:t xml:space="preserve">assujetti établi sur le territoire d'un pays tiers avec lequel l'Union a conclu un accord en matière d'assistance mutuelle en matière de recouvrement des créances relatives aux taxes, impôts, </w:t>
      </w:r>
      <w:proofErr w:type="gramStart"/>
      <w:r w:rsidRPr="00A847B7">
        <w:rPr>
          <w:rFonts w:cstheme="minorHAnsi"/>
        </w:rPr>
        <w:t>droits et autres mesures</w:t>
      </w:r>
      <w:proofErr w:type="gramEnd"/>
      <w:r w:rsidRPr="00A847B7">
        <w:rPr>
          <w:rFonts w:cstheme="minorHAnsi"/>
        </w:rPr>
        <w:t xml:space="preserve"> ou concernant la coopération administrative et la lutte contre la fraude dans le domaine de la TVA et qui effectue des ventes à distance de biens importés de ce pays tiers.</w:t>
      </w:r>
    </w:p>
    <w:p w14:paraId="32E86EDC" w14:textId="77777777" w:rsidR="00DE3DBD" w:rsidRPr="00A847B7" w:rsidRDefault="00DE3DBD" w:rsidP="00DE3DBD">
      <w:pPr>
        <w:spacing w:beforeAutospacing="1" w:after="100" w:afterAutospacing="1"/>
        <w:rPr>
          <w:rFonts w:cstheme="minorHAnsi"/>
        </w:rPr>
      </w:pPr>
      <w:r w:rsidRPr="00A847B7">
        <w:rPr>
          <w:rFonts w:cstheme="minorHAnsi"/>
        </w:rPr>
        <w:t>Ce régime de « guichet unique » s’applique à toutes les ventes à distance de biens importés de territoire ou de pays tiers.</w:t>
      </w:r>
    </w:p>
    <w:p w14:paraId="19F1C704" w14:textId="77777777" w:rsidR="00DE3DBD" w:rsidRPr="00A847B7" w:rsidRDefault="00DE3DBD" w:rsidP="00DE3DBD">
      <w:pPr>
        <w:spacing w:beforeAutospacing="1" w:after="100" w:afterAutospacing="1"/>
        <w:rPr>
          <w:rFonts w:cstheme="minorHAnsi"/>
        </w:rPr>
      </w:pPr>
      <w:r w:rsidRPr="00A847B7">
        <w:rPr>
          <w:rFonts w:cstheme="minorHAnsi"/>
        </w:rPr>
        <w:t>Dans le cadre de ce régime spécifique, les ventes à distance de biens importés de territoires ou de pays tiers ne couvrent que les biens, contenus dans des envois d'une valeur intrinsèque ne dépassant pas 150 € (ou sa contre-valeur en monnaie nationale), à l'exception des produits soumis à accises.</w:t>
      </w:r>
    </w:p>
    <w:p w14:paraId="6B6C96CD" w14:textId="77777777" w:rsidR="00DE3DBD" w:rsidRPr="00A847B7" w:rsidRDefault="00DE3DBD" w:rsidP="00DE3DBD">
      <w:pPr>
        <w:spacing w:beforeAutospacing="1" w:after="100" w:afterAutospacing="1"/>
        <w:rPr>
          <w:rFonts w:cstheme="minorHAnsi"/>
        </w:rPr>
      </w:pPr>
      <w:r w:rsidRPr="00A847B7">
        <w:rPr>
          <w:rFonts w:cstheme="minorHAnsi"/>
        </w:rPr>
        <w:t>La Loi de Finance précise qu’un assujetti non établi sur le territoire de l'Union européenne est un assujetti qui n'a pas établi le siège de son activité économique sur le territoire de l'Union européenne et n'y dispose pas d'établissement stable.</w:t>
      </w:r>
    </w:p>
    <w:p w14:paraId="3FE23913" w14:textId="77777777" w:rsidR="00DE3DBD" w:rsidRPr="00A847B7" w:rsidRDefault="00DE3DBD" w:rsidP="00DE3DBD">
      <w:pPr>
        <w:spacing w:beforeAutospacing="1" w:after="100" w:afterAutospacing="1"/>
        <w:rPr>
          <w:rFonts w:cstheme="minorHAnsi"/>
        </w:rPr>
      </w:pPr>
      <w:r w:rsidRPr="00A847B7">
        <w:rPr>
          <w:rFonts w:cstheme="minorHAnsi"/>
        </w:rPr>
        <w:t>Elle précise également qu’un intermédiaire est une personne établie sur le territoire de l'Union européenne désignée par l'assujetti effectuant des ventes à distance de biens importés de territoires ou de pays tiers comme étant le redevable de la TVA et remplissant les obligations prévues par le présent régime particulier au nom et pour le compte de l'assujetti.</w:t>
      </w:r>
    </w:p>
    <w:p w14:paraId="64B45874" w14:textId="77777777" w:rsidR="00DE3DBD" w:rsidRPr="00A847B7" w:rsidRDefault="00DE3DBD" w:rsidP="00DE3DBD">
      <w:pPr>
        <w:spacing w:beforeAutospacing="1" w:after="100" w:afterAutospacing="1"/>
        <w:rPr>
          <w:rFonts w:cstheme="minorHAnsi"/>
        </w:rPr>
      </w:pPr>
      <w:r w:rsidRPr="00A847B7">
        <w:rPr>
          <w:rFonts w:cstheme="minorHAnsi"/>
        </w:rPr>
        <w:t xml:space="preserve">L'assujetti ou l’intermédiaire agissant pour son compte doit informer l'administration, par voie électronique, du moment où il commence son activité dans le cadre du régime « de guichet unique », la cesse ou la modifie de telle manière qu'il ne remplit plus les conditions requises pour pouvoir se prévaloir de ce régime particulier. </w:t>
      </w:r>
    </w:p>
    <w:p w14:paraId="75B25013" w14:textId="77777777" w:rsidR="00DE3DBD" w:rsidRPr="00A847B7" w:rsidRDefault="00DE3DBD" w:rsidP="00DE3DBD">
      <w:pPr>
        <w:spacing w:beforeAutospacing="1" w:after="100" w:afterAutospacing="1"/>
        <w:rPr>
          <w:rFonts w:cstheme="minorHAnsi"/>
        </w:rPr>
      </w:pPr>
      <w:r w:rsidRPr="00A847B7">
        <w:rPr>
          <w:rFonts w:cstheme="minorHAnsi"/>
        </w:rPr>
        <w:t>L’assujetti n'est identifié, pour les opérations imposables dans le cadre de ce régime, qu'en France.</w:t>
      </w:r>
    </w:p>
    <w:p w14:paraId="54B6E55B" w14:textId="3EA31601" w:rsidR="00DE3DBD" w:rsidRPr="00A847B7" w:rsidRDefault="00DE3DBD" w:rsidP="00DE3DBD">
      <w:pPr>
        <w:spacing w:beforeAutospacing="1" w:after="100" w:afterAutospacing="1"/>
        <w:rPr>
          <w:rFonts w:cstheme="minorHAnsi"/>
        </w:rPr>
      </w:pPr>
      <w:r w:rsidRPr="00A847B7">
        <w:rPr>
          <w:rFonts w:cstheme="minorHAnsi"/>
        </w:rPr>
        <w:t>L'administration attribue à l'assujetti ou à l’intermédiaire qui se prévaut du présent régime particulier un numéro individuel de TVA aux seules fins de l'application du présent régime l’informe, par voie électronique, du numéro d'identification qui lui a été attribué</w:t>
      </w:r>
      <w:r w:rsidR="00A8153B">
        <w:rPr>
          <w:rFonts w:cstheme="minorHAnsi"/>
        </w:rPr>
        <w:t>.</w:t>
      </w:r>
    </w:p>
    <w:p w14:paraId="0789C907" w14:textId="77777777" w:rsidR="00DE3DBD" w:rsidRPr="00A847B7" w:rsidRDefault="00DE3DBD" w:rsidP="00DE3DBD">
      <w:pPr>
        <w:spacing w:beforeAutospacing="1" w:after="100" w:afterAutospacing="1"/>
        <w:rPr>
          <w:rFonts w:cstheme="minorHAnsi"/>
        </w:rPr>
      </w:pPr>
      <w:r w:rsidRPr="00A847B7">
        <w:rPr>
          <w:rFonts w:cstheme="minorHAnsi"/>
        </w:rPr>
        <w:lastRenderedPageBreak/>
        <w:t>Elle attribue également à l'intermédiaire, pour chaque assujetti pour lequel celui-ci est désigné, un numéro individuel d'identification de TVA.</w:t>
      </w:r>
    </w:p>
    <w:p w14:paraId="4BF1B369" w14:textId="77777777" w:rsidR="00DE3DBD" w:rsidRPr="00A847B7" w:rsidRDefault="00DE3DBD" w:rsidP="00DE3DBD">
      <w:pPr>
        <w:spacing w:beforeAutospacing="1" w:after="100" w:afterAutospacing="1"/>
        <w:rPr>
          <w:rFonts w:cstheme="minorHAnsi"/>
        </w:rPr>
      </w:pPr>
      <w:r w:rsidRPr="00A847B7">
        <w:rPr>
          <w:rFonts w:cstheme="minorHAnsi"/>
        </w:rPr>
        <w:t>L'administration pourra exclure les assujettis ou leurs intermédiaires dans les situations suivantes :</w:t>
      </w:r>
    </w:p>
    <w:p w14:paraId="127CA0E2" w14:textId="77777777" w:rsidR="00DE3DBD" w:rsidRPr="00A847B7" w:rsidRDefault="00DE3DBD" w:rsidP="00EE0687">
      <w:pPr>
        <w:pStyle w:val="Paragraphedeliste"/>
        <w:numPr>
          <w:ilvl w:val="0"/>
          <w:numId w:val="95"/>
        </w:numPr>
        <w:spacing w:beforeAutospacing="1" w:after="100" w:afterAutospacing="1"/>
        <w:rPr>
          <w:rFonts w:cstheme="minorHAnsi"/>
        </w:rPr>
      </w:pPr>
      <w:r w:rsidRPr="00A847B7">
        <w:rPr>
          <w:rFonts w:cstheme="minorHAnsi"/>
        </w:rPr>
        <w:t>si l'assujetti notifie directement à l'administration ou par le biais de son intermédiaire, selon le cas, qu'il n'effectue plus de ventes à distance de biens importés en provenance de pays ou territoires tiers ;</w:t>
      </w:r>
    </w:p>
    <w:p w14:paraId="5234BA7E" w14:textId="77777777" w:rsidR="00DE3DBD" w:rsidRPr="00A847B7" w:rsidRDefault="00DE3DBD" w:rsidP="00EE0687">
      <w:pPr>
        <w:pStyle w:val="Paragraphedeliste"/>
        <w:numPr>
          <w:ilvl w:val="0"/>
          <w:numId w:val="95"/>
        </w:numPr>
        <w:spacing w:beforeAutospacing="1" w:after="100" w:afterAutospacing="1"/>
        <w:rPr>
          <w:rFonts w:cstheme="minorHAnsi"/>
        </w:rPr>
      </w:pPr>
      <w:r w:rsidRPr="00A847B7">
        <w:rPr>
          <w:rFonts w:cstheme="minorHAnsi"/>
        </w:rPr>
        <w:t>si l'administration peut présumer, par d'autres moyens, que ses activités imposables de ventes à distance de biens importés de territoires tiers ou de pays tiers ont pris fin ;</w:t>
      </w:r>
    </w:p>
    <w:p w14:paraId="4BE35D0C" w14:textId="77777777" w:rsidR="00DE3DBD" w:rsidRPr="00A847B7" w:rsidRDefault="00DE3DBD" w:rsidP="00EE0687">
      <w:pPr>
        <w:pStyle w:val="Paragraphedeliste"/>
        <w:numPr>
          <w:ilvl w:val="0"/>
          <w:numId w:val="95"/>
        </w:numPr>
        <w:spacing w:beforeAutospacing="1" w:after="100" w:afterAutospacing="1"/>
        <w:rPr>
          <w:rFonts w:cstheme="minorHAnsi"/>
        </w:rPr>
      </w:pPr>
      <w:r w:rsidRPr="00A847B7">
        <w:rPr>
          <w:rFonts w:cstheme="minorHAnsi"/>
        </w:rPr>
        <w:t>si l'assujetti ne remplit plus les conditions requises pour pouvoir se prévaloir du présent régime particulier ;</w:t>
      </w:r>
    </w:p>
    <w:p w14:paraId="6C757710" w14:textId="77777777" w:rsidR="00DE3DBD" w:rsidRPr="00A847B7" w:rsidRDefault="00DE3DBD" w:rsidP="00EE0687">
      <w:pPr>
        <w:pStyle w:val="Paragraphedeliste"/>
        <w:numPr>
          <w:ilvl w:val="0"/>
          <w:numId w:val="95"/>
        </w:numPr>
        <w:spacing w:beforeAutospacing="1" w:after="100" w:afterAutospacing="1"/>
        <w:rPr>
          <w:rFonts w:cstheme="minorHAnsi"/>
        </w:rPr>
      </w:pPr>
      <w:r w:rsidRPr="00A847B7">
        <w:rPr>
          <w:rFonts w:cstheme="minorHAnsi"/>
        </w:rPr>
        <w:t>si, de manière systématique, l'assujetti ne se conforme pas aux règles relatives au présent régime particulier ;</w:t>
      </w:r>
    </w:p>
    <w:p w14:paraId="71659B9E" w14:textId="77777777" w:rsidR="00DE3DBD" w:rsidRPr="00A847B7" w:rsidRDefault="00DE3DBD" w:rsidP="00EE0687">
      <w:pPr>
        <w:pStyle w:val="Paragraphedeliste"/>
        <w:numPr>
          <w:ilvl w:val="0"/>
          <w:numId w:val="95"/>
        </w:numPr>
        <w:spacing w:beforeAutospacing="1" w:after="100" w:afterAutospacing="1"/>
        <w:rPr>
          <w:rFonts w:cstheme="minorHAnsi"/>
        </w:rPr>
      </w:pPr>
      <w:r w:rsidRPr="00A847B7">
        <w:rPr>
          <w:rFonts w:cstheme="minorHAnsi"/>
        </w:rPr>
        <w:t>si l'intermédiaire informe l'Etat membre d'identification qu'il ne représente plus cet assujetti.</w:t>
      </w:r>
    </w:p>
    <w:p w14:paraId="620FF182" w14:textId="77777777" w:rsidR="00DE3DBD" w:rsidRPr="00A847B7" w:rsidRDefault="00DE3DBD" w:rsidP="00DE3DBD">
      <w:pPr>
        <w:spacing w:beforeAutospacing="1" w:after="100" w:afterAutospacing="1"/>
        <w:rPr>
          <w:rFonts w:cstheme="minorHAnsi"/>
        </w:rPr>
      </w:pPr>
      <w:r w:rsidRPr="00A847B7">
        <w:rPr>
          <w:rFonts w:cstheme="minorHAnsi"/>
        </w:rPr>
        <w:t>Elle pourra également exclure l'intermédiaire dans les cas suivants :</w:t>
      </w:r>
    </w:p>
    <w:p w14:paraId="18B104D6" w14:textId="77777777" w:rsidR="00DE3DBD" w:rsidRPr="00A847B7" w:rsidRDefault="00DE3DBD" w:rsidP="00EE0687">
      <w:pPr>
        <w:pStyle w:val="Paragraphedeliste"/>
        <w:numPr>
          <w:ilvl w:val="0"/>
          <w:numId w:val="96"/>
        </w:numPr>
        <w:spacing w:beforeAutospacing="1" w:after="100" w:afterAutospacing="1"/>
        <w:rPr>
          <w:rFonts w:cstheme="minorHAnsi"/>
        </w:rPr>
      </w:pPr>
      <w:r w:rsidRPr="00A847B7">
        <w:rPr>
          <w:rFonts w:cstheme="minorHAnsi"/>
        </w:rPr>
        <w:t>si, pendant une période de 2 trimestres civils consécutifs, il n'a pas agi en tant qu'intermédiaire pour le compte d'un assujetti qui se prévaut du présent régime particulier ;</w:t>
      </w:r>
    </w:p>
    <w:p w14:paraId="5A133BD7" w14:textId="77777777" w:rsidR="00DE3DBD" w:rsidRPr="00A847B7" w:rsidRDefault="00DE3DBD" w:rsidP="00EE0687">
      <w:pPr>
        <w:pStyle w:val="Paragraphedeliste"/>
        <w:numPr>
          <w:ilvl w:val="0"/>
          <w:numId w:val="96"/>
        </w:numPr>
        <w:spacing w:beforeAutospacing="1" w:after="100" w:afterAutospacing="1"/>
        <w:rPr>
          <w:rFonts w:cstheme="minorHAnsi"/>
        </w:rPr>
      </w:pPr>
      <w:r w:rsidRPr="00A847B7">
        <w:rPr>
          <w:rFonts w:cstheme="minorHAnsi"/>
        </w:rPr>
        <w:t>s'il ne remplit plus les autres conditions nécessaires pour agir en tant qu'intermédiaire ;</w:t>
      </w:r>
    </w:p>
    <w:p w14:paraId="2EEB867E" w14:textId="4E73EC23" w:rsidR="00DE3DBD" w:rsidRPr="00A847B7" w:rsidRDefault="00DE3DBD" w:rsidP="00EE0687">
      <w:pPr>
        <w:pStyle w:val="Paragraphedeliste"/>
        <w:numPr>
          <w:ilvl w:val="0"/>
          <w:numId w:val="96"/>
        </w:numPr>
        <w:spacing w:beforeAutospacing="1" w:after="100" w:afterAutospacing="1"/>
        <w:rPr>
          <w:rFonts w:cstheme="minorHAnsi"/>
        </w:rPr>
      </w:pPr>
      <w:r w:rsidRPr="00A847B7">
        <w:rPr>
          <w:rFonts w:cstheme="minorHAnsi"/>
        </w:rPr>
        <w:t>si, de manière systématique, il ne se conforme pas aux règles relatives au présent régime particulier du « guichet unique ».</w:t>
      </w:r>
    </w:p>
    <w:p w14:paraId="1C934C05" w14:textId="77777777" w:rsidR="00DE3DBD" w:rsidRPr="00A847B7" w:rsidRDefault="00DE3DBD" w:rsidP="00DE3DBD">
      <w:pPr>
        <w:spacing w:beforeAutospacing="1" w:after="100" w:afterAutospacing="1"/>
        <w:rPr>
          <w:rFonts w:cstheme="minorHAnsi"/>
        </w:rPr>
      </w:pPr>
      <w:r w:rsidRPr="00A847B7">
        <w:rPr>
          <w:rFonts w:cstheme="minorHAnsi"/>
        </w:rPr>
        <w:t>Tous les mois, l’assujetti ou son intermédiaire doivent transmettre une déclaration de TVA, libellée en euros, par voie électronique, que des ventes à distance de biens importés de territoires tiers ou de pays tiers aient été effectuées ou non.</w:t>
      </w:r>
    </w:p>
    <w:p w14:paraId="59D810CA" w14:textId="77777777" w:rsidR="00DE3DBD" w:rsidRPr="00A847B7" w:rsidRDefault="00DE3DBD" w:rsidP="00DE3DBD">
      <w:pPr>
        <w:spacing w:beforeAutospacing="1" w:after="100" w:afterAutospacing="1"/>
        <w:rPr>
          <w:rFonts w:cstheme="minorHAnsi"/>
        </w:rPr>
      </w:pPr>
      <w:r w:rsidRPr="00A847B7">
        <w:rPr>
          <w:rFonts w:cstheme="minorHAnsi"/>
        </w:rPr>
        <w:t>Cette déclaration comporte le numéro d'identification de TVA et, pour chaque Etat membre de consommation dans lequel la taxe est due, la valeur totale, hors taxe sur la valeur ajoutée, des ventes à distance de biens importés de territoires tiers ou de pays tiers pour lesquelles la taxe est devenue exigible pendant la période imposable et le montant total de la taxe correspondante ventilé par taux d'imposition. Les taux de taxe sur la valeur ajoutée applicables et le montant total de la taxe sur la valeur ajoutée due doivent également figurer sur la déclaration.</w:t>
      </w:r>
    </w:p>
    <w:p w14:paraId="5108FF55" w14:textId="77777777" w:rsidR="00DE3DBD" w:rsidRPr="00A847B7" w:rsidRDefault="00DE3DBD" w:rsidP="00DE3DBD">
      <w:pPr>
        <w:spacing w:beforeAutospacing="1" w:after="100" w:afterAutospacing="1"/>
        <w:rPr>
          <w:rFonts w:cstheme="minorHAnsi"/>
        </w:rPr>
      </w:pPr>
      <w:r w:rsidRPr="00A847B7">
        <w:rPr>
          <w:rFonts w:cstheme="minorHAnsi"/>
        </w:rPr>
        <w:t>Si après sa transmission, cette déclaration de TVA doit être modifiée, ces modifications doivent figurer dans une déclaration ultérieure qui doit être déposée dans un délai de 3 ans à compter de la date à laquelle la déclaration initiale devait être déposée.</w:t>
      </w:r>
    </w:p>
    <w:p w14:paraId="61383392" w14:textId="77777777" w:rsidR="00DE3DBD" w:rsidRPr="00A847B7" w:rsidRDefault="00DE3DBD" w:rsidP="00DE3DBD">
      <w:pPr>
        <w:spacing w:beforeAutospacing="1" w:after="100" w:afterAutospacing="1"/>
        <w:rPr>
          <w:rFonts w:ascii="Arial" w:hAnsi="Arial" w:cs="Arial"/>
          <w:color w:val="000000"/>
          <w:sz w:val="19"/>
          <w:szCs w:val="19"/>
        </w:rPr>
      </w:pPr>
      <w:r w:rsidRPr="00A847B7">
        <w:rPr>
          <w:rFonts w:cstheme="minorHAnsi"/>
        </w:rPr>
        <w:t>Cette déclaration de TVA ultérieure devra préciser l'Etat membre de consommation concerné, la période imposable et le montant de TVA pour lequel des modifications sont nécessaires.</w:t>
      </w:r>
    </w:p>
    <w:p w14:paraId="441F641F" w14:textId="77777777" w:rsidR="00DE3DBD" w:rsidRPr="00A847B7" w:rsidRDefault="00DE3DBD" w:rsidP="00DE3DBD">
      <w:pPr>
        <w:spacing w:beforeAutospacing="1" w:after="100" w:afterAutospacing="1"/>
        <w:rPr>
          <w:rFonts w:cstheme="minorHAnsi"/>
        </w:rPr>
      </w:pPr>
      <w:r w:rsidRPr="00A847B7">
        <w:rPr>
          <w:rFonts w:cstheme="minorHAnsi"/>
        </w:rPr>
        <w:t>Un assujetti qui se prévaut, dans un autre Etat membre, du régime du « guichet unique » ne peut, en ce qui concerne ses activités imposables couvertes par ce régime particulier, déduire aucun montant de TVA en France. La taxe afférente aux livraisons de biens et prestations de services couvertes par ce régime devra être remboursée.</w:t>
      </w:r>
    </w:p>
    <w:p w14:paraId="0350CB50" w14:textId="77777777" w:rsidR="00DE3DBD" w:rsidRPr="00A847B7" w:rsidRDefault="00DE3DBD" w:rsidP="00DE3DBD">
      <w:pPr>
        <w:spacing w:beforeAutospacing="1" w:after="100" w:afterAutospacing="1"/>
        <w:rPr>
          <w:rFonts w:cstheme="minorHAnsi"/>
        </w:rPr>
      </w:pPr>
      <w:r w:rsidRPr="00A847B7">
        <w:rPr>
          <w:rFonts w:cstheme="minorHAnsi"/>
        </w:rPr>
        <w:t>Si l’assujetti se prévaut, dans un autre Etat membre, du régime du « guichet unique », il est tenu de se faire identifier en France pour des activités non couvertes par ce régime particulier et il pourra déduire la TVA afférente aux biens et services utilisés pour les besoins de ses opérations imposables couvertes par ce régime.</w:t>
      </w:r>
    </w:p>
    <w:p w14:paraId="4D946B91" w14:textId="77777777" w:rsidR="00DE3DBD" w:rsidRPr="00A847B7" w:rsidRDefault="00DE3DBD" w:rsidP="00DE3DBD">
      <w:pPr>
        <w:spacing w:beforeAutospacing="1" w:after="100" w:afterAutospacing="1"/>
        <w:rPr>
          <w:rFonts w:cstheme="minorHAnsi"/>
        </w:rPr>
      </w:pPr>
      <w:r w:rsidRPr="00A847B7">
        <w:rPr>
          <w:rFonts w:cstheme="minorHAnsi"/>
        </w:rPr>
        <w:lastRenderedPageBreak/>
        <w:t>Les professionnels (assujettis ou intermédiaires) doivent tenir un registre des opérations relevant de ce régime particulier. Ce registre doit, sur demande, être mis par voie électronique à la disposition de l'administration et de l'Etat membre de consommation.</w:t>
      </w:r>
    </w:p>
    <w:p w14:paraId="51EF79A9" w14:textId="77777777" w:rsidR="00DE3DBD" w:rsidRPr="00A847B7" w:rsidRDefault="00DE3DBD" w:rsidP="00DE3DBD">
      <w:pPr>
        <w:spacing w:beforeAutospacing="1" w:after="100" w:afterAutospacing="1"/>
        <w:rPr>
          <w:rFonts w:cstheme="minorHAnsi"/>
        </w:rPr>
      </w:pPr>
      <w:r w:rsidRPr="00A847B7">
        <w:rPr>
          <w:rFonts w:cstheme="minorHAnsi"/>
        </w:rPr>
        <w:t>Il doit être suffisamment détaillé pour permettre à l'administration de l'Etat membre de consommation de vérifier l'exactitude de la déclaration de TVA mentionnée.</w:t>
      </w:r>
    </w:p>
    <w:p w14:paraId="6B1B2D05" w14:textId="77777777" w:rsidR="00DE3DBD" w:rsidRPr="00A847B7" w:rsidRDefault="00DE3DBD" w:rsidP="00DE3DBD">
      <w:pPr>
        <w:spacing w:beforeAutospacing="1" w:after="100" w:afterAutospacing="1"/>
        <w:rPr>
          <w:rFonts w:cstheme="minorHAnsi"/>
        </w:rPr>
      </w:pPr>
      <w:r w:rsidRPr="00A847B7">
        <w:rPr>
          <w:rFonts w:cstheme="minorHAnsi"/>
        </w:rPr>
        <w:t>Ce registre doit être conservé pendant 10 ans à compter du 31 décembre de l'année de l'opération.</w:t>
      </w:r>
    </w:p>
    <w:p w14:paraId="0C9B16D9" w14:textId="77777777" w:rsidR="00DE3DBD" w:rsidRPr="00A847B7" w:rsidRDefault="00DE3DBD" w:rsidP="00EE0687">
      <w:pPr>
        <w:pStyle w:val="Paragraphedeliste"/>
        <w:numPr>
          <w:ilvl w:val="0"/>
          <w:numId w:val="97"/>
        </w:numPr>
        <w:spacing w:beforeAutospacing="1" w:after="100" w:afterAutospacing="1"/>
        <w:rPr>
          <w:rFonts w:cstheme="minorHAnsi"/>
        </w:rPr>
      </w:pPr>
      <w:r w:rsidRPr="00A847B7">
        <w:rPr>
          <w:rFonts w:cstheme="minorHAnsi"/>
          <w:b/>
          <w:i/>
          <w:u w:val="single"/>
        </w:rPr>
        <w:t>Régime spécial pour la déclaration et le paiement de la TVA à l’importation</w:t>
      </w:r>
    </w:p>
    <w:p w14:paraId="34C84A64" w14:textId="77777777" w:rsidR="00DE3DBD" w:rsidRPr="00A847B7" w:rsidRDefault="00DE3DBD" w:rsidP="00DE3DBD">
      <w:pPr>
        <w:spacing w:beforeAutospacing="1" w:after="100" w:afterAutospacing="1"/>
        <w:rPr>
          <w:rFonts w:cstheme="minorHAnsi"/>
        </w:rPr>
      </w:pPr>
      <w:r w:rsidRPr="00A847B7">
        <w:rPr>
          <w:rFonts w:cstheme="minorHAnsi"/>
        </w:rPr>
        <w:t>Dès lors que pour l'importation de biens faisant l'objet d'une vente à distance de biens importés contenus dans des envois d'une valeur intrinsèque ne dépassant pas 150 €, à l'exception des produits soumis à accises, le régime du « guichet unique » n'est pas utilisé, la personne qui présente les marchandises en douane pour le compte de la personne destinataire final des biens peut se prévaloir du régime spécial pour la déclaration et le paiement de la TVA à l'importation en ce qui concerne des biens expédiés ou transportés à destination de la France.</w:t>
      </w:r>
    </w:p>
    <w:p w14:paraId="02DAA3B7" w14:textId="77777777" w:rsidR="00DE3DBD" w:rsidRPr="00A847B7" w:rsidRDefault="00DE3DBD" w:rsidP="00DE3DBD">
      <w:pPr>
        <w:spacing w:beforeAutospacing="1" w:after="100" w:afterAutospacing="1"/>
        <w:rPr>
          <w:rFonts w:cstheme="minorHAnsi"/>
        </w:rPr>
      </w:pPr>
      <w:r w:rsidRPr="00A847B7">
        <w:rPr>
          <w:rFonts w:cstheme="minorHAnsi"/>
        </w:rPr>
        <w:t>Dans cette situation, le redevable de la TVA est le destinataire final des biens. De plus, la personne qui présente les biens en douane doit prendre les mesures appropriées pour percevoir la TVA auprès du destinataire final des biens préalablement à son acquittement auprès du service des douanes ou doit s’assurer que la taxe est correctement payée par le destinataire des biens.</w:t>
      </w:r>
    </w:p>
    <w:p w14:paraId="18C75E9A" w14:textId="77777777" w:rsidR="00DE3DBD" w:rsidRPr="00A847B7" w:rsidRDefault="00DE3DBD" w:rsidP="00DE3DBD">
      <w:pPr>
        <w:spacing w:beforeAutospacing="1" w:after="100" w:afterAutospacing="1"/>
        <w:rPr>
          <w:rFonts w:cstheme="minorHAnsi"/>
        </w:rPr>
      </w:pPr>
      <w:r w:rsidRPr="00A847B7">
        <w:rPr>
          <w:rFonts w:cstheme="minorHAnsi"/>
        </w:rPr>
        <w:t>Ces professionnels doivent également tenir un registre des opérations couvertes par le présent régime particulier qui doit être conserver pendant 10 ans à compter du 31 décembre de l'année de l'opération.</w:t>
      </w:r>
    </w:p>
    <w:p w14:paraId="3384F97D" w14:textId="77777777" w:rsidR="00DE3DBD" w:rsidRPr="00A847B7" w:rsidRDefault="00DE3DBD" w:rsidP="00DE3DBD">
      <w:pPr>
        <w:spacing w:beforeAutospacing="1" w:after="100" w:afterAutospacing="1"/>
        <w:rPr>
          <w:rFonts w:cstheme="minorHAnsi"/>
        </w:rPr>
      </w:pPr>
      <w:r w:rsidRPr="00A847B7">
        <w:rPr>
          <w:rFonts w:cstheme="minorHAnsi"/>
        </w:rPr>
        <w:t>Ce registre doit être mis à la disposition des administrations fiscales ou douanières, sur leur demande, par voie électronique, et doit être suffisamment détaillé pour permettre à ces dernières de vérifier l'exactitude de la déclaration de TVA.</w:t>
      </w:r>
    </w:p>
    <w:p w14:paraId="09CAC35E" w14:textId="4692EDC6" w:rsidR="00DE3DBD" w:rsidRDefault="00DE3DBD" w:rsidP="009A7899">
      <w:pPr>
        <w:pStyle w:val="NormalWeb"/>
        <w:rPr>
          <w:rFonts w:asciiTheme="minorHAnsi" w:hAnsiTheme="minorHAnsi" w:cstheme="minorHAnsi"/>
          <w:sz w:val="20"/>
          <w:szCs w:val="20"/>
        </w:rPr>
      </w:pPr>
      <w:r w:rsidRPr="009A7899">
        <w:rPr>
          <w:rFonts w:asciiTheme="minorHAnsi" w:hAnsiTheme="minorHAnsi" w:cstheme="minorHAnsi"/>
          <w:sz w:val="20"/>
          <w:szCs w:val="20"/>
        </w:rPr>
        <w:t>Dans un souci de simplification, la personne qui présente les biens en douane (La Poste, les fréteurs express, notamment) peut acquitter la TVA auprès du service des douanes au nom et pour le compte du destinataire final des biens. Les personnes présentant les biens en douane devront déclarer, par voie électronique, dans une déclaration mensuelle, la TVA perçue au titre de ce régime particulier (le taux de droit commun de la TVA de 20 % s’appliquera dans cette situation).</w:t>
      </w:r>
    </w:p>
    <w:p w14:paraId="0DB8922F" w14:textId="6D2578A5" w:rsidR="009A7899" w:rsidRPr="00FD49B8" w:rsidRDefault="009E32CF" w:rsidP="00EE0687">
      <w:pPr>
        <w:pStyle w:val="Paragraphedeliste"/>
        <w:numPr>
          <w:ilvl w:val="0"/>
          <w:numId w:val="97"/>
        </w:numPr>
        <w:rPr>
          <w:b/>
          <w:bCs/>
          <w:i/>
          <w:iCs/>
          <w:u w:val="single"/>
        </w:rPr>
      </w:pPr>
      <w:r w:rsidRPr="00FD49B8">
        <w:rPr>
          <w:b/>
          <w:bCs/>
          <w:i/>
          <w:iCs/>
          <w:u w:val="single"/>
        </w:rPr>
        <w:t>En ce qui concerne les prestations de services</w:t>
      </w:r>
      <w:r w:rsidR="004A7D57" w:rsidRPr="00FD49B8">
        <w:rPr>
          <w:b/>
          <w:bCs/>
          <w:i/>
          <w:iCs/>
          <w:u w:val="single"/>
        </w:rPr>
        <w:t xml:space="preserve"> électroniques, de télécommunication, de radio diffusion et de télévision</w:t>
      </w:r>
    </w:p>
    <w:p w14:paraId="7584BA68" w14:textId="2B3A7DE7" w:rsidR="009A7899" w:rsidRDefault="007F5167" w:rsidP="009A7899">
      <w:r>
        <w:t xml:space="preserve">Par principe, </w:t>
      </w:r>
      <w:r w:rsidR="00BF080E">
        <w:t xml:space="preserve">le lieu des prestations de services </w:t>
      </w:r>
      <w:r w:rsidR="00FB1799">
        <w:t xml:space="preserve">électroniques, de télécommunication, de radio diffusion et de télévision </w:t>
      </w:r>
      <w:r w:rsidR="00BF080E">
        <w:t>est réputé situé en France lorsqu'elles sont fournies à des personnes non assujetties qui sont établies, ont leur domicile ou leur résidence habituelle en France.</w:t>
      </w:r>
    </w:p>
    <w:p w14:paraId="16A5A106" w14:textId="68D16281" w:rsidR="00491A68" w:rsidRPr="00026F65" w:rsidRDefault="00C00A14" w:rsidP="009A7899">
      <w:r w:rsidRPr="00026F65">
        <w:t xml:space="preserve">Mais le lieu de ces prestations n'est pas réputé situé en France lorsqu'elles sont fournies par un prestataire qui est établi dans un </w:t>
      </w:r>
      <w:r w:rsidR="005414D8" w:rsidRPr="00026F65">
        <w:t xml:space="preserve">seul </w:t>
      </w:r>
      <w:r w:rsidRPr="00026F65">
        <w:t xml:space="preserve">autre Etat membre de l'Union européenne ou, en l'absence d'établissement, qui a dans </w:t>
      </w:r>
      <w:r w:rsidR="005414D8" w:rsidRPr="00026F65">
        <w:t>ce seul</w:t>
      </w:r>
      <w:r w:rsidRPr="00026F65">
        <w:t xml:space="preserve"> autre Etat membre son domicile ou sa résidence habituelle, à des personnes non assujetties qui sont établies ou ont leur domicile ou leur résidence habituelle en France, et que la valeur totale de ces prestations n'a pas excédé, pendant l'année civile en cours au moment de la prestation et pendant l'année civile précédente, le seuil de 10 000 € hors taxe sur la valeur ajoutée. Ce seuil s'apprécie en tenant compte de l'ensemble des prestations concernées fournies à des personnes non assujetties établies ou ayant leur domicile </w:t>
      </w:r>
      <w:r w:rsidRPr="00026F65">
        <w:lastRenderedPageBreak/>
        <w:t xml:space="preserve">ou leur résidence habituelle dans des Etats membres autres que celui dans lequel le prestataire est établi ou </w:t>
      </w:r>
      <w:proofErr w:type="spellStart"/>
      <w:r w:rsidRPr="00026F65">
        <w:t>a</w:t>
      </w:r>
      <w:proofErr w:type="spellEnd"/>
      <w:r w:rsidRPr="00026F65">
        <w:t xml:space="preserve"> son domicile ou sa résidence habituelle. </w:t>
      </w:r>
    </w:p>
    <w:p w14:paraId="4951DD36" w14:textId="6AE6B61D" w:rsidR="00491A68" w:rsidRPr="00026F65" w:rsidRDefault="00C00A14" w:rsidP="009A7899">
      <w:r w:rsidRPr="00026F65">
        <w:t xml:space="preserve">Lorsque, au cours d'une année civile, le seuil </w:t>
      </w:r>
      <w:r w:rsidR="00D650E1">
        <w:t xml:space="preserve">de </w:t>
      </w:r>
      <w:r w:rsidR="00F04284" w:rsidRPr="00026F65">
        <w:t>10 000 €</w:t>
      </w:r>
      <w:r w:rsidRPr="00026F65">
        <w:t xml:space="preserve"> est dépassé, l</w:t>
      </w:r>
      <w:r w:rsidR="00F04284" w:rsidRPr="00026F65">
        <w:t xml:space="preserve">’exception ne vaut pas et la règle de principe trouve à s’appliquer. </w:t>
      </w:r>
    </w:p>
    <w:p w14:paraId="687C691A" w14:textId="77777777" w:rsidR="00491A68" w:rsidRPr="00026F65" w:rsidRDefault="00491A68" w:rsidP="009A7899">
      <w:r w:rsidRPr="00026F65">
        <w:t xml:space="preserve">L’exception ne </w:t>
      </w:r>
      <w:r w:rsidR="00C00A14" w:rsidRPr="00026F65">
        <w:t xml:space="preserve">s'applique pas lorsque le prestataire a opté, dans l'Etat membre dans lequel il est établi ou dans lequel il a son domicile ou sa résidence habituelle, pour que le lieu de ces prestations se situe en </w:t>
      </w:r>
      <w:r w:rsidRPr="00026F65">
        <w:t>France.</w:t>
      </w:r>
    </w:p>
    <w:p w14:paraId="439D6FF0" w14:textId="77777777" w:rsidR="00FD49B8" w:rsidRPr="00026F65" w:rsidRDefault="00491A68" w:rsidP="009A7899">
      <w:r w:rsidRPr="00026F65">
        <w:t>Par ailleurs, l</w:t>
      </w:r>
      <w:r w:rsidR="00C00A14" w:rsidRPr="00026F65">
        <w:t xml:space="preserve">e lieu des prestations de services </w:t>
      </w:r>
      <w:r w:rsidRPr="00026F65">
        <w:t>électroniques, de télécommunication, de radio diffusion et de télévision</w:t>
      </w:r>
      <w:r w:rsidR="00C00A14" w:rsidRPr="00026F65">
        <w:t xml:space="preserve"> est également réputé situé en France lorsqu'elles sont fournies par un prestataire qui est établi en France ou, en l'absence d'établissement, qui a en France son domicile ou sa résidence habituelle, à des personnes non assujetties qui sont établies, ont leur domicile ou leur résidence habituelle dans d'autres Etats membres de l'Union européenne et que la valeur totale de ces prestations n'a pas excédé, pendant l'année civile en cours au moment de la prestation et pendant l'année civile précédente, le seuil de 10 000 € hors taxe sur la valeur ajoutée. </w:t>
      </w:r>
    </w:p>
    <w:p w14:paraId="1AFC6A88" w14:textId="11C63346" w:rsidR="00FD49B8" w:rsidRPr="00026F65" w:rsidRDefault="00C00A14" w:rsidP="009A7899">
      <w:r w:rsidRPr="00026F65">
        <w:t xml:space="preserve">Lorsque, au cours d'une année civile, le seuil </w:t>
      </w:r>
      <w:r w:rsidR="00362839">
        <w:t xml:space="preserve">de </w:t>
      </w:r>
      <w:r w:rsidR="00FD49B8" w:rsidRPr="00026F65">
        <w:t>10 000 € est</w:t>
      </w:r>
      <w:r w:rsidRPr="00026F65">
        <w:t xml:space="preserve"> dépassé, </w:t>
      </w:r>
      <w:r w:rsidR="00FD49B8" w:rsidRPr="00026F65">
        <w:t>c</w:t>
      </w:r>
      <w:r w:rsidRPr="00026F65">
        <w:t xml:space="preserve">es dispositions cessent de s'appliquer aux prestations fournies à compter du jour de ce dépassement. </w:t>
      </w:r>
    </w:p>
    <w:p w14:paraId="722B2C45" w14:textId="41F96237" w:rsidR="006929DC" w:rsidRPr="00026F65" w:rsidRDefault="00C00A14" w:rsidP="009A7899">
      <w:r w:rsidRPr="00026F65">
        <w:t xml:space="preserve">Toutefois, ce prestataire peut opter pour que le lieu de ces prestations fournies à des personnes non assujetties se situe dans l'Etat membre où ces personnes sont établies, ont leur domicile ou leur résidence habituelle. Cette option couvre </w:t>
      </w:r>
      <w:proofErr w:type="gramStart"/>
      <w:r w:rsidRPr="00026F65">
        <w:t xml:space="preserve">une période de </w:t>
      </w:r>
      <w:r w:rsidR="00FD49B8" w:rsidRPr="00026F65">
        <w:t>2</w:t>
      </w:r>
      <w:r w:rsidRPr="00026F65">
        <w:t xml:space="preserve"> années civiles</w:t>
      </w:r>
      <w:proofErr w:type="gramEnd"/>
      <w:r w:rsidRPr="00026F65">
        <w:t>.</w:t>
      </w:r>
    </w:p>
    <w:p w14:paraId="7277E904" w14:textId="77777777" w:rsidR="004A7D57" w:rsidRPr="00A847B7" w:rsidRDefault="004A7D57" w:rsidP="009A7899"/>
    <w:p w14:paraId="218B3B24" w14:textId="5DBED3A6" w:rsidR="009C5B8B" w:rsidRPr="00A847B7" w:rsidRDefault="009C5B8B" w:rsidP="009C5B8B">
      <w:pPr>
        <w:pStyle w:val="Titre3"/>
      </w:pPr>
      <w:bookmarkStart w:id="89" w:name="_Toc60781014"/>
      <w:r w:rsidRPr="00A847B7">
        <w:t xml:space="preserve">Slide </w:t>
      </w:r>
      <w:r w:rsidR="00D63C4E">
        <w:t>58</w:t>
      </w:r>
      <w:r w:rsidRPr="00A847B7">
        <w:t> : Création d’un régime de groupe pour la TVA</w:t>
      </w:r>
      <w:bookmarkEnd w:id="89"/>
    </w:p>
    <w:p w14:paraId="7568912E" w14:textId="541F8330" w:rsidR="009C5B8B" w:rsidRPr="00A847B7" w:rsidRDefault="00147770" w:rsidP="009C5B8B">
      <w:r w:rsidRPr="004F587E">
        <w:rPr>
          <w:u w:val="single"/>
        </w:rPr>
        <w:t xml:space="preserve">Source </w:t>
      </w:r>
      <w:r w:rsidRPr="00A847B7">
        <w:t>:</w:t>
      </w:r>
      <w:r w:rsidR="009C5B8B" w:rsidRPr="00A847B7">
        <w:t xml:space="preserve"> Loi de Finances pour 2021, </w:t>
      </w:r>
      <w:r w:rsidR="009C5B8B" w:rsidRPr="00F836B4">
        <w:t xml:space="preserve">article </w:t>
      </w:r>
      <w:r w:rsidR="009C5B8B">
        <w:t>162</w:t>
      </w:r>
    </w:p>
    <w:p w14:paraId="479683A4" w14:textId="027F912B" w:rsidR="009C5B8B" w:rsidRPr="00A847B7" w:rsidRDefault="009C5B8B" w:rsidP="009C5B8B">
      <w:r w:rsidRPr="00A847B7">
        <w:t>A l’instar de ce qui existe déjà au regard de l’impôt sur les bénéfices avec le dispositif de l’intégration fiscale, il est prévu d’instaurer, à compter du 1</w:t>
      </w:r>
      <w:r w:rsidRPr="00A847B7">
        <w:rPr>
          <w:vertAlign w:val="superscript"/>
        </w:rPr>
        <w:t>er</w:t>
      </w:r>
      <w:r w:rsidRPr="00A847B7">
        <w:t xml:space="preserve"> janvier 202</w:t>
      </w:r>
      <w:r>
        <w:t>2</w:t>
      </w:r>
      <w:r w:rsidRPr="00A847B7">
        <w:t>, un régime de groupe au regard de la TVA,</w:t>
      </w:r>
      <w:r w:rsidR="00876D44">
        <w:t xml:space="preserve"> </w:t>
      </w:r>
      <w:bookmarkStart w:id="90" w:name="_Hlk60742213"/>
      <w:r w:rsidR="00876D44">
        <w:t>pour une application effective en 2023,</w:t>
      </w:r>
      <w:r w:rsidRPr="00A847B7">
        <w:t xml:space="preserve"> </w:t>
      </w:r>
      <w:bookmarkEnd w:id="90"/>
      <w:r w:rsidRPr="00A847B7">
        <w:t>au terme duquel il sera possible de considérer comme un seul assujetti les entreprises et groupements, indépendants entre eux d’un point de vue juridique, mais étroitement liés sur les plans financiers, économiques et organisationnels.</w:t>
      </w:r>
    </w:p>
    <w:p w14:paraId="7444F86D" w14:textId="77777777" w:rsidR="009C5B8B" w:rsidRPr="00A847B7" w:rsidRDefault="009C5B8B" w:rsidP="00EE0687">
      <w:pPr>
        <w:pStyle w:val="Paragraphedeliste"/>
        <w:numPr>
          <w:ilvl w:val="0"/>
          <w:numId w:val="139"/>
        </w:numPr>
        <w:rPr>
          <w:b/>
          <w:bCs/>
          <w:i/>
          <w:iCs/>
          <w:u w:val="single"/>
        </w:rPr>
      </w:pPr>
      <w:r w:rsidRPr="00A847B7">
        <w:rPr>
          <w:b/>
          <w:bCs/>
          <w:i/>
          <w:iCs/>
          <w:u w:val="single"/>
        </w:rPr>
        <w:t>Modalités de création du groupe TVA</w:t>
      </w:r>
    </w:p>
    <w:p w14:paraId="14FB633D" w14:textId="77777777" w:rsidR="009C5B8B" w:rsidRPr="00A847B7" w:rsidRDefault="009C5B8B" w:rsidP="009C5B8B">
      <w:r w:rsidRPr="00A847B7">
        <w:t>L’objectif de ce dispositif est de constituer un « groupe TVA » ou un « assujetti unique » entre :</w:t>
      </w:r>
    </w:p>
    <w:p w14:paraId="0B1AD588" w14:textId="77777777" w:rsidR="009C5B8B" w:rsidRPr="00A847B7" w:rsidRDefault="009C5B8B" w:rsidP="00EE0687">
      <w:pPr>
        <w:pStyle w:val="Paragraphedeliste"/>
        <w:numPr>
          <w:ilvl w:val="0"/>
          <w:numId w:val="142"/>
        </w:numPr>
      </w:pPr>
      <w:r w:rsidRPr="00A847B7">
        <w:t>personnes assujetties à la TVA qui ont en France le siège de leur activité économique (ou un établissement stable, ce qui inclut donc les entreprises étrangères installées en France) ;</w:t>
      </w:r>
    </w:p>
    <w:p w14:paraId="1F7E88FE" w14:textId="77777777" w:rsidR="009C5B8B" w:rsidRPr="00A847B7" w:rsidRDefault="009C5B8B" w:rsidP="00EE0687">
      <w:pPr>
        <w:pStyle w:val="Paragraphedeliste"/>
        <w:numPr>
          <w:ilvl w:val="0"/>
          <w:numId w:val="142"/>
        </w:numPr>
      </w:pPr>
      <w:r w:rsidRPr="00A847B7">
        <w:t>et qui, bien que juridiquement indépendantes, sont étroitement liées entre elles sur les plans financiers, économiques et organisationnels.</w:t>
      </w:r>
    </w:p>
    <w:p w14:paraId="545A2FCB" w14:textId="77777777" w:rsidR="009C5B8B" w:rsidRPr="00A847B7" w:rsidRDefault="009C5B8B" w:rsidP="009C5B8B">
      <w:r w:rsidRPr="00A847B7">
        <w:t>Ces conditions devront être remplies au moment de la constitution du groupe TVA et pendant toute la durée de vie de ce groupe TVA.</w:t>
      </w:r>
    </w:p>
    <w:p w14:paraId="22E86F71" w14:textId="77777777" w:rsidR="009C5B8B" w:rsidRPr="00A847B7" w:rsidRDefault="009C5B8B" w:rsidP="009C5B8B">
      <w:r w:rsidRPr="00A847B7">
        <w:t>Plus exactement, les liens devront présenter les caractéristiques suivantes :</w:t>
      </w:r>
    </w:p>
    <w:p w14:paraId="4A07FCB8" w14:textId="77777777" w:rsidR="009C5B8B" w:rsidRPr="00A847B7" w:rsidRDefault="009C5B8B" w:rsidP="00EE0687">
      <w:pPr>
        <w:pStyle w:val="Paragraphedeliste"/>
        <w:numPr>
          <w:ilvl w:val="0"/>
          <w:numId w:val="143"/>
        </w:numPr>
      </w:pPr>
      <w:r w:rsidRPr="00A847B7">
        <w:t xml:space="preserve">liens financiers : seront considérés comme liés entre eux sur le plan financier les assujettis contrôlés en droit, directement ou indirectement, par une même personne, y compris cette dernière ; cette condition sera satisfaite lorsqu’un assujetti ou une personne morale non </w:t>
      </w:r>
      <w:r w:rsidRPr="00A847B7">
        <w:lastRenderedPageBreak/>
        <w:t>assujettie, détient plus de 50 % du capital d’un autre assujetti, directement ou indirectement par l’intermédiaire d’autres assujettis ou personnes morales non assujetties, ou plus de 50 % des droits de vote d’un autre assujetti ou d’une personne morale non assujettie dans les mêmes conditions ;</w:t>
      </w:r>
    </w:p>
    <w:p w14:paraId="2F77014D" w14:textId="77777777" w:rsidR="009C5B8B" w:rsidRPr="00A847B7" w:rsidRDefault="009C5B8B" w:rsidP="00EE0687">
      <w:pPr>
        <w:pStyle w:val="Paragraphedeliste"/>
        <w:numPr>
          <w:ilvl w:val="0"/>
          <w:numId w:val="143"/>
        </w:numPr>
      </w:pPr>
      <w:r w:rsidRPr="00A847B7">
        <w:t>liens économiques : seront considérés comme liés entre eux sur le plan économique les assujettis exerçant soit une activité principale de même nature, soit des activités interdépendantes, complémentaires ou poursuivant un objectif économique commun, soit une activité réalisée en totalité ou en partie au bénéfice des autres membres ;</w:t>
      </w:r>
    </w:p>
    <w:p w14:paraId="0379B461" w14:textId="77777777" w:rsidR="009C5B8B" w:rsidRPr="00A847B7" w:rsidRDefault="009C5B8B" w:rsidP="00EE0687">
      <w:pPr>
        <w:pStyle w:val="Paragraphedeliste"/>
        <w:numPr>
          <w:ilvl w:val="0"/>
          <w:numId w:val="143"/>
        </w:numPr>
      </w:pPr>
      <w:r w:rsidRPr="00A847B7">
        <w:t>liens organisationnels : seront considérés comme liés entre eux sur le plan de l’organisation les assujettis qui sont en droit ou en fait, directement ou indirectement, sous une direction commune, ou qui organisent leurs activités totalement ou partiellement en concertation.</w:t>
      </w:r>
    </w:p>
    <w:p w14:paraId="6F0992B3" w14:textId="77777777" w:rsidR="009C5B8B" w:rsidRPr="00A847B7" w:rsidRDefault="009C5B8B" w:rsidP="009C5B8B">
      <w:r w:rsidRPr="00A847B7">
        <w:t>Il faut noter que seront considérés comme liés par des liens étroits sur un plan financier les sociétés de coordination, issues de la loi Élan, et les organismes qui détiennent leur capital.</w:t>
      </w:r>
    </w:p>
    <w:p w14:paraId="5D4DD656" w14:textId="77777777" w:rsidR="009C5B8B" w:rsidRPr="00A847B7" w:rsidRDefault="009C5B8B" w:rsidP="009C5B8B">
      <w:r w:rsidRPr="00A847B7">
        <w:t>Le périmètre du groupe, qui pourra être fixé librement, sera créé sur option des membres, au plus tard le 31 octobre de l’année qui précède son application.</w:t>
      </w:r>
    </w:p>
    <w:p w14:paraId="0E247E15" w14:textId="77777777" w:rsidR="009C5B8B" w:rsidRPr="00A847B7" w:rsidRDefault="009C5B8B" w:rsidP="009C5B8B">
      <w:r w:rsidRPr="00A847B7">
        <w:t>En pratique, il s’agira de formuler une option auprès du service des impôts compétent qui précisera :</w:t>
      </w:r>
    </w:p>
    <w:p w14:paraId="2905A121" w14:textId="77777777" w:rsidR="009C5B8B" w:rsidRPr="00A847B7" w:rsidRDefault="009C5B8B" w:rsidP="00EE0687">
      <w:pPr>
        <w:pStyle w:val="Paragraphedeliste"/>
        <w:numPr>
          <w:ilvl w:val="0"/>
          <w:numId w:val="143"/>
        </w:numPr>
      </w:pPr>
      <w:r w:rsidRPr="00A847B7">
        <w:t>la dénomination et la domiciliation du représentant de l’assujetti unique,</w:t>
      </w:r>
    </w:p>
    <w:p w14:paraId="58033CFD" w14:textId="77777777" w:rsidR="009C5B8B" w:rsidRPr="00A847B7" w:rsidRDefault="009C5B8B" w:rsidP="00EE0687">
      <w:pPr>
        <w:pStyle w:val="Paragraphedeliste"/>
        <w:numPr>
          <w:ilvl w:val="0"/>
          <w:numId w:val="143"/>
        </w:numPr>
      </w:pPr>
      <w:r w:rsidRPr="00A847B7">
        <w:t>la nature des activités de chacun de membres,</w:t>
      </w:r>
    </w:p>
    <w:p w14:paraId="0F479320" w14:textId="41BA2975" w:rsidR="009C5B8B" w:rsidRPr="00A847B7" w:rsidRDefault="009C5B8B" w:rsidP="00EE0687">
      <w:pPr>
        <w:pStyle w:val="Paragraphedeliste"/>
        <w:numPr>
          <w:ilvl w:val="0"/>
          <w:numId w:val="143"/>
        </w:numPr>
      </w:pPr>
      <w:r w:rsidRPr="00A847B7">
        <w:t>la liste des membres, leur numéro individuel d’identification à la TVA qui leur a été attribués avant leur entrée dans le groupe TVA,</w:t>
      </w:r>
    </w:p>
    <w:p w14:paraId="47E3E49A" w14:textId="77777777" w:rsidR="009C5B8B" w:rsidRPr="00A847B7" w:rsidRDefault="009C5B8B" w:rsidP="00EE0687">
      <w:pPr>
        <w:pStyle w:val="Paragraphedeliste"/>
        <w:numPr>
          <w:ilvl w:val="0"/>
          <w:numId w:val="143"/>
        </w:numPr>
      </w:pPr>
      <w:r w:rsidRPr="00A847B7">
        <w:t>leur accord pour intégrer le groupe TVA.</w:t>
      </w:r>
    </w:p>
    <w:p w14:paraId="0CC5C7B5" w14:textId="77777777" w:rsidR="009C5B8B" w:rsidRPr="00A847B7" w:rsidRDefault="009C5B8B" w:rsidP="009C5B8B">
      <w:r w:rsidRPr="00A847B7">
        <w:t>Il convient de préciser qu’une personne assujettie ne peut être membre que d’un assujetti unique et un assujetti unique ne peut pas être membre d’un autre assujetti unique.</w:t>
      </w:r>
    </w:p>
    <w:p w14:paraId="1A8B237A" w14:textId="77777777" w:rsidR="009C5B8B" w:rsidRPr="00A847B7" w:rsidRDefault="009C5B8B" w:rsidP="009C5B8B">
      <w:r w:rsidRPr="00A847B7">
        <w:t>L’option pour la création du groupe TVA ou de l’assujetti unique prend effet le 1</w:t>
      </w:r>
      <w:r w:rsidRPr="00A847B7">
        <w:rPr>
          <w:vertAlign w:val="superscript"/>
        </w:rPr>
        <w:t>er</w:t>
      </w:r>
      <w:r w:rsidRPr="00A847B7">
        <w:t xml:space="preserve"> janvier de l’année qui suit au cours de laquelle elle a été formulée et vaut pour une période minimale obligatoire d’une durée de 3 ans.</w:t>
      </w:r>
    </w:p>
    <w:p w14:paraId="66DCC60D" w14:textId="77777777" w:rsidR="009C5B8B" w:rsidRPr="00A847B7" w:rsidRDefault="009C5B8B" w:rsidP="009C5B8B">
      <w:r w:rsidRPr="00A847B7">
        <w:t>Pendant ces 3 années, le périmètre du groupe est figé, de sorte que :</w:t>
      </w:r>
    </w:p>
    <w:p w14:paraId="3EA6CC8B" w14:textId="77777777" w:rsidR="009C5B8B" w:rsidRPr="00A847B7" w:rsidRDefault="009C5B8B" w:rsidP="00EE0687">
      <w:pPr>
        <w:pStyle w:val="Paragraphedeliste"/>
        <w:numPr>
          <w:ilvl w:val="0"/>
          <w:numId w:val="144"/>
        </w:numPr>
      </w:pPr>
      <w:r w:rsidRPr="00A847B7">
        <w:t>l’entrée d’un nouveau membre n’est possible que si, au jour de l’option, il ne remplissait pas les conditions de liens entre les membres (l’entrée sera alors effective, sur demande du représentant de l’assujetti unique accompagnée de l’accord du nouveau membre, au 1</w:t>
      </w:r>
      <w:r w:rsidRPr="00A847B7">
        <w:rPr>
          <w:vertAlign w:val="superscript"/>
        </w:rPr>
        <w:t>er</w:t>
      </w:r>
      <w:r w:rsidRPr="00A847B7">
        <w:t xml:space="preserve"> janvier de l’année qui suit) ;</w:t>
      </w:r>
    </w:p>
    <w:p w14:paraId="2001D8F3" w14:textId="77777777" w:rsidR="009C5B8B" w:rsidRPr="00A847B7" w:rsidRDefault="009C5B8B" w:rsidP="00EE0687">
      <w:pPr>
        <w:pStyle w:val="Paragraphedeliste"/>
        <w:numPr>
          <w:ilvl w:val="0"/>
          <w:numId w:val="144"/>
        </w:numPr>
      </w:pPr>
      <w:r w:rsidRPr="00A847B7">
        <w:t>la sortie d’un membre ne pourra être effective que s’il ne remplit plus ces conditions (la sortie sera alors effective de plein droit à compter du 1</w:t>
      </w:r>
      <w:r w:rsidRPr="00A847B7">
        <w:rPr>
          <w:vertAlign w:val="superscript"/>
        </w:rPr>
        <w:t>er</w:t>
      </w:r>
      <w:r w:rsidRPr="00A847B7">
        <w:t xml:space="preserve"> jour du mois suivant).</w:t>
      </w:r>
    </w:p>
    <w:p w14:paraId="01EC9DB3" w14:textId="77777777" w:rsidR="009C5B8B" w:rsidRPr="00A847B7" w:rsidRDefault="009C5B8B" w:rsidP="009C5B8B">
      <w:r w:rsidRPr="00A847B7">
        <w:t>A l’issue de cette période obligatoire de 3 ans, le périmètre du groupe TVA sera assoupli :</w:t>
      </w:r>
    </w:p>
    <w:p w14:paraId="6D6A9113" w14:textId="6A4E600D" w:rsidR="009C5B8B" w:rsidRPr="00A847B7" w:rsidRDefault="009C5B8B" w:rsidP="00EE0687">
      <w:pPr>
        <w:pStyle w:val="Paragraphedeliste"/>
        <w:numPr>
          <w:ilvl w:val="0"/>
          <w:numId w:val="145"/>
        </w:numPr>
      </w:pPr>
      <w:r w:rsidRPr="00A847B7">
        <w:t>tout nouveau membre remplissant les conditions pourra rejoindre le groupe TVA, sur demande du représentant de l’assujetti unique accompagnée de l’accord du nouveau membre (avec effet au 1</w:t>
      </w:r>
      <w:r w:rsidRPr="00A847B7">
        <w:rPr>
          <w:vertAlign w:val="superscript"/>
        </w:rPr>
        <w:t>er</w:t>
      </w:r>
      <w:r w:rsidRPr="00A847B7">
        <w:t xml:space="preserve"> janvier de l’année qui suit) ;</w:t>
      </w:r>
    </w:p>
    <w:p w14:paraId="2C4C76D3" w14:textId="77777777" w:rsidR="009C5B8B" w:rsidRPr="00A847B7" w:rsidRDefault="009C5B8B" w:rsidP="00EE0687">
      <w:pPr>
        <w:pStyle w:val="Paragraphedeliste"/>
        <w:numPr>
          <w:ilvl w:val="0"/>
          <w:numId w:val="145"/>
        </w:numPr>
      </w:pPr>
      <w:r w:rsidRPr="00A847B7">
        <w:t>un membre du groupe TVA pourra décider de sortir du groupe, avec l’accord du représentant de l’assujetti unique, avec effet au 1</w:t>
      </w:r>
      <w:r w:rsidRPr="00A847B7">
        <w:rPr>
          <w:vertAlign w:val="superscript"/>
        </w:rPr>
        <w:t>er</w:t>
      </w:r>
      <w:r w:rsidRPr="00A847B7">
        <w:t xml:space="preserve"> janvier de l’année qui suit (le représentant devra en informer l’administration au plus</w:t>
      </w:r>
      <w:r>
        <w:t xml:space="preserve"> tard</w:t>
      </w:r>
      <w:r w:rsidRPr="00A847B7">
        <w:t xml:space="preserve"> le 31 octobre de l’année qui précède celle de la sortie du membre) ;</w:t>
      </w:r>
    </w:p>
    <w:p w14:paraId="0C773CDF" w14:textId="09D127A2" w:rsidR="009C5B8B" w:rsidRPr="00A847B7" w:rsidRDefault="009C5B8B" w:rsidP="00EE0687">
      <w:pPr>
        <w:pStyle w:val="Paragraphedeliste"/>
        <w:numPr>
          <w:ilvl w:val="0"/>
          <w:numId w:val="145"/>
        </w:numPr>
      </w:pPr>
      <w:r w:rsidRPr="00A847B7">
        <w:t>il pourra être mis fin au groupe TVA sur dénonciation de l’option formulée par le représentant et sur accord exprès de chacun des membres, avec effet au 1</w:t>
      </w:r>
      <w:r w:rsidRPr="00A847B7">
        <w:rPr>
          <w:vertAlign w:val="superscript"/>
        </w:rPr>
        <w:t>er</w:t>
      </w:r>
      <w:r w:rsidRPr="00A847B7">
        <w:t xml:space="preserve"> jour du 2</w:t>
      </w:r>
      <w:r w:rsidRPr="00A847B7">
        <w:rPr>
          <w:vertAlign w:val="superscript"/>
        </w:rPr>
        <w:t>ème</w:t>
      </w:r>
      <w:r w:rsidRPr="00A847B7">
        <w:t xml:space="preserve"> mois qui suit.</w:t>
      </w:r>
    </w:p>
    <w:p w14:paraId="5566DDAC" w14:textId="77777777" w:rsidR="009C5B8B" w:rsidRPr="00A847B7" w:rsidRDefault="009C5B8B" w:rsidP="009C5B8B">
      <w:r w:rsidRPr="00A847B7">
        <w:lastRenderedPageBreak/>
        <w:t>Il faut noter que, chaque année, le représentant communique à l’administration, au plus tard le 31 janvier, la liste des membres de l’assujetti unique appréciée au 1</w:t>
      </w:r>
      <w:r w:rsidRPr="00A847B7">
        <w:rPr>
          <w:rStyle w:val="exposant"/>
        </w:rPr>
        <w:t>er</w:t>
      </w:r>
      <w:r w:rsidRPr="00A847B7">
        <w:t xml:space="preserve"> janvier de la même année.</w:t>
      </w:r>
    </w:p>
    <w:p w14:paraId="66530532" w14:textId="77777777" w:rsidR="009C5B8B" w:rsidRPr="00A847B7" w:rsidRDefault="009C5B8B" w:rsidP="00EE0687">
      <w:pPr>
        <w:pStyle w:val="Paragraphedeliste"/>
        <w:numPr>
          <w:ilvl w:val="0"/>
          <w:numId w:val="140"/>
        </w:numPr>
        <w:rPr>
          <w:b/>
          <w:bCs/>
          <w:i/>
          <w:iCs/>
          <w:u w:val="single"/>
        </w:rPr>
      </w:pPr>
      <w:r w:rsidRPr="00A847B7">
        <w:rPr>
          <w:b/>
          <w:bCs/>
          <w:i/>
          <w:iCs/>
          <w:u w:val="single"/>
        </w:rPr>
        <w:t>Modalités de fonctionnement du groupe TVA</w:t>
      </w:r>
    </w:p>
    <w:p w14:paraId="19FB36B8" w14:textId="77777777" w:rsidR="009C5B8B" w:rsidRPr="00A847B7" w:rsidRDefault="009C5B8B" w:rsidP="009C5B8B">
      <w:r w:rsidRPr="00A847B7">
        <w:t>Tout d’abord, il faut préciser que l’entrée ou la sortie d’un membre constitue le transfert d’une universalité totale, ce qui signifie que les opérations réalisées à cette occasion seront dispensées de TVA. Toute personne ou groupement membre du groupe TVA constituera un secteur distinct d’activité de l’assujetti unique.</w:t>
      </w:r>
    </w:p>
    <w:p w14:paraId="556EE55E" w14:textId="77777777" w:rsidR="009C5B8B" w:rsidRPr="00A847B7" w:rsidRDefault="009C5B8B" w:rsidP="009C5B8B">
      <w:r w:rsidRPr="00A847B7">
        <w:t>L’assujetti unique recevra un numéro individuel d’identification à la TVA.</w:t>
      </w:r>
    </w:p>
    <w:p w14:paraId="1A622DA7" w14:textId="77777777" w:rsidR="009C5B8B" w:rsidRPr="00A847B7" w:rsidRDefault="009C5B8B" w:rsidP="009C5B8B">
      <w:r w:rsidRPr="00A847B7">
        <w:t>Les membres de l’assujetti unique désignent parmi eux un représentant qui s’engage à accomplir les obligations déclaratives, ainsi que toute formalité en matière de TVA incombant à l’assujetti unique et, en cas d’opérations imposables, à acquitter la taxe en son nom, ainsi qu’à obtenir le remboursement de crédit de TVA.</w:t>
      </w:r>
    </w:p>
    <w:p w14:paraId="437E25BA" w14:textId="77777777" w:rsidR="009C5B8B" w:rsidRPr="00A847B7" w:rsidRDefault="009C5B8B" w:rsidP="009C5B8B">
      <w:r w:rsidRPr="00A847B7">
        <w:t>Concrètement, l’assujetti unique souscrira les déclarations mensuelles de TVA au titre de toutes les opérations réalisées par l’ensemble de ses membres avec des tiers et acquittera la taxe correspondante. En présence d’un crédit de TVA, il lui sera définitivement acquis.</w:t>
      </w:r>
    </w:p>
    <w:p w14:paraId="597A240A" w14:textId="37EA2242" w:rsidR="009C5B8B" w:rsidRPr="00A847B7" w:rsidRDefault="009C5B8B" w:rsidP="009C5B8B">
      <w:r w:rsidRPr="00A847B7">
        <w:t>Chaque membre de l’assujetti unique reste tenu solidairement au paiement de la TVA et, le cas échéant, des intérêts de retard, majorations et amendes fiscales correspondants dont l’assujetti unique est redevable, à hauteur des droits et pénalités dont il serait redevable s’il n’était pas membre de l’assujetti unique.</w:t>
      </w:r>
    </w:p>
    <w:p w14:paraId="3DC57ACF" w14:textId="77777777" w:rsidR="009C5B8B" w:rsidRPr="00A847B7" w:rsidRDefault="009C5B8B" w:rsidP="009C5B8B">
      <w:r w:rsidRPr="00A847B7">
        <w:t>Les opérations réalisées entre les membres du groupe TVA seront neutralisées : il s’agira d’opérations internes sans incidence pour l’application de la TVA.</w:t>
      </w:r>
    </w:p>
    <w:p w14:paraId="5C05359C" w14:textId="77777777" w:rsidR="009C5B8B" w:rsidRPr="00A847B7" w:rsidRDefault="009C5B8B" w:rsidP="00EE0687">
      <w:pPr>
        <w:pStyle w:val="Paragraphedeliste"/>
        <w:numPr>
          <w:ilvl w:val="0"/>
          <w:numId w:val="141"/>
        </w:numPr>
        <w:rPr>
          <w:b/>
          <w:bCs/>
          <w:i/>
          <w:iCs/>
          <w:u w:val="single"/>
        </w:rPr>
      </w:pPr>
      <w:r w:rsidRPr="00A847B7">
        <w:rPr>
          <w:b/>
          <w:bCs/>
          <w:i/>
          <w:iCs/>
          <w:u w:val="single"/>
        </w:rPr>
        <w:t>Modalités de contrôle du groupe TVA</w:t>
      </w:r>
    </w:p>
    <w:p w14:paraId="4EE6766A" w14:textId="1E6554E6" w:rsidR="009C5B8B" w:rsidRPr="00A847B7" w:rsidRDefault="009C5B8B" w:rsidP="009C5B8B">
      <w:r w:rsidRPr="00A847B7">
        <w:t xml:space="preserve">A l’instar de ce qui existe déjà pour l’application du régime de l’intégration fiscale, les membres du groupe TVA pourront être contrôlés, en matière de TVA, comme s’ils n’étaient pas membres de l’assujetti unique (sauf pour les livraisons et prestations à un autre membre de cet assujetti unique. Les conséquences financières seront, le cas échéant, alors notifiées au membre concerné. Le représentant de l’assujetti unique supporte le montant des rappels de TVA résultant des procédures de rectification suivies à l’égard des membres de cet assujetti unique, ainsi que </w:t>
      </w:r>
      <w:r w:rsidR="00A14C3C">
        <w:t>l</w:t>
      </w:r>
      <w:r w:rsidRPr="00A847B7">
        <w:t>es intérêts de retard et pénalités correspondants.</w:t>
      </w:r>
    </w:p>
    <w:p w14:paraId="7A59AB0D" w14:textId="77777777" w:rsidR="009C5B8B" w:rsidRPr="00A847B7" w:rsidRDefault="009C5B8B" w:rsidP="009C5B8B">
      <w:r w:rsidRPr="00A847B7">
        <w:t>Lorsque le représentant d’un assujetti est amené à supporter le montant des rappels de taxe sur la valeur ajoutée résultant des procédures de rectification suivies à l’égard des membres de cet assujetti unique, ainsi que des intérêts de retard et pénalités correspondants, l’administration adresse à ce représentant, préalablement à la mise en recouvrement des sommes correspondantes, un document l’informant du montant global des droits, intérêts de retard et pénalités dont il est redevable.</w:t>
      </w:r>
    </w:p>
    <w:p w14:paraId="5D041D2A" w14:textId="77777777" w:rsidR="009C5B8B" w:rsidRPr="00451DD1" w:rsidRDefault="009C5B8B" w:rsidP="009C5B8B">
      <w:r w:rsidRPr="00A847B7">
        <w:t>En cas de demande de remboursement de crédit de TVA présentée par le représentant de l’assujetti unique nécessitant une procédure d’instruction sur place, l’avis d’instruction sur place est adressé au(x) membre(s) de l’assujetti unique dont les opérations ont concouru à la formation du crédit de TVA. Dans ce cas, le représentant est informé de l’engagement de la ou des procédures d’instruction sur place et les délais de 60 jours (à compter de la 1</w:t>
      </w:r>
      <w:r w:rsidRPr="00A847B7">
        <w:rPr>
          <w:vertAlign w:val="superscript"/>
        </w:rPr>
        <w:t>ère</w:t>
      </w:r>
      <w:r w:rsidRPr="00A847B7">
        <w:t xml:space="preserve"> intervention) et de 4 mois (à compter de la notification de l’avis d’instruction sur place) ne sont pas applicables.</w:t>
      </w:r>
    </w:p>
    <w:p w14:paraId="01DFAF73" w14:textId="77777777" w:rsidR="009C5B8B" w:rsidRDefault="009C5B8B" w:rsidP="009C5B8B"/>
    <w:p w14:paraId="42B5ABCA" w14:textId="0A76C024" w:rsidR="00DE3DBD" w:rsidRPr="00A847B7" w:rsidRDefault="00DE3DBD" w:rsidP="00DE3DBD">
      <w:pPr>
        <w:pStyle w:val="Titre3"/>
      </w:pPr>
      <w:bookmarkStart w:id="91" w:name="_Toc60781015"/>
      <w:r w:rsidRPr="00A847B7">
        <w:t xml:space="preserve">Slide </w:t>
      </w:r>
      <w:r w:rsidR="0078452E">
        <w:t>59</w:t>
      </w:r>
      <w:r w:rsidRPr="00A847B7">
        <w:t> : Offres complexes et offres composites</w:t>
      </w:r>
      <w:bookmarkEnd w:id="91"/>
    </w:p>
    <w:p w14:paraId="4E8C3887" w14:textId="7633F76E" w:rsidR="00DE3DBD" w:rsidRPr="00A847B7" w:rsidRDefault="00147770" w:rsidP="00DE3DBD">
      <w:r w:rsidRPr="004F587E">
        <w:rPr>
          <w:u w:val="single"/>
        </w:rPr>
        <w:t xml:space="preserve">Source </w:t>
      </w:r>
      <w:r w:rsidRPr="00A847B7">
        <w:t>:</w:t>
      </w:r>
      <w:r w:rsidR="00DE3DBD" w:rsidRPr="00A847B7">
        <w:t xml:space="preserve"> Loi de Finances pour </w:t>
      </w:r>
      <w:r w:rsidR="00DE3DBD" w:rsidRPr="00553EFC">
        <w:t xml:space="preserve">2021, </w:t>
      </w:r>
      <w:r w:rsidR="00DE3DBD" w:rsidRPr="005A54C4">
        <w:t xml:space="preserve">article </w:t>
      </w:r>
      <w:r w:rsidR="00575682" w:rsidRPr="00553EFC">
        <w:t>44</w:t>
      </w:r>
    </w:p>
    <w:p w14:paraId="74616C34" w14:textId="77777777" w:rsidR="00DE3DBD" w:rsidRPr="00A847B7" w:rsidRDefault="00DE3DBD" w:rsidP="00EE0687">
      <w:pPr>
        <w:pStyle w:val="Paragraphedeliste"/>
        <w:numPr>
          <w:ilvl w:val="0"/>
          <w:numId w:val="99"/>
        </w:numPr>
        <w:spacing w:beforeAutospacing="1" w:after="100" w:afterAutospacing="1"/>
        <w:rPr>
          <w:rFonts w:cstheme="minorHAnsi"/>
          <w:b/>
          <w:bCs/>
          <w:i/>
          <w:iCs/>
          <w:u w:val="single"/>
        </w:rPr>
      </w:pPr>
      <w:r w:rsidRPr="00A847B7">
        <w:rPr>
          <w:rFonts w:cstheme="minorHAnsi"/>
          <w:b/>
          <w:bCs/>
          <w:i/>
          <w:iCs/>
          <w:u w:val="single"/>
        </w:rPr>
        <w:lastRenderedPageBreak/>
        <w:t>Offres complexes et TVA</w:t>
      </w:r>
    </w:p>
    <w:p w14:paraId="58810CF0" w14:textId="77777777" w:rsidR="00DE3DBD" w:rsidRPr="00A847B7" w:rsidRDefault="00DE3DBD" w:rsidP="00DE3DBD">
      <w:pPr>
        <w:spacing w:beforeAutospacing="1" w:after="100" w:afterAutospacing="1"/>
        <w:rPr>
          <w:rFonts w:cstheme="minorHAnsi"/>
        </w:rPr>
      </w:pPr>
      <w:r w:rsidRPr="00A847B7">
        <w:rPr>
          <w:rFonts w:cstheme="minorHAnsi"/>
        </w:rPr>
        <w:t>La Loi de Finances entend légaliser un principe jurisprudentiel dégagé par le Cour de Justice de l’Union Européenne (CJUE), laquelle a défini les critères permettant de savoir si une opération dite complexe, c’est-à-dire comportant plusieurs prestations, s’apparente à une prestation unique ou à plusieurs opérations distinctes pour l’application de la TVA.</w:t>
      </w:r>
    </w:p>
    <w:p w14:paraId="69DA2B60" w14:textId="77777777" w:rsidR="00DE3DBD" w:rsidRPr="00A847B7" w:rsidRDefault="00DE3DBD" w:rsidP="00DE3DBD">
      <w:r w:rsidRPr="00A847B7">
        <w:t>Par principe, chaque opération imposable à la TVA est considérée comme étant distincte et indépendante et doit donc suivre son régime propre. Mais cette notion de prestation unique peut correspondre à des situations différentes :</w:t>
      </w:r>
    </w:p>
    <w:p w14:paraId="71BEFA0F" w14:textId="77777777" w:rsidR="00DE3DBD" w:rsidRPr="00A847B7" w:rsidRDefault="00DE3DBD" w:rsidP="00EE0687">
      <w:pPr>
        <w:pStyle w:val="Paragraphedeliste"/>
        <w:numPr>
          <w:ilvl w:val="0"/>
          <w:numId w:val="98"/>
        </w:numPr>
      </w:pPr>
      <w:r w:rsidRPr="00A847B7">
        <w:t>il s’agit effectivement d’une seule et unique prestation ;</w:t>
      </w:r>
    </w:p>
    <w:p w14:paraId="468BF8C6" w14:textId="77777777" w:rsidR="00DE3DBD" w:rsidRPr="00A847B7" w:rsidRDefault="00DE3DBD" w:rsidP="00EE0687">
      <w:pPr>
        <w:pStyle w:val="Paragraphedeliste"/>
        <w:numPr>
          <w:ilvl w:val="0"/>
          <w:numId w:val="98"/>
        </w:numPr>
        <w:rPr>
          <w:rStyle w:val="txt"/>
        </w:rPr>
      </w:pPr>
      <w:r w:rsidRPr="00A847B7">
        <w:t xml:space="preserve">il s’agit d’une prestation qui comportent </w:t>
      </w:r>
      <w:r w:rsidRPr="00A847B7">
        <w:rPr>
          <w:rStyle w:val="txt"/>
        </w:rPr>
        <w:t>deux ou plusieurs éléments fournis si étroitement liés qu'ils forment objectivement une seule prestation économique indissociable (dont la décomposition revêtirait d’ailleurs un caractère artificiel) ou d’une importance équivalente et donc tous indispensables pour la réalisation de la prestation en cause ;</w:t>
      </w:r>
    </w:p>
    <w:p w14:paraId="02D3B05B" w14:textId="77777777" w:rsidR="00DE3DBD" w:rsidRPr="00A847B7" w:rsidRDefault="00DE3DBD" w:rsidP="00EE0687">
      <w:pPr>
        <w:pStyle w:val="Paragraphedeliste"/>
        <w:numPr>
          <w:ilvl w:val="0"/>
          <w:numId w:val="98"/>
        </w:numPr>
      </w:pPr>
      <w:r w:rsidRPr="00A847B7">
        <w:rPr>
          <w:rStyle w:val="txt"/>
        </w:rPr>
        <w:t>il s’agit d’une prestation qui comporte un ou plusieurs éléments qui constituent la prestation principale et d’autres qui sont accessoires.</w:t>
      </w:r>
    </w:p>
    <w:p w14:paraId="0E21402B" w14:textId="77777777" w:rsidR="00DE3DBD" w:rsidRPr="00A847B7" w:rsidRDefault="00DE3DBD" w:rsidP="00DE3DBD">
      <w:r w:rsidRPr="00A847B7">
        <w:t>Pour apprécier si l’on est face à une opération unique ou à plusieurs prestations distinctes, il faut tenir compte de l’importance qualitative et quantitative des différents éléments en cause ainsi que de l’ensemble des circonstances dans lesquelles l’opération se déroule.</w:t>
      </w:r>
    </w:p>
    <w:p w14:paraId="2CA77270" w14:textId="7D151DB4" w:rsidR="00DE3DBD" w:rsidRPr="00A847B7" w:rsidRDefault="00DE3DBD" w:rsidP="00DE3DBD">
      <w:r w:rsidRPr="00A847B7">
        <w:t>La détermination du taux de TVA applicable à un opération unique se fera selon les modalités suivantes</w:t>
      </w:r>
      <w:r w:rsidR="006222FA">
        <w:t> :</w:t>
      </w:r>
    </w:p>
    <w:p w14:paraId="2EDE01BD" w14:textId="62543F74" w:rsidR="00DE3DBD" w:rsidRPr="00A847B7" w:rsidRDefault="002479A9" w:rsidP="00EE0687">
      <w:pPr>
        <w:pStyle w:val="Paragraphedeliste"/>
        <w:numPr>
          <w:ilvl w:val="0"/>
          <w:numId w:val="302"/>
        </w:numPr>
      </w:pPr>
      <w:r>
        <w:t>e</w:t>
      </w:r>
      <w:r w:rsidR="00DE3DBD" w:rsidRPr="00A847B7">
        <w:t>n présence d’une opération unique, le taux de TVA applicable est celui qui est fixé par la réglementation pour cette opération.</w:t>
      </w:r>
    </w:p>
    <w:p w14:paraId="15F57B57" w14:textId="55133E39" w:rsidR="00DE3DBD" w:rsidRPr="00A847B7" w:rsidRDefault="002479A9" w:rsidP="00EE0687">
      <w:pPr>
        <w:pStyle w:val="Paragraphedeliste"/>
        <w:numPr>
          <w:ilvl w:val="0"/>
          <w:numId w:val="302"/>
        </w:numPr>
      </w:pPr>
      <w:r>
        <w:t>e</w:t>
      </w:r>
      <w:r w:rsidRPr="00A847B7">
        <w:t xml:space="preserve">n </w:t>
      </w:r>
      <w:r w:rsidR="00DE3DBD" w:rsidRPr="00A847B7">
        <w:t>présence d’une opération unique dite « complexe » impliquant différentes prestations ou différents éléments, considérés comme équivalents, relevant de taux différents, le taux applicable à l’opération sera le taux le plus élevé parmi les taux applicables aux différents éléments (</w:t>
      </w:r>
      <w:r w:rsidR="00DE3DBD" w:rsidRPr="00A847B7">
        <w:rPr>
          <w:rStyle w:val="modif"/>
        </w:rPr>
        <w:t>ce taux n'étant pas nécessairement le taux normal)</w:t>
      </w:r>
      <w:r w:rsidR="00DE3DBD" w:rsidRPr="00A847B7">
        <w:t>.</w:t>
      </w:r>
    </w:p>
    <w:p w14:paraId="05897D9E" w14:textId="5E46FEED" w:rsidR="00DE3DBD" w:rsidRDefault="00DE3DBD" w:rsidP="00DE3DBD">
      <w:pPr>
        <w:rPr>
          <w:rFonts w:eastAsia="Times New Roman"/>
          <w:lang w:eastAsia="fr-FR"/>
        </w:rPr>
      </w:pPr>
      <w:r w:rsidRPr="00A847B7">
        <w:rPr>
          <w:rFonts w:eastAsia="Times New Roman"/>
          <w:lang w:eastAsia="fr-FR"/>
        </w:rPr>
        <w:t>Lorsqu'une opération unique comprend des éléments dont certains sont principaux et d'autres accessoires</w:t>
      </w:r>
      <w:r w:rsidRPr="00A847B7">
        <w:rPr>
          <w:rFonts w:eastAsia="Times New Roman"/>
          <w:b/>
          <w:bCs/>
          <w:lang w:eastAsia="fr-FR"/>
        </w:rPr>
        <w:t>,</w:t>
      </w:r>
      <w:r w:rsidRPr="00A847B7">
        <w:rPr>
          <w:rFonts w:eastAsia="Times New Roman"/>
          <w:lang w:eastAsia="fr-FR"/>
        </w:rPr>
        <w:t xml:space="preserve"> le taux applicable à l'opération sera celui de l'élément principal. Mais, par dérogation, lorsque l'élément principal relève du taux particulier de 2,1 %, il se verra appliquer ce taux particulier ; et l'application du taux particulier de 2,1 % à l'élément principal de l'opération ne s'étendra pas aux éléments accessoires de celle-ci.</w:t>
      </w:r>
    </w:p>
    <w:p w14:paraId="191A1859" w14:textId="5B639D78" w:rsidR="002B61AE" w:rsidRPr="00A847B7" w:rsidRDefault="002B61AE" w:rsidP="00DE3DBD">
      <w:pPr>
        <w:rPr>
          <w:rFonts w:eastAsia="Times New Roman"/>
          <w:lang w:eastAsia="fr-FR"/>
        </w:rPr>
      </w:pPr>
      <w:r>
        <w:rPr>
          <w:rFonts w:eastAsia="Times New Roman"/>
          <w:lang w:eastAsia="fr-FR"/>
        </w:rPr>
        <w:t>Notez que les règles applicables aux prestations uniques des agences de voyage</w:t>
      </w:r>
      <w:r w:rsidR="00027CC9">
        <w:rPr>
          <w:rFonts w:eastAsia="Times New Roman"/>
          <w:lang w:eastAsia="fr-FR"/>
        </w:rPr>
        <w:t xml:space="preserve"> sont, quant à elles, inchangées. </w:t>
      </w:r>
    </w:p>
    <w:p w14:paraId="06A4D50B" w14:textId="77777777" w:rsidR="00DE3DBD" w:rsidRPr="00A847B7" w:rsidRDefault="00DE3DBD" w:rsidP="00EE0687">
      <w:pPr>
        <w:pStyle w:val="Paragraphedeliste"/>
        <w:numPr>
          <w:ilvl w:val="0"/>
          <w:numId w:val="100"/>
        </w:numPr>
        <w:rPr>
          <w:rFonts w:eastAsia="Times New Roman"/>
          <w:b/>
          <w:bCs/>
          <w:i/>
          <w:iCs/>
          <w:u w:val="single"/>
          <w:lang w:eastAsia="fr-FR"/>
        </w:rPr>
      </w:pPr>
      <w:r w:rsidRPr="00A847B7">
        <w:rPr>
          <w:rFonts w:eastAsia="Times New Roman"/>
          <w:b/>
          <w:bCs/>
          <w:i/>
          <w:iCs/>
          <w:u w:val="single"/>
          <w:lang w:eastAsia="fr-FR"/>
        </w:rPr>
        <w:t>Offres composites et TVA</w:t>
      </w:r>
    </w:p>
    <w:p w14:paraId="7C8DB4C6" w14:textId="77777777" w:rsidR="00DE3DBD" w:rsidRPr="00A847B7" w:rsidRDefault="00DE3DBD" w:rsidP="00DE3DBD">
      <w:pPr>
        <w:rPr>
          <w:rStyle w:val="modif"/>
        </w:rPr>
      </w:pPr>
      <w:r w:rsidRPr="00A847B7">
        <w:t xml:space="preserve">Les offres composites sont définies comme </w:t>
      </w:r>
      <w:r w:rsidRPr="00A847B7">
        <w:rPr>
          <w:rStyle w:val="modif"/>
        </w:rPr>
        <w:t>des offres d'abonnement comprenant plusieurs services, dont au moins un service de télécommunication, de radiodiffusion ou de télévision ou un service électronique, qui sont fournies en contrepartie d'un prix forfaitaire et constituées de plusieurs opérations imposables à la TVA.</w:t>
      </w:r>
    </w:p>
    <w:p w14:paraId="635D0F75" w14:textId="77777777" w:rsidR="00DE3DBD" w:rsidRPr="00A847B7" w:rsidRDefault="00DE3DBD" w:rsidP="00DE3DBD">
      <w:r w:rsidRPr="00A847B7">
        <w:rPr>
          <w:rStyle w:val="modif"/>
        </w:rPr>
        <w:t>La Loi de Finances pour 2021 revient sur la détermination de la base de calcul de la TVA propre aux offres composites.</w:t>
      </w:r>
    </w:p>
    <w:p w14:paraId="0426DB57" w14:textId="7E835DDE" w:rsidR="00DE3DBD" w:rsidRPr="00A847B7" w:rsidRDefault="00DE3DBD" w:rsidP="00DE3DBD">
      <w:pPr>
        <w:spacing w:beforeAutospacing="1" w:after="100" w:afterAutospacing="1"/>
        <w:rPr>
          <w:rFonts w:cstheme="minorHAnsi"/>
        </w:rPr>
      </w:pPr>
      <w:r w:rsidRPr="00A847B7">
        <w:rPr>
          <w:rStyle w:val="txt"/>
        </w:rPr>
        <w:t>Ainsi, la détermination de la base d'imposition d'une opération comprise dans une telle offre, lorsqu'il existe une offre identique commercialisée par le fournisseur dans des conditions comparables</w:t>
      </w:r>
      <w:r w:rsidR="009323EC">
        <w:rPr>
          <w:rStyle w:val="txt"/>
        </w:rPr>
        <w:t>,</w:t>
      </w:r>
      <w:r w:rsidRPr="00A847B7">
        <w:rPr>
          <w:rStyle w:val="txt"/>
        </w:rPr>
        <w:t xml:space="preserve"> mais ne comprenant pas tous les services proposés dans ladite offre, sera constituée par la différence entre le prix de l'offre forfaitaire et le prix de l'offre identique.</w:t>
      </w:r>
    </w:p>
    <w:p w14:paraId="7F5F6E6D" w14:textId="7595A3A8" w:rsidR="00EC58E9" w:rsidRPr="00A847B7" w:rsidRDefault="00EC58E9" w:rsidP="00EC58E9">
      <w:pPr>
        <w:spacing w:beforeAutospacing="1" w:after="100" w:afterAutospacing="1"/>
        <w:rPr>
          <w:rFonts w:cstheme="minorHAnsi"/>
        </w:rPr>
      </w:pPr>
    </w:p>
    <w:p w14:paraId="3D2C66E7" w14:textId="07CC8D49" w:rsidR="000C13E6" w:rsidRPr="00A847B7" w:rsidRDefault="000C13E6" w:rsidP="000C13E6">
      <w:pPr>
        <w:pStyle w:val="Titre3"/>
      </w:pPr>
      <w:bookmarkStart w:id="92" w:name="_Toc60781016"/>
      <w:r w:rsidRPr="00A847B7">
        <w:t xml:space="preserve">Slide </w:t>
      </w:r>
      <w:r w:rsidR="00A51B03">
        <w:t>60</w:t>
      </w:r>
      <w:r w:rsidRPr="00A847B7">
        <w:t> : Facturation électronique</w:t>
      </w:r>
      <w:bookmarkEnd w:id="92"/>
    </w:p>
    <w:p w14:paraId="6B746FBA" w14:textId="341CDA01" w:rsidR="000C13E6" w:rsidRPr="00A847B7" w:rsidRDefault="00147770" w:rsidP="000C13E6">
      <w:r w:rsidRPr="004F587E">
        <w:rPr>
          <w:u w:val="single"/>
        </w:rPr>
        <w:t xml:space="preserve">Source </w:t>
      </w:r>
      <w:r w:rsidRPr="00A847B7">
        <w:t>:</w:t>
      </w:r>
      <w:r w:rsidR="00DA1CA4" w:rsidRPr="00A847B7">
        <w:t xml:space="preserve"> Loi de Finances pour 2021, </w:t>
      </w:r>
      <w:r w:rsidR="00DA1CA4" w:rsidRPr="00AE6DC6">
        <w:t xml:space="preserve">article </w:t>
      </w:r>
      <w:r w:rsidR="00F16C1C" w:rsidRPr="00F16C1C">
        <w:t>195</w:t>
      </w:r>
    </w:p>
    <w:p w14:paraId="2CE801CD" w14:textId="78D163C7" w:rsidR="00103364" w:rsidRPr="00A847B7" w:rsidRDefault="0085510F" w:rsidP="0085510F">
      <w:pPr>
        <w:spacing w:beforeAutospacing="1" w:after="100" w:afterAutospacing="1"/>
        <w:rPr>
          <w:rFonts w:cstheme="minorHAnsi"/>
        </w:rPr>
      </w:pPr>
      <w:r w:rsidRPr="00A847B7">
        <w:rPr>
          <w:rFonts w:cstheme="minorHAnsi"/>
        </w:rPr>
        <w:t xml:space="preserve">La Loi de Finances pour 2021 autorise le Gouvernement </w:t>
      </w:r>
      <w:r w:rsidR="00103364" w:rsidRPr="00A847B7">
        <w:t xml:space="preserve">à prendre par voie d’ordonnance toute mesure </w:t>
      </w:r>
      <w:r w:rsidRPr="00A847B7">
        <w:t>visant</w:t>
      </w:r>
      <w:r w:rsidR="00103364" w:rsidRPr="00A847B7">
        <w:t xml:space="preserve"> à </w:t>
      </w:r>
      <w:r w:rsidRPr="00A847B7">
        <w:t xml:space="preserve">améliorer et moderniser </w:t>
      </w:r>
      <w:r w:rsidR="00103364" w:rsidRPr="00A847B7">
        <w:t xml:space="preserve">la gestion par les entreprises de la </w:t>
      </w:r>
      <w:r w:rsidR="0087649F">
        <w:t>TVA,</w:t>
      </w:r>
      <w:r w:rsidR="00103364" w:rsidRPr="00A847B7">
        <w:t xml:space="preserve"> ainsi que la collecte et </w:t>
      </w:r>
      <w:r w:rsidR="0087649F">
        <w:t>le</w:t>
      </w:r>
      <w:r w:rsidR="00103364" w:rsidRPr="00A847B7">
        <w:t xml:space="preserve"> contrôle par l’administration en </w:t>
      </w:r>
      <w:r w:rsidR="0087649F">
        <w:t>:</w:t>
      </w:r>
    </w:p>
    <w:p w14:paraId="3B3F6495" w14:textId="2C051274" w:rsidR="00103364" w:rsidRPr="00A847B7" w:rsidRDefault="009554D4" w:rsidP="00EE0687">
      <w:pPr>
        <w:pStyle w:val="Paragraphedeliste"/>
        <w:numPr>
          <w:ilvl w:val="0"/>
          <w:numId w:val="160"/>
        </w:numPr>
        <w:spacing w:beforeAutospacing="1" w:after="100" w:afterAutospacing="1"/>
      </w:pPr>
      <w:r w:rsidRPr="00A847B7">
        <w:t>g</w:t>
      </w:r>
      <w:r w:rsidR="00FE6207" w:rsidRPr="00A847B7">
        <w:t>énéralisant le recours à la facturation électronique et modifiant les conditions et les modalités de ce recours</w:t>
      </w:r>
      <w:r w:rsidRPr="00A847B7">
        <w:t> ;</w:t>
      </w:r>
    </w:p>
    <w:p w14:paraId="2C5E0B27" w14:textId="6C19A487" w:rsidR="00FE6207" w:rsidRPr="00A847B7" w:rsidRDefault="009554D4" w:rsidP="00EE0687">
      <w:pPr>
        <w:pStyle w:val="Paragraphedeliste"/>
        <w:numPr>
          <w:ilvl w:val="0"/>
          <w:numId w:val="160"/>
        </w:numPr>
        <w:spacing w:beforeAutospacing="1" w:after="100" w:afterAutospacing="1"/>
      </w:pPr>
      <w:r w:rsidRPr="00A847B7">
        <w:t>i</w:t>
      </w:r>
      <w:r w:rsidR="00FE6207" w:rsidRPr="00A847B7">
        <w:t xml:space="preserve">nstituant une obligation de transmission dématérialisée à l’administration d’informations relatives aux opérations réalisées par des assujettis à la </w:t>
      </w:r>
      <w:r w:rsidRPr="00A847B7">
        <w:t>TVA</w:t>
      </w:r>
      <w:r w:rsidR="00FE6207" w:rsidRPr="00A847B7">
        <w:t xml:space="preserve"> qui ne sont pas issues des factures électroniques, soit qu’elles sont complémentaires de celles qui en sont issues, soit qu’elles se rapportent à des opérations ne faisant pas l’objet d’une facturation électronique ou n’étant pas soumises à l’obligation de facturation pour les besoins de la taxe sur la valeur ajoutée.</w:t>
      </w:r>
    </w:p>
    <w:p w14:paraId="4E2A386E" w14:textId="26213ECC" w:rsidR="0085510F" w:rsidRPr="00A847B7" w:rsidRDefault="0085510F" w:rsidP="000C13E6">
      <w:pPr>
        <w:spacing w:beforeAutospacing="1" w:after="100" w:afterAutospacing="1"/>
      </w:pPr>
      <w:r w:rsidRPr="00AE6DC6">
        <w:t xml:space="preserve">L’ordonnance </w:t>
      </w:r>
      <w:r w:rsidR="00E42FF6" w:rsidRPr="00AE6DC6">
        <w:t>doit être</w:t>
      </w:r>
      <w:r w:rsidRPr="00AE6DC6">
        <w:t xml:space="preserve"> prise dans un délai de neuf</w:t>
      </w:r>
      <w:r w:rsidR="0082741F" w:rsidRPr="00AE6DC6">
        <w:t xml:space="preserve"> </w:t>
      </w:r>
      <w:r w:rsidRPr="00AE6DC6">
        <w:t xml:space="preserve">mois à compter de la promulgation de la </w:t>
      </w:r>
      <w:r w:rsidR="00E42FF6" w:rsidRPr="00AE6DC6">
        <w:t>L</w:t>
      </w:r>
      <w:r w:rsidRPr="00AE6DC6">
        <w:t>oi</w:t>
      </w:r>
      <w:r w:rsidR="00E42FF6" w:rsidRPr="00AE6DC6">
        <w:t xml:space="preserve"> de Finances pour 2021</w:t>
      </w:r>
      <w:r w:rsidRPr="00AE6DC6">
        <w:t>.</w:t>
      </w:r>
      <w:r w:rsidRPr="00A847B7">
        <w:t xml:space="preserve"> </w:t>
      </w:r>
    </w:p>
    <w:p w14:paraId="4DE34C7B" w14:textId="7C70FAFD" w:rsidR="00E42FF6" w:rsidRPr="00A847B7" w:rsidRDefault="00E42FF6" w:rsidP="000C13E6">
      <w:pPr>
        <w:spacing w:beforeAutospacing="1" w:after="100" w:afterAutospacing="1"/>
      </w:pPr>
      <w:r w:rsidRPr="00A847B7">
        <w:t xml:space="preserve">Le recours à la facturation </w:t>
      </w:r>
      <w:r w:rsidR="008B4BF4" w:rsidRPr="00A847B7">
        <w:t>électronique</w:t>
      </w:r>
      <w:r w:rsidRPr="00A847B7">
        <w:t xml:space="preserve"> </w:t>
      </w:r>
      <w:r w:rsidR="009029FA" w:rsidRPr="00A847B7">
        <w:t xml:space="preserve">doit être mis en place </w:t>
      </w:r>
      <w:r w:rsidR="008B4BF4" w:rsidRPr="00A847B7">
        <w:t>progressivement</w:t>
      </w:r>
      <w:r w:rsidR="009029FA" w:rsidRPr="00A847B7">
        <w:t> :</w:t>
      </w:r>
    </w:p>
    <w:p w14:paraId="441E878B" w14:textId="74178703" w:rsidR="009029FA" w:rsidRPr="00A847B7" w:rsidRDefault="008B4BF4" w:rsidP="00EE0687">
      <w:pPr>
        <w:pStyle w:val="Paragraphedeliste"/>
        <w:numPr>
          <w:ilvl w:val="0"/>
          <w:numId w:val="161"/>
        </w:numPr>
        <w:spacing w:beforeAutospacing="1" w:after="100" w:afterAutospacing="1"/>
      </w:pPr>
      <w:r w:rsidRPr="00A847B7">
        <w:t>e</w:t>
      </w:r>
      <w:r w:rsidR="009029FA" w:rsidRPr="00A847B7">
        <w:t xml:space="preserve">n 2023, les </w:t>
      </w:r>
      <w:r w:rsidRPr="00A847B7">
        <w:t>entreprises auront l’obligation d’accepter la réception d</w:t>
      </w:r>
      <w:r w:rsidR="00C61FE3" w:rsidRPr="00A847B7">
        <w:t>e</w:t>
      </w:r>
      <w:r w:rsidRPr="00A847B7">
        <w:t xml:space="preserve"> factures électroniques ;</w:t>
      </w:r>
    </w:p>
    <w:p w14:paraId="2976A0D4" w14:textId="07AD3C3D" w:rsidR="008B4BF4" w:rsidRPr="00A847B7" w:rsidRDefault="008B4BF4" w:rsidP="00EE0687">
      <w:pPr>
        <w:pStyle w:val="Paragraphedeliste"/>
        <w:numPr>
          <w:ilvl w:val="0"/>
          <w:numId w:val="161"/>
        </w:numPr>
        <w:spacing w:beforeAutospacing="1" w:after="100" w:afterAutospacing="1"/>
      </w:pPr>
      <w:r w:rsidRPr="00A847B7">
        <w:t>entre 2023 et 2025, selon leur taille, les entreprises auront l’obligation d’émettre des factures électroniques</w:t>
      </w:r>
      <w:r w:rsidR="002C0003">
        <w:t xml:space="preserve"> (2023 pour les grandes entreprises, 2024 pour les entreprises de taille intermédiaire, 2025 pour les PME et les TPE)</w:t>
      </w:r>
      <w:r w:rsidRPr="00A847B7">
        <w:t>.</w:t>
      </w:r>
    </w:p>
    <w:p w14:paraId="76721E1A" w14:textId="77777777" w:rsidR="00E42FF6" w:rsidRPr="00A847B7" w:rsidRDefault="00E42FF6" w:rsidP="000C13E6">
      <w:pPr>
        <w:spacing w:beforeAutospacing="1" w:after="100" w:afterAutospacing="1"/>
        <w:rPr>
          <w:rFonts w:cstheme="minorHAnsi"/>
        </w:rPr>
      </w:pPr>
    </w:p>
    <w:p w14:paraId="0278F6B8" w14:textId="29E7D451" w:rsidR="00BF40F3" w:rsidRPr="00A847B7" w:rsidRDefault="00BF40F3" w:rsidP="00BF40F3">
      <w:pPr>
        <w:pStyle w:val="Titre3"/>
      </w:pPr>
      <w:bookmarkStart w:id="93" w:name="_Toc60781017"/>
      <w:r w:rsidRPr="00A847B7">
        <w:t xml:space="preserve">Slide </w:t>
      </w:r>
      <w:r w:rsidR="00A824BA">
        <w:t>61</w:t>
      </w:r>
      <w:r w:rsidRPr="00A847B7">
        <w:t xml:space="preserve"> : </w:t>
      </w:r>
      <w:r w:rsidR="0020541A">
        <w:t>Mesures diverses</w:t>
      </w:r>
      <w:bookmarkEnd w:id="93"/>
    </w:p>
    <w:p w14:paraId="759DB0D4" w14:textId="26D150EC" w:rsidR="00BF40F3" w:rsidRPr="00A847B7" w:rsidRDefault="00147770" w:rsidP="00BF40F3">
      <w:r w:rsidRPr="004F587E">
        <w:rPr>
          <w:u w:val="single"/>
        </w:rPr>
        <w:t xml:space="preserve">Source </w:t>
      </w:r>
      <w:r w:rsidRPr="00A847B7">
        <w:t>:</w:t>
      </w:r>
      <w:r w:rsidR="00BF40F3" w:rsidRPr="00A847B7">
        <w:t xml:space="preserve"> Loi de Finances pour 2021, </w:t>
      </w:r>
      <w:r w:rsidR="00BF40F3" w:rsidRPr="005A54C4">
        <w:t xml:space="preserve">article </w:t>
      </w:r>
      <w:r w:rsidR="00042A69" w:rsidRPr="00042A69">
        <w:t>44</w:t>
      </w:r>
    </w:p>
    <w:p w14:paraId="0B1C21DA" w14:textId="1BF0930F" w:rsidR="008B1AE4" w:rsidRPr="00F453F1" w:rsidRDefault="0020541A" w:rsidP="008B1AE4">
      <w:r>
        <w:t>La Loi de Fi</w:t>
      </w:r>
      <w:r w:rsidR="008B1AE4">
        <w:t>nances pour 2021 contient, s’agissant des règles applicables à la TVA, les mesures suivantes</w:t>
      </w:r>
      <w:r w:rsidR="00F453F1">
        <w:t xml:space="preserve">, </w:t>
      </w:r>
      <w:r w:rsidR="00F453F1" w:rsidRPr="00F453F1">
        <w:t xml:space="preserve">applicables aux opérations pour lesquelles l'exigibilité et le fait générateur interviennent à compter du </w:t>
      </w:r>
      <w:r w:rsidR="00F453F1" w:rsidRPr="00F453F1" w:rsidDel="002864A1">
        <w:t>1</w:t>
      </w:r>
      <w:proofErr w:type="gramStart"/>
      <w:r w:rsidR="00F453F1" w:rsidRPr="005A54C4" w:rsidDel="002864A1">
        <w:rPr>
          <w:vertAlign w:val="superscript"/>
        </w:rPr>
        <w:t>er</w:t>
      </w:r>
      <w:r w:rsidR="00F453F1" w:rsidRPr="00F453F1" w:rsidDel="002864A1">
        <w:t xml:space="preserve"> </w:t>
      </w:r>
      <w:r w:rsidR="002864A1" w:rsidRPr="00F453F1">
        <w:t xml:space="preserve"> </w:t>
      </w:r>
      <w:r w:rsidR="00F453F1" w:rsidRPr="00F453F1">
        <w:t>janvier</w:t>
      </w:r>
      <w:proofErr w:type="gramEnd"/>
      <w:r w:rsidR="00F453F1" w:rsidRPr="00F453F1">
        <w:t xml:space="preserve"> 2021</w:t>
      </w:r>
      <w:r w:rsidR="008B1AE4" w:rsidRPr="00F453F1">
        <w:t> :</w:t>
      </w:r>
    </w:p>
    <w:p w14:paraId="22C48BF2" w14:textId="1C2D94DB" w:rsidR="008B1AE4" w:rsidRDefault="00951AEE" w:rsidP="00EE0687">
      <w:pPr>
        <w:pStyle w:val="Paragraphedeliste"/>
        <w:numPr>
          <w:ilvl w:val="0"/>
          <w:numId w:val="194"/>
        </w:numPr>
      </w:pPr>
      <w:r>
        <w:t>l</w:t>
      </w:r>
      <w:r w:rsidR="00C33FB6">
        <w:t>es opérations d’achat, d’importation, d’acquisition intracommunautaire, de vente, de livraison, de commission, de courtage ou de façon sont désormais appelées</w:t>
      </w:r>
      <w:r w:rsidR="00F3271F">
        <w:t xml:space="preserve"> les </w:t>
      </w:r>
      <w:r w:rsidR="00C33FB6">
        <w:t>« livraisons</w:t>
      </w:r>
      <w:r w:rsidR="00F3271F">
        <w:t> » ;</w:t>
      </w:r>
    </w:p>
    <w:p w14:paraId="770D348A" w14:textId="628DF08A" w:rsidR="00F3271F" w:rsidRPr="00951AEE" w:rsidRDefault="00F3271F" w:rsidP="00EE0687">
      <w:pPr>
        <w:pStyle w:val="Paragraphedeliste"/>
        <w:numPr>
          <w:ilvl w:val="0"/>
          <w:numId w:val="194"/>
        </w:numPr>
        <w:rPr>
          <w:rFonts w:eastAsia="Times New Roman"/>
          <w:lang w:eastAsia="fr-FR"/>
        </w:rPr>
      </w:pPr>
      <w:r w:rsidRPr="00951AEE">
        <w:rPr>
          <w:rFonts w:eastAsia="Times New Roman"/>
          <w:lang w:eastAsia="fr-FR"/>
        </w:rPr>
        <w:t>les acquisitions intracommunautaires et les importations relèveraient du taux prévu pour les livraisons portant sur ces mêmes biens ;</w:t>
      </w:r>
    </w:p>
    <w:p w14:paraId="3DCC7013" w14:textId="38738BDA" w:rsidR="00F3271F" w:rsidRDefault="00F3271F" w:rsidP="00EE0687">
      <w:pPr>
        <w:pStyle w:val="Paragraphedeliste"/>
        <w:numPr>
          <w:ilvl w:val="0"/>
          <w:numId w:val="194"/>
        </w:numPr>
      </w:pPr>
      <w:r w:rsidRPr="00951AEE">
        <w:rPr>
          <w:rFonts w:eastAsia="Times New Roman"/>
          <w:lang w:eastAsia="fr-FR"/>
        </w:rPr>
        <w:t xml:space="preserve">s’agissant des prestations </w:t>
      </w:r>
      <w:r w:rsidR="00770A12" w:rsidRPr="00951AEE">
        <w:rPr>
          <w:rFonts w:eastAsia="Times New Roman"/>
          <w:lang w:eastAsia="fr-FR"/>
        </w:rPr>
        <w:t>de travail à façon, elles r</w:t>
      </w:r>
      <w:r w:rsidR="00770A12">
        <w:t>elèvent du taux prévu pour les livraisons portant sur le bien obtenu au moyen de ce travail à façon lorsque cette prestation porte sur des biens d’origine agricole, de la pêche, de la pisciculture ou de l’aviculture qui sont normalement destinés :</w:t>
      </w:r>
    </w:p>
    <w:p w14:paraId="1008F1D4" w14:textId="698C8747" w:rsidR="00770A12" w:rsidRPr="00FE644F" w:rsidRDefault="00FE644F" w:rsidP="00EE0687">
      <w:pPr>
        <w:pStyle w:val="Paragraphedeliste"/>
        <w:numPr>
          <w:ilvl w:val="0"/>
          <w:numId w:val="195"/>
        </w:numPr>
        <w:rPr>
          <w:rFonts w:eastAsia="Times New Roman"/>
          <w:lang w:eastAsia="fr-FR"/>
        </w:rPr>
      </w:pPr>
      <w:r>
        <w:t>à être utilisés dans la production agricole</w:t>
      </w:r>
      <w:r w:rsidR="0095311D">
        <w:t>,</w:t>
      </w:r>
    </w:p>
    <w:p w14:paraId="2FDA114A" w14:textId="357A6FC1" w:rsidR="00F3271F" w:rsidRDefault="00FE644F" w:rsidP="00EE0687">
      <w:pPr>
        <w:pStyle w:val="Paragraphedeliste"/>
        <w:numPr>
          <w:ilvl w:val="0"/>
          <w:numId w:val="195"/>
        </w:numPr>
      </w:pPr>
      <w:r>
        <w:t>à être utilisés dans la préparation de denrées alimentaires,</w:t>
      </w:r>
    </w:p>
    <w:p w14:paraId="13612A2B" w14:textId="17E0447D" w:rsidR="00FE644F" w:rsidRDefault="00FE644F" w:rsidP="00EE0687">
      <w:pPr>
        <w:pStyle w:val="Paragraphedeliste"/>
        <w:numPr>
          <w:ilvl w:val="0"/>
          <w:numId w:val="195"/>
        </w:numPr>
      </w:pPr>
      <w:r>
        <w:t>à être consommés en l’état par l’homme</w:t>
      </w:r>
      <w:r w:rsidR="00951AEE">
        <w:t>,</w:t>
      </w:r>
    </w:p>
    <w:p w14:paraId="6B8FF4FD" w14:textId="77777777" w:rsidR="000D1A57" w:rsidRPr="000D1A57" w:rsidRDefault="00F453F1" w:rsidP="00EE0687">
      <w:pPr>
        <w:pStyle w:val="Paragraphedeliste"/>
        <w:numPr>
          <w:ilvl w:val="0"/>
          <w:numId w:val="196"/>
        </w:numPr>
      </w:pPr>
      <w:r w:rsidRPr="00951AEE">
        <w:rPr>
          <w:rFonts w:eastAsia="Times New Roman"/>
          <w:lang w:eastAsia="fr-FR"/>
        </w:rPr>
        <w:t>les prestations de travail à façon portant sur d'autres produits sont soumises au taux normal</w:t>
      </w:r>
      <w:r w:rsidR="00951AEE">
        <w:rPr>
          <w:rFonts w:eastAsia="Times New Roman"/>
          <w:lang w:eastAsia="fr-FR"/>
        </w:rPr>
        <w:t> ;</w:t>
      </w:r>
    </w:p>
    <w:p w14:paraId="3A700092" w14:textId="3CBE4CAA" w:rsidR="00BF40F3" w:rsidRPr="000D1A57" w:rsidRDefault="00BF40F3" w:rsidP="00EE0687">
      <w:pPr>
        <w:pStyle w:val="Paragraphedeliste"/>
        <w:numPr>
          <w:ilvl w:val="0"/>
          <w:numId w:val="196"/>
        </w:numPr>
      </w:pPr>
      <w:r w:rsidRPr="000D1A57">
        <w:rPr>
          <w:rFonts w:eastAsia="Times New Roman"/>
          <w:lang w:eastAsia="fr-FR"/>
        </w:rPr>
        <w:lastRenderedPageBreak/>
        <w:t>à l'exception de celles portant sur les publications de presse, les opérations de commission et de courtage (</w:t>
      </w:r>
      <w:r w:rsidR="000D1A57" w:rsidRPr="000D1A57">
        <w:rPr>
          <w:rFonts w:eastAsia="Times New Roman"/>
          <w:lang w:eastAsia="fr-FR"/>
        </w:rPr>
        <w:t>ce que l’on nomme les « </w:t>
      </w:r>
      <w:r w:rsidRPr="000D1A57">
        <w:rPr>
          <w:rFonts w:eastAsia="Times New Roman"/>
          <w:lang w:eastAsia="fr-FR"/>
        </w:rPr>
        <w:t>services d'intermédiation</w:t>
      </w:r>
      <w:r w:rsidR="000D1A57" w:rsidRPr="000D1A57">
        <w:rPr>
          <w:rFonts w:eastAsia="Times New Roman"/>
          <w:lang w:eastAsia="fr-FR"/>
        </w:rPr>
        <w:t> </w:t>
      </w:r>
      <w:r w:rsidRPr="000D1A57">
        <w:rPr>
          <w:rFonts w:eastAsia="Times New Roman"/>
          <w:lang w:eastAsia="fr-FR"/>
        </w:rPr>
        <w:t xml:space="preserve">») portant sur des biens dont la livraison bénéficie d'un taux réduit </w:t>
      </w:r>
      <w:r w:rsidR="000D1A57" w:rsidRPr="000D1A57">
        <w:rPr>
          <w:rFonts w:eastAsia="Times New Roman"/>
          <w:lang w:eastAsia="fr-FR"/>
        </w:rPr>
        <w:t>relèveront désormais</w:t>
      </w:r>
      <w:r w:rsidRPr="000D1A57">
        <w:rPr>
          <w:rFonts w:eastAsia="Times New Roman"/>
          <w:lang w:eastAsia="fr-FR"/>
        </w:rPr>
        <w:t xml:space="preserve"> du taux normal.</w:t>
      </w:r>
    </w:p>
    <w:p w14:paraId="4BF02B16" w14:textId="77777777" w:rsidR="007A6BC9" w:rsidRPr="00A847B7" w:rsidRDefault="007A6BC9" w:rsidP="00EC58E9">
      <w:pPr>
        <w:spacing w:beforeAutospacing="1" w:after="100" w:afterAutospacing="1"/>
        <w:rPr>
          <w:rFonts w:cstheme="minorHAnsi"/>
        </w:rPr>
      </w:pPr>
    </w:p>
    <w:p w14:paraId="0B1C553F" w14:textId="5DB99D77" w:rsidR="00EC58E9" w:rsidRDefault="00EC58E9" w:rsidP="00EC58E9">
      <w:pPr>
        <w:rPr>
          <w:rFonts w:cstheme="minorHAnsi"/>
        </w:rPr>
      </w:pPr>
      <w:r w:rsidRPr="00A847B7">
        <w:rPr>
          <w:rFonts w:cstheme="minorHAnsi"/>
        </w:rPr>
        <w:br w:type="page"/>
      </w:r>
    </w:p>
    <w:p w14:paraId="34DAC6FB" w14:textId="77777777" w:rsidR="00147770" w:rsidRPr="00A847B7" w:rsidRDefault="00147770" w:rsidP="00EC58E9">
      <w:pPr>
        <w:rPr>
          <w:rFonts w:cstheme="minorHAnsi"/>
        </w:rPr>
      </w:pPr>
    </w:p>
    <w:p w14:paraId="222B934D" w14:textId="5D693C4D" w:rsidR="00563EC9" w:rsidRDefault="00563EC9" w:rsidP="00563EC9">
      <w:pPr>
        <w:pStyle w:val="Titre2"/>
      </w:pPr>
      <w:bookmarkStart w:id="94" w:name="_Toc30149292"/>
      <w:bookmarkStart w:id="95" w:name="_Toc60781018"/>
      <w:r w:rsidRPr="00A847B7">
        <w:t>Taxes diverses</w:t>
      </w:r>
      <w:bookmarkEnd w:id="94"/>
      <w:bookmarkEnd w:id="95"/>
    </w:p>
    <w:p w14:paraId="293B3DD3" w14:textId="77777777" w:rsidR="00147770" w:rsidRPr="00147770" w:rsidRDefault="00147770" w:rsidP="00147770"/>
    <w:p w14:paraId="59414D64" w14:textId="1D045016" w:rsidR="002C7029" w:rsidRPr="00A847B7" w:rsidRDefault="002C7029" w:rsidP="002C7029">
      <w:pPr>
        <w:pStyle w:val="Titre3"/>
      </w:pPr>
      <w:bookmarkStart w:id="96" w:name="_Toc60781019"/>
      <w:r w:rsidRPr="00A847B7">
        <w:t xml:space="preserve">Slide </w:t>
      </w:r>
      <w:r w:rsidR="00726D5A">
        <w:t>62</w:t>
      </w:r>
      <w:r w:rsidRPr="00A847B7">
        <w:t xml:space="preserve"> : </w:t>
      </w:r>
      <w:r w:rsidR="002071E1" w:rsidRPr="00A847B7">
        <w:t>Formation professionnelle et alternance</w:t>
      </w:r>
      <w:bookmarkEnd w:id="96"/>
    </w:p>
    <w:p w14:paraId="2D103032" w14:textId="1B540B19" w:rsidR="001B4D5A" w:rsidRPr="00A847B7" w:rsidRDefault="00147770" w:rsidP="00537722">
      <w:pPr>
        <w:rPr>
          <w:highlight w:val="yellow"/>
        </w:rPr>
      </w:pPr>
      <w:r w:rsidRPr="004F587E">
        <w:rPr>
          <w:u w:val="single"/>
        </w:rPr>
        <w:t xml:space="preserve">Source </w:t>
      </w:r>
      <w:r w:rsidRPr="00A847B7">
        <w:t>:</w:t>
      </w:r>
      <w:r w:rsidR="001B4D5A" w:rsidRPr="00A847B7">
        <w:t xml:space="preserve"> Loi de Finances pour 2021,</w:t>
      </w:r>
      <w:r w:rsidR="001B4D5A" w:rsidRPr="005A54C4">
        <w:t xml:space="preserve"> article </w:t>
      </w:r>
      <w:r w:rsidR="00220FA1" w:rsidRPr="005A54C4">
        <w:t>159</w:t>
      </w:r>
    </w:p>
    <w:p w14:paraId="49A05834" w14:textId="673943DC" w:rsidR="002071E1" w:rsidRPr="004603C8" w:rsidRDefault="002071E1" w:rsidP="00EE0687">
      <w:pPr>
        <w:pStyle w:val="Paragraphedeliste"/>
        <w:numPr>
          <w:ilvl w:val="0"/>
          <w:numId w:val="295"/>
        </w:numPr>
        <w:rPr>
          <w:b/>
          <w:bCs/>
          <w:i/>
          <w:iCs/>
          <w:u w:val="single"/>
        </w:rPr>
      </w:pPr>
      <w:r w:rsidRPr="004603C8">
        <w:rPr>
          <w:b/>
          <w:bCs/>
          <w:i/>
          <w:iCs/>
          <w:u w:val="single"/>
        </w:rPr>
        <w:t>Taxe d’apprentissage et exonérations</w:t>
      </w:r>
    </w:p>
    <w:p w14:paraId="6F660837" w14:textId="5BF810C0" w:rsidR="00537722" w:rsidRPr="00A847B7" w:rsidRDefault="00E276E0" w:rsidP="00537722">
      <w:r w:rsidRPr="00A847B7">
        <w:t>Des aménagements sont apportés par la Loi de Finances pour 2021 à la réforme du financement et de la formation professionne</w:t>
      </w:r>
      <w:r w:rsidR="00FE1095" w:rsidRPr="00A847B7">
        <w:t>lle</w:t>
      </w:r>
      <w:r w:rsidR="00A81D4A" w:rsidRPr="00A847B7">
        <w:t>.</w:t>
      </w:r>
    </w:p>
    <w:p w14:paraId="2255957D" w14:textId="52FF2E46" w:rsidR="002071E1" w:rsidRPr="00A847B7" w:rsidRDefault="002071E1" w:rsidP="002071E1">
      <w:r w:rsidRPr="00A847B7">
        <w:t>Seront exonérés mensuellement de la taxe d’apprentissage les employeurs occupant un ou plusieurs apprentis avec lesquels ils ont conclu un contrat d’apprentissage, lorsque les rémunérations mensuellement dues par ces employeurs, telles qu’elles sont prises en compte pour la détermination de l’assiette des cotisations sociales, n’excèdent pas 6 fois le montant du SMIC mensuel (des précisions doivent être apportées par Décret).</w:t>
      </w:r>
    </w:p>
    <w:p w14:paraId="4EB4129B" w14:textId="7945590C" w:rsidR="00E05607" w:rsidRPr="00A847B7" w:rsidRDefault="00E05607" w:rsidP="00537722">
      <w:r w:rsidRPr="00A847B7">
        <w:t>Il est a</w:t>
      </w:r>
      <w:r w:rsidR="002071E1" w:rsidRPr="00A847B7">
        <w:t>ussi</w:t>
      </w:r>
      <w:r w:rsidRPr="00A847B7">
        <w:t xml:space="preserve"> prévu que seront exonérés de taxe d’apprentissage les sociétés et organismes suivants</w:t>
      </w:r>
      <w:r w:rsidR="002D06B3" w:rsidRPr="00A847B7">
        <w:t xml:space="preserve"> (non soumis à l’impôt sur les sociétés)</w:t>
      </w:r>
      <w:r w:rsidRPr="00A847B7">
        <w:t> :</w:t>
      </w:r>
    </w:p>
    <w:p w14:paraId="69150A8A" w14:textId="6561B828" w:rsidR="00E05607" w:rsidRPr="00A847B7" w:rsidRDefault="00A63F3A" w:rsidP="00EE0687">
      <w:pPr>
        <w:pStyle w:val="Paragraphedeliste"/>
        <w:numPr>
          <w:ilvl w:val="0"/>
          <w:numId w:val="175"/>
        </w:numPr>
      </w:pPr>
      <w:r w:rsidRPr="00A847B7">
        <w:t>l</w:t>
      </w:r>
      <w:r w:rsidR="00153334" w:rsidRPr="00A847B7">
        <w:t>es sociétés et personnes morales ayant pour objet exclusif les enseignements maternel, primaire, secondaire, supérieur, technique agricole, industriel et commercial, technologique ainsi que l’ensemble des disciplines médicales et paramédicales placé sous l’autorité du ministère chargé de la santé ;</w:t>
      </w:r>
    </w:p>
    <w:p w14:paraId="1F105CEA" w14:textId="457DA833" w:rsidR="00153334" w:rsidRPr="00A847B7" w:rsidRDefault="00A63F3A" w:rsidP="00EE0687">
      <w:pPr>
        <w:pStyle w:val="Paragraphedeliste"/>
        <w:numPr>
          <w:ilvl w:val="0"/>
          <w:numId w:val="175"/>
        </w:numPr>
      </w:pPr>
      <w:r w:rsidRPr="00A847B7">
        <w:t>l</w:t>
      </w:r>
      <w:r w:rsidR="00153334" w:rsidRPr="00A847B7">
        <w:t>es groupements d’employeurs agricoles ;</w:t>
      </w:r>
    </w:p>
    <w:p w14:paraId="2826505B" w14:textId="275F27ED" w:rsidR="00153334" w:rsidRPr="00A847B7" w:rsidRDefault="00A63F3A" w:rsidP="00EE0687">
      <w:pPr>
        <w:pStyle w:val="Paragraphedeliste"/>
        <w:numPr>
          <w:ilvl w:val="0"/>
          <w:numId w:val="175"/>
        </w:numPr>
      </w:pPr>
      <w:r w:rsidRPr="00A847B7">
        <w:t>l</w:t>
      </w:r>
      <w:r w:rsidR="00153334" w:rsidRPr="00A847B7">
        <w:t>es mutuelles ainsi que les organismes mutualistes</w:t>
      </w:r>
      <w:r w:rsidR="00505834" w:rsidRPr="00A847B7">
        <w:t> ;</w:t>
      </w:r>
    </w:p>
    <w:p w14:paraId="06048966" w14:textId="6C397A8C" w:rsidR="00505834" w:rsidRPr="00A847B7" w:rsidRDefault="00A63F3A" w:rsidP="00EE0687">
      <w:pPr>
        <w:pStyle w:val="Paragraphedeliste"/>
        <w:numPr>
          <w:ilvl w:val="0"/>
          <w:numId w:val="175"/>
        </w:numPr>
      </w:pPr>
      <w:r w:rsidRPr="00A847B7">
        <w:t>l</w:t>
      </w:r>
      <w:r w:rsidR="00505834" w:rsidRPr="00A847B7">
        <w:t>es associations, organismes, fondations, fonds de dotation, congrégations, syndicats à activités non lucratives ;</w:t>
      </w:r>
    </w:p>
    <w:p w14:paraId="18F9CE77" w14:textId="6F174974" w:rsidR="00505834" w:rsidRPr="00A847B7" w:rsidRDefault="00A63F3A" w:rsidP="00EE0687">
      <w:pPr>
        <w:pStyle w:val="Paragraphedeliste"/>
        <w:numPr>
          <w:ilvl w:val="0"/>
          <w:numId w:val="175"/>
        </w:numPr>
      </w:pPr>
      <w:r w:rsidRPr="00A847B7">
        <w:t>l</w:t>
      </w:r>
      <w:r w:rsidR="00505834" w:rsidRPr="00A847B7">
        <w:t>es sociétés coopératives agricoles d’approvisionnement et d’achat ainsi que les unions de sociétés coopératives agricoles d’approvisionnement et d’achat ;</w:t>
      </w:r>
    </w:p>
    <w:p w14:paraId="4D7BA365" w14:textId="56AF45CE" w:rsidR="00505834" w:rsidRPr="00A847B7" w:rsidRDefault="00A63F3A" w:rsidP="00EE0687">
      <w:pPr>
        <w:pStyle w:val="Paragraphedeliste"/>
        <w:numPr>
          <w:ilvl w:val="0"/>
          <w:numId w:val="175"/>
        </w:numPr>
      </w:pPr>
      <w:r w:rsidRPr="00A847B7">
        <w:t>l</w:t>
      </w:r>
      <w:r w:rsidR="00505834" w:rsidRPr="00A847B7">
        <w:t>es sociétés coopératives de production, de transformation, conservation et vente de produits agricoles ainsi que les unions de sociétés coopératives de production, transformation, conservation et vente de produits agricoles ;</w:t>
      </w:r>
    </w:p>
    <w:p w14:paraId="2AF71969" w14:textId="67F802BE" w:rsidR="00505834" w:rsidRPr="00A847B7" w:rsidRDefault="00A63F3A" w:rsidP="00EE0687">
      <w:pPr>
        <w:pStyle w:val="Paragraphedeliste"/>
        <w:numPr>
          <w:ilvl w:val="0"/>
          <w:numId w:val="175"/>
        </w:numPr>
      </w:pPr>
      <w:r w:rsidRPr="00A847B7">
        <w:t>les coopératives et unions artisanales, maritimes, de transport fluvial et d’entreprises de transports ;</w:t>
      </w:r>
    </w:p>
    <w:p w14:paraId="69FAF28C" w14:textId="7D9E479A" w:rsidR="00A63F3A" w:rsidRPr="00A847B7" w:rsidRDefault="00A63F3A" w:rsidP="00EE0687">
      <w:pPr>
        <w:pStyle w:val="Paragraphedeliste"/>
        <w:numPr>
          <w:ilvl w:val="0"/>
          <w:numId w:val="175"/>
        </w:numPr>
      </w:pPr>
      <w:r w:rsidRPr="00A847B7">
        <w:t>les organismes d’habitations à loyer modéré, les sociétés anonymes de crédit immobilier, ainsi que les unions d’économie sociale ;</w:t>
      </w:r>
    </w:p>
    <w:p w14:paraId="3D9EC8E6" w14:textId="3D3DD4E2" w:rsidR="00A63F3A" w:rsidRPr="00A847B7" w:rsidRDefault="00A63F3A" w:rsidP="00EE0687">
      <w:pPr>
        <w:pStyle w:val="Paragraphedeliste"/>
        <w:numPr>
          <w:ilvl w:val="0"/>
          <w:numId w:val="175"/>
        </w:numPr>
      </w:pPr>
      <w:r w:rsidRPr="00A847B7">
        <w:t>les sociétés coopératives de construction.</w:t>
      </w:r>
    </w:p>
    <w:p w14:paraId="513AA008" w14:textId="7DAECAE0" w:rsidR="00A63F3A" w:rsidRPr="00A847B7" w:rsidRDefault="00A63F3A" w:rsidP="00537722">
      <w:r w:rsidRPr="00A847B7">
        <w:t xml:space="preserve">Il est expressément prévu que </w:t>
      </w:r>
      <w:r w:rsidR="002D06B3" w:rsidRPr="00A847B7">
        <w:t xml:space="preserve">la réalisation d’activités commerciales accessoires par </w:t>
      </w:r>
      <w:r w:rsidR="002071E1" w:rsidRPr="00A847B7">
        <w:t>c</w:t>
      </w:r>
      <w:r w:rsidR="002D06B3" w:rsidRPr="00A847B7">
        <w:t>es employeurs non redevables de cette taxe ne remet pas en cause le bénéfice de l’exonération.</w:t>
      </w:r>
    </w:p>
    <w:p w14:paraId="513B6239" w14:textId="0826E256" w:rsidR="00B036C4" w:rsidRPr="00A847B7" w:rsidRDefault="00B036C4" w:rsidP="00EE0687">
      <w:pPr>
        <w:pStyle w:val="Paragraphedeliste"/>
        <w:numPr>
          <w:ilvl w:val="0"/>
          <w:numId w:val="176"/>
        </w:numPr>
        <w:rPr>
          <w:b/>
          <w:i/>
          <w:u w:val="single"/>
        </w:rPr>
      </w:pPr>
      <w:r w:rsidRPr="00A847B7">
        <w:rPr>
          <w:b/>
          <w:i/>
          <w:u w:val="single"/>
        </w:rPr>
        <w:t>Taxe d’apprentissage et effet de seuil</w:t>
      </w:r>
    </w:p>
    <w:p w14:paraId="281F66F3" w14:textId="62FCF35C" w:rsidR="00B15E54" w:rsidRPr="00A847B7" w:rsidRDefault="001340F2" w:rsidP="00537722">
      <w:r w:rsidRPr="00A847B7">
        <w:t>Les employeurs qui, en raison de l’accroissement de leur effectif, ont atteint ou dépassé au titre de l’année 2018 ou de l’année 2019, et en tout état de cause avant le 31 décembre 2019, pour la première fois, l’effectif de 11 salariés restent soumis</w:t>
      </w:r>
      <w:r w:rsidR="00B15E54" w:rsidRPr="00A847B7">
        <w:t xml:space="preserve"> à la taxe au taux de 0,55 % pendant 3 ans, ce taux </w:t>
      </w:r>
      <w:r w:rsidR="006C29F7" w:rsidRPr="00A847B7">
        <w:t>augmentant</w:t>
      </w:r>
      <w:r w:rsidR="00B15E54" w:rsidRPr="00A847B7">
        <w:t xml:space="preserve"> </w:t>
      </w:r>
      <w:r w:rsidR="006C29F7" w:rsidRPr="00A847B7">
        <w:t>progressivement</w:t>
      </w:r>
      <w:r w:rsidR="00B15E54" w:rsidRPr="00A847B7">
        <w:t xml:space="preserve"> les </w:t>
      </w:r>
      <w:r w:rsidR="00B15E54" w:rsidRPr="00A847B7" w:rsidDel="001061A1">
        <w:t>4</w:t>
      </w:r>
      <w:r w:rsidR="00B15E54" w:rsidRPr="005A54C4" w:rsidDel="001061A1">
        <w:rPr>
          <w:vertAlign w:val="superscript"/>
        </w:rPr>
        <w:t>e</w:t>
      </w:r>
      <w:r w:rsidR="00B15E54" w:rsidRPr="00A847B7" w:rsidDel="001061A1">
        <w:t xml:space="preserve"> et 5</w:t>
      </w:r>
      <w:r w:rsidR="00B15E54" w:rsidRPr="005A54C4" w:rsidDel="001061A1">
        <w:rPr>
          <w:vertAlign w:val="superscript"/>
        </w:rPr>
        <w:t>e</w:t>
      </w:r>
      <w:r w:rsidR="00B15E54" w:rsidRPr="00A847B7" w:rsidDel="001061A1">
        <w:t xml:space="preserve"> </w:t>
      </w:r>
      <w:r w:rsidR="00B15E54" w:rsidRPr="00A847B7">
        <w:t xml:space="preserve">années pour atteindre le taux de 1 % applicable aux entreprises employant </w:t>
      </w:r>
      <w:r w:rsidR="006C29F7" w:rsidRPr="00A847B7">
        <w:t>au moins 11 salariés.</w:t>
      </w:r>
    </w:p>
    <w:p w14:paraId="79475271" w14:textId="301CB9CD" w:rsidR="00B036C4" w:rsidRPr="00A847B7" w:rsidRDefault="006C29F7" w:rsidP="00537722">
      <w:r w:rsidRPr="00A847B7">
        <w:lastRenderedPageBreak/>
        <w:t>Ce mécanisme de lissage est aménagé comme suit : ces</w:t>
      </w:r>
      <w:r w:rsidR="000119B2" w:rsidRPr="00A847B7">
        <w:t xml:space="preserve"> employeurs resteront</w:t>
      </w:r>
      <w:r w:rsidR="001340F2" w:rsidRPr="00A847B7">
        <w:t xml:space="preserve"> soumis, pour cette année et les </w:t>
      </w:r>
      <w:r w:rsidR="00F551BF">
        <w:t xml:space="preserve">4 </w:t>
      </w:r>
      <w:r w:rsidR="001340F2" w:rsidRPr="00A847B7">
        <w:t>années suivantes, à la contribution formation au taux de 0,55 %</w:t>
      </w:r>
      <w:r w:rsidR="000119B2" w:rsidRPr="00A847B7">
        <w:t>, c</w:t>
      </w:r>
      <w:r w:rsidR="001340F2" w:rsidRPr="00A847B7">
        <w:t xml:space="preserve">e gel des effets de seuil sur 5 ans </w:t>
      </w:r>
      <w:r w:rsidR="000119B2" w:rsidRPr="00A847B7">
        <w:t>s’appliquant</w:t>
      </w:r>
      <w:r w:rsidR="001340F2" w:rsidRPr="00A847B7">
        <w:t xml:space="preserve"> à compter du </w:t>
      </w:r>
      <w:r w:rsidR="001340F2" w:rsidRPr="00A847B7" w:rsidDel="00F551BF">
        <w:t>1</w:t>
      </w:r>
      <w:r w:rsidR="001340F2" w:rsidRPr="005A54C4" w:rsidDel="00F551BF">
        <w:rPr>
          <w:vertAlign w:val="superscript"/>
        </w:rPr>
        <w:t>er</w:t>
      </w:r>
      <w:r w:rsidR="001340F2" w:rsidRPr="00A847B7" w:rsidDel="00F551BF">
        <w:t xml:space="preserve"> </w:t>
      </w:r>
      <w:r w:rsidR="001340F2" w:rsidRPr="00A847B7">
        <w:t>janvier 2020</w:t>
      </w:r>
    </w:p>
    <w:p w14:paraId="5AC1D03B" w14:textId="3F483C3A" w:rsidR="00537722" w:rsidRPr="00A847B7" w:rsidRDefault="00B702B3" w:rsidP="00EE0687">
      <w:pPr>
        <w:pStyle w:val="Paragraphedeliste"/>
        <w:numPr>
          <w:ilvl w:val="0"/>
          <w:numId w:val="177"/>
        </w:numPr>
        <w:rPr>
          <w:b/>
          <w:i/>
          <w:u w:val="single"/>
        </w:rPr>
      </w:pPr>
      <w:r w:rsidRPr="00A847B7">
        <w:rPr>
          <w:b/>
          <w:i/>
          <w:u w:val="single"/>
        </w:rPr>
        <w:t xml:space="preserve">Contribution supplémentaire </w:t>
      </w:r>
      <w:r w:rsidR="00B036C4" w:rsidRPr="00A847B7">
        <w:rPr>
          <w:b/>
          <w:i/>
          <w:u w:val="single"/>
        </w:rPr>
        <w:t>à l’apprentissage</w:t>
      </w:r>
    </w:p>
    <w:p w14:paraId="2C236EB6" w14:textId="6C3B2F14" w:rsidR="00B702B3" w:rsidRPr="00A847B7" w:rsidRDefault="00425499" w:rsidP="00537722">
      <w:r w:rsidRPr="00A847B7">
        <w:t xml:space="preserve">Pour bénéficier de l’exonération de contribution supplémentaire à l’apprentissage, les entreprises concernées </w:t>
      </w:r>
      <w:r w:rsidR="00E70B6A" w:rsidRPr="00A847B7">
        <w:t>doivent un effectif salarié annuel en contrat d’apprentissage</w:t>
      </w:r>
      <w:r w:rsidR="00E90AD6" w:rsidRPr="00A847B7">
        <w:t xml:space="preserve"> ou</w:t>
      </w:r>
      <w:r w:rsidR="00E70B6A" w:rsidRPr="00A847B7">
        <w:t xml:space="preserve"> en contrat de professionnalisation</w:t>
      </w:r>
      <w:r w:rsidR="00E90AD6" w:rsidRPr="00A847B7">
        <w:t xml:space="preserve"> et un effectif salarié</w:t>
      </w:r>
      <w:r w:rsidR="00E70B6A" w:rsidRPr="00A847B7">
        <w:t xml:space="preserve"> bénéficiant d’une convention CIFRE </w:t>
      </w:r>
      <w:r w:rsidR="00E90AD6" w:rsidRPr="00A847B7">
        <w:t>supérieur ou égal à 3 %.</w:t>
      </w:r>
    </w:p>
    <w:p w14:paraId="6C603CBC" w14:textId="5E831909" w:rsidR="002C7029" w:rsidRPr="005A54C4" w:rsidRDefault="00F208FD" w:rsidP="00EE0687">
      <w:pPr>
        <w:pStyle w:val="Paragraphedeliste"/>
        <w:numPr>
          <w:ilvl w:val="0"/>
          <w:numId w:val="305"/>
        </w:numPr>
        <w:rPr>
          <w:b/>
          <w:i/>
          <w:u w:val="single"/>
        </w:rPr>
      </w:pPr>
      <w:r w:rsidRPr="005A54C4">
        <w:rPr>
          <w:b/>
          <w:i/>
          <w:u w:val="single"/>
        </w:rPr>
        <w:t>Entrée en vigueur</w:t>
      </w:r>
    </w:p>
    <w:p w14:paraId="5D8A27E2" w14:textId="3083B5CE" w:rsidR="00F208FD" w:rsidRPr="00A847B7" w:rsidRDefault="00F208FD" w:rsidP="002C7029">
      <w:r>
        <w:t xml:space="preserve">Ces </w:t>
      </w:r>
      <w:r w:rsidRPr="00F208FD">
        <w:t xml:space="preserve">dispositions entrent en vigueur à la date d'entrée en vigueur de l'ordonnance relative à la collecte des contributions des employeurs au titre du financement de la formation professionnelle et de l'apprentissage prévue </w:t>
      </w:r>
      <w:r>
        <w:t xml:space="preserve">par la Loi </w:t>
      </w:r>
      <w:r w:rsidRPr="00F208FD">
        <w:t>pour la liberté de choisir son avenir professionnel, et au plus tard le 1</w:t>
      </w:r>
      <w:r w:rsidRPr="005A54C4">
        <w:rPr>
          <w:vertAlign w:val="superscript"/>
        </w:rPr>
        <w:t>er</w:t>
      </w:r>
      <w:r w:rsidRPr="00F208FD">
        <w:t xml:space="preserve"> janvier 2022.</w:t>
      </w:r>
    </w:p>
    <w:p w14:paraId="4E50A37D" w14:textId="7AE79502" w:rsidR="002C7029" w:rsidRDefault="002C7029" w:rsidP="002C7029">
      <w:pPr>
        <w:rPr>
          <w:rFonts w:cstheme="minorHAnsi"/>
        </w:rPr>
      </w:pPr>
      <w:r w:rsidRPr="00A847B7">
        <w:rPr>
          <w:rFonts w:cstheme="minorHAnsi"/>
        </w:rPr>
        <w:br w:type="page"/>
      </w:r>
    </w:p>
    <w:p w14:paraId="214C7041" w14:textId="77777777" w:rsidR="00147770" w:rsidRPr="00A847B7" w:rsidRDefault="00147770" w:rsidP="002C7029">
      <w:pPr>
        <w:rPr>
          <w:rFonts w:cstheme="minorHAnsi"/>
        </w:rPr>
      </w:pPr>
    </w:p>
    <w:p w14:paraId="1FE2A9C9" w14:textId="3881DB51" w:rsidR="0080047B" w:rsidRDefault="0080047B" w:rsidP="0080047B">
      <w:pPr>
        <w:pStyle w:val="Titre2"/>
        <w:rPr>
          <w:rFonts w:cstheme="minorHAnsi"/>
        </w:rPr>
      </w:pPr>
      <w:bookmarkStart w:id="97" w:name="_Toc30149298"/>
      <w:bookmarkStart w:id="98" w:name="_Toc60781020"/>
      <w:r w:rsidRPr="00A847B7">
        <w:rPr>
          <w:rFonts w:cstheme="minorHAnsi"/>
        </w:rPr>
        <w:t>Impôts locaux</w:t>
      </w:r>
      <w:bookmarkEnd w:id="97"/>
      <w:bookmarkEnd w:id="98"/>
    </w:p>
    <w:p w14:paraId="68C784EB" w14:textId="77777777" w:rsidR="00147770" w:rsidRPr="00147770" w:rsidRDefault="00147770" w:rsidP="00147770"/>
    <w:p w14:paraId="34E4D6B6" w14:textId="38DA21F6" w:rsidR="003877A3" w:rsidRPr="00A847B7" w:rsidRDefault="003877A3" w:rsidP="003877A3">
      <w:pPr>
        <w:pStyle w:val="Titre3"/>
      </w:pPr>
      <w:bookmarkStart w:id="99" w:name="_Toc60781021"/>
      <w:r w:rsidRPr="00A847B7">
        <w:t xml:space="preserve">Slide </w:t>
      </w:r>
      <w:r w:rsidR="00F105D8">
        <w:t>63</w:t>
      </w:r>
      <w:r w:rsidRPr="00A847B7">
        <w:t> : Contribution à l’audiovisuel public</w:t>
      </w:r>
      <w:bookmarkEnd w:id="99"/>
    </w:p>
    <w:p w14:paraId="4A0DDFE7" w14:textId="58B4AC6C" w:rsidR="003877A3" w:rsidRPr="00A847B7" w:rsidRDefault="00147770" w:rsidP="003877A3">
      <w:r w:rsidRPr="004F587E">
        <w:rPr>
          <w:u w:val="single"/>
        </w:rPr>
        <w:t xml:space="preserve">Source </w:t>
      </w:r>
      <w:r w:rsidRPr="00A847B7">
        <w:t>:</w:t>
      </w:r>
      <w:r w:rsidR="003877A3" w:rsidRPr="00A847B7">
        <w:t xml:space="preserve"> Loi de Finances pour 2021, </w:t>
      </w:r>
      <w:r w:rsidR="003877A3" w:rsidRPr="005A54C4">
        <w:t xml:space="preserve">article </w:t>
      </w:r>
      <w:r w:rsidR="00E25A1B" w:rsidRPr="00E25A1B">
        <w:t>87</w:t>
      </w:r>
    </w:p>
    <w:p w14:paraId="11538E51" w14:textId="77777777" w:rsidR="003877A3" w:rsidRPr="00A847B7" w:rsidRDefault="003877A3" w:rsidP="003877A3">
      <w:r w:rsidRPr="00A847B7">
        <w:t>Doivent payer la contribution à l’audiovisuel public, toutes les personnes (entreprises ou particuliers) qui détiennent un poste de télévision (TV) ou tout autre dispositif assimilé permettant de recevoir la télévision.</w:t>
      </w:r>
    </w:p>
    <w:p w14:paraId="4D877465" w14:textId="77777777" w:rsidR="003877A3" w:rsidRPr="00A847B7" w:rsidRDefault="003877A3" w:rsidP="003877A3">
      <w:r w:rsidRPr="00A847B7">
        <w:t>Cette contribution a pour objet de financer les sociétés de télévision publiques (France 2, France 3, France 5, etc.) ainsi que la société TV5 Monde.</w:t>
      </w:r>
    </w:p>
    <w:p w14:paraId="60891EA8" w14:textId="7336DFAE" w:rsidR="003877A3" w:rsidRPr="00A847B7" w:rsidRDefault="003877A3" w:rsidP="003877A3">
      <w:r w:rsidRPr="00A847B7">
        <w:t>Pour 2020, le montant de la contribution était de 138 € en France métropolitaine et 88 € dans les départements d’</w:t>
      </w:r>
      <w:r w:rsidR="00F551BF">
        <w:t>O</w:t>
      </w:r>
      <w:r w:rsidRPr="00A847B7">
        <w:t>utre-mer.</w:t>
      </w:r>
    </w:p>
    <w:p w14:paraId="0769F651" w14:textId="77777777" w:rsidR="003877A3" w:rsidRPr="00A847B7" w:rsidRDefault="003877A3" w:rsidP="003877A3">
      <w:r w:rsidRPr="00A847B7">
        <w:t>Ce montant est inchangé pour 2021.</w:t>
      </w:r>
    </w:p>
    <w:p w14:paraId="491E9271" w14:textId="77777777" w:rsidR="003877A3" w:rsidRPr="00A847B7" w:rsidRDefault="003877A3" w:rsidP="003877A3"/>
    <w:p w14:paraId="46A83831" w14:textId="50A497CB" w:rsidR="002C7029" w:rsidRPr="00A847B7" w:rsidRDefault="002C7029" w:rsidP="002C7029">
      <w:pPr>
        <w:pStyle w:val="Titre3"/>
      </w:pPr>
      <w:bookmarkStart w:id="100" w:name="_Toc60781022"/>
      <w:r w:rsidRPr="00A847B7">
        <w:t xml:space="preserve">Slide </w:t>
      </w:r>
      <w:r w:rsidR="00391A7A">
        <w:t>64</w:t>
      </w:r>
      <w:r w:rsidRPr="00A847B7">
        <w:t xml:space="preserve"> : </w:t>
      </w:r>
      <w:r w:rsidR="0098610E" w:rsidRPr="00A847B7">
        <w:t xml:space="preserve">Contribution </w:t>
      </w:r>
      <w:r w:rsidR="00751CB9" w:rsidRPr="00A847B7">
        <w:t>économique territoriale : c</w:t>
      </w:r>
      <w:r w:rsidR="0098610E" w:rsidRPr="00A847B7">
        <w:t xml:space="preserve">otisation sur la valeur ajoutée </w:t>
      </w:r>
      <w:r w:rsidR="00751CB9" w:rsidRPr="00A847B7">
        <w:t>des entreprises</w:t>
      </w:r>
      <w:r w:rsidR="006879F7" w:rsidRPr="00A847B7">
        <w:t xml:space="preserve"> (CVAE)</w:t>
      </w:r>
      <w:bookmarkEnd w:id="100"/>
    </w:p>
    <w:p w14:paraId="3E80896A" w14:textId="7FE51FE7" w:rsidR="002C7029" w:rsidRPr="00A847B7" w:rsidRDefault="00147770" w:rsidP="002C7029">
      <w:r w:rsidRPr="004F587E">
        <w:rPr>
          <w:u w:val="single"/>
        </w:rPr>
        <w:t xml:space="preserve">Source </w:t>
      </w:r>
      <w:r w:rsidRPr="00A847B7">
        <w:t>:</w:t>
      </w:r>
      <w:r w:rsidR="00751CB9" w:rsidRPr="00A847B7">
        <w:t xml:space="preserve"> </w:t>
      </w:r>
      <w:r w:rsidR="004169C6" w:rsidRPr="00A847B7">
        <w:t>Loi</w:t>
      </w:r>
      <w:r w:rsidR="00751CB9" w:rsidRPr="00A847B7">
        <w:t xml:space="preserve"> de Finances p</w:t>
      </w:r>
      <w:r w:rsidR="00751CB9" w:rsidRPr="004A4951">
        <w:t xml:space="preserve">our 2021, </w:t>
      </w:r>
      <w:r w:rsidR="00751CB9" w:rsidRPr="002A3007">
        <w:t xml:space="preserve">article </w:t>
      </w:r>
      <w:r w:rsidR="004A4951" w:rsidRPr="004A4951">
        <w:t>8</w:t>
      </w:r>
    </w:p>
    <w:p w14:paraId="64248AA3" w14:textId="4C4BFC08" w:rsidR="002C7029" w:rsidRPr="00A847B7" w:rsidRDefault="004169C6" w:rsidP="002C7029">
      <w:pPr>
        <w:spacing w:beforeAutospacing="1" w:after="100" w:afterAutospacing="1"/>
        <w:rPr>
          <w:rFonts w:cstheme="minorHAnsi"/>
        </w:rPr>
      </w:pPr>
      <w:r w:rsidRPr="00A847B7">
        <w:rPr>
          <w:rFonts w:cstheme="minorHAnsi"/>
        </w:rPr>
        <w:t xml:space="preserve">La </w:t>
      </w:r>
      <w:r w:rsidRPr="00A847B7">
        <w:t>Loi</w:t>
      </w:r>
      <w:r w:rsidRPr="00A847B7">
        <w:rPr>
          <w:rFonts w:cstheme="minorHAnsi"/>
        </w:rPr>
        <w:t xml:space="preserve"> de Finances pour 2021 aménage le </w:t>
      </w:r>
      <w:r w:rsidR="0000060C" w:rsidRPr="00A847B7">
        <w:rPr>
          <w:rFonts w:cstheme="minorHAnsi"/>
        </w:rPr>
        <w:t>barème</w:t>
      </w:r>
      <w:r w:rsidRPr="00A847B7">
        <w:rPr>
          <w:rFonts w:cstheme="minorHAnsi"/>
        </w:rPr>
        <w:t xml:space="preserve"> de la cotisation sur la </w:t>
      </w:r>
      <w:r w:rsidR="00F606CC" w:rsidRPr="00A847B7">
        <w:rPr>
          <w:rFonts w:cstheme="minorHAnsi"/>
        </w:rPr>
        <w:t>valeur ajoutée</w:t>
      </w:r>
      <w:r w:rsidR="0069343D" w:rsidRPr="00A847B7">
        <w:rPr>
          <w:rFonts w:cstheme="minorHAnsi"/>
        </w:rPr>
        <w:t xml:space="preserve"> des entreprises </w:t>
      </w:r>
      <w:r w:rsidR="000D4A25" w:rsidRPr="00A847B7">
        <w:rPr>
          <w:rFonts w:cstheme="minorHAnsi"/>
        </w:rPr>
        <w:t>(CVAE)</w:t>
      </w:r>
      <w:r w:rsidR="0069343D" w:rsidRPr="00A847B7">
        <w:rPr>
          <w:rFonts w:cstheme="minorHAnsi"/>
        </w:rPr>
        <w:t>.</w:t>
      </w:r>
    </w:p>
    <w:p w14:paraId="1E3F2969" w14:textId="492B08C0" w:rsidR="00DE52F6" w:rsidRPr="00A847B7" w:rsidRDefault="00681783" w:rsidP="00DE52F6">
      <w:pPr>
        <w:spacing w:beforeAutospacing="1" w:after="100" w:afterAutospacing="1"/>
        <w:rPr>
          <w:rFonts w:cstheme="minorHAnsi"/>
        </w:rPr>
      </w:pPr>
      <w:r w:rsidRPr="00A847B7">
        <w:rPr>
          <w:rFonts w:cstheme="minorHAnsi"/>
        </w:rPr>
        <w:t xml:space="preserve">Pour le calcul de la CVAE, le taux d’imposition </w:t>
      </w:r>
      <w:r w:rsidR="00836C11" w:rsidRPr="00A847B7">
        <w:rPr>
          <w:rFonts w:cstheme="minorHAnsi"/>
        </w:rPr>
        <w:t xml:space="preserve">sera divisé par </w:t>
      </w:r>
      <w:r w:rsidR="00C711D3" w:rsidRPr="00A847B7">
        <w:rPr>
          <w:rFonts w:cstheme="minorHAnsi"/>
        </w:rPr>
        <w:t>2 pour les cotisations dues à compter de 2021</w:t>
      </w:r>
      <w:r w:rsidR="00A74E48" w:rsidRPr="00A847B7">
        <w:rPr>
          <w:rFonts w:cstheme="minorHAnsi"/>
        </w:rPr>
        <w:t>, selon le</w:t>
      </w:r>
      <w:r w:rsidR="00511E67" w:rsidRPr="00A847B7">
        <w:rPr>
          <w:rFonts w:cstheme="minorHAnsi"/>
        </w:rPr>
        <w:t xml:space="preserve"> barème suivant :</w:t>
      </w:r>
    </w:p>
    <w:tbl>
      <w:tblPr>
        <w:tblStyle w:val="Grilledutableau"/>
        <w:tblW w:w="0" w:type="auto"/>
        <w:jc w:val="center"/>
        <w:tblLook w:val="04A0" w:firstRow="1" w:lastRow="0" w:firstColumn="1" w:lastColumn="0" w:noHBand="0" w:noVBand="1"/>
      </w:tblPr>
      <w:tblGrid>
        <w:gridCol w:w="1980"/>
        <w:gridCol w:w="3402"/>
        <w:gridCol w:w="3680"/>
      </w:tblGrid>
      <w:tr w:rsidR="00511E67" w:rsidRPr="00A847B7" w14:paraId="19E6921B" w14:textId="77777777" w:rsidTr="0000086B">
        <w:trPr>
          <w:jc w:val="center"/>
        </w:trPr>
        <w:tc>
          <w:tcPr>
            <w:tcW w:w="9062" w:type="dxa"/>
            <w:gridSpan w:val="3"/>
          </w:tcPr>
          <w:p w14:paraId="5D762E99" w14:textId="37726C65" w:rsidR="00511E67" w:rsidRPr="00A847B7" w:rsidRDefault="00125497" w:rsidP="0000086B">
            <w:pPr>
              <w:spacing w:beforeAutospacing="1" w:after="100" w:afterAutospacing="1"/>
              <w:jc w:val="center"/>
              <w:rPr>
                <w:rFonts w:cstheme="minorHAnsi"/>
                <w:b/>
              </w:rPr>
            </w:pPr>
            <w:r w:rsidRPr="00A847B7">
              <w:rPr>
                <w:rFonts w:cstheme="minorHAnsi"/>
                <w:b/>
              </w:rPr>
              <w:t>Barème de la cotisation sur la valeur ajoutée</w:t>
            </w:r>
          </w:p>
        </w:tc>
      </w:tr>
      <w:tr w:rsidR="00511E67" w:rsidRPr="00A847B7" w14:paraId="2ADF59B7" w14:textId="77777777" w:rsidTr="0000086B">
        <w:trPr>
          <w:jc w:val="center"/>
        </w:trPr>
        <w:tc>
          <w:tcPr>
            <w:tcW w:w="1980" w:type="dxa"/>
            <w:vMerge w:val="restart"/>
          </w:tcPr>
          <w:p w14:paraId="3D7FC636" w14:textId="775A706F" w:rsidR="00511E67" w:rsidRPr="00A847B7" w:rsidRDefault="00125497" w:rsidP="0000086B">
            <w:pPr>
              <w:spacing w:beforeAutospacing="1" w:after="100" w:afterAutospacing="1"/>
              <w:jc w:val="center"/>
              <w:rPr>
                <w:rFonts w:cstheme="minorHAnsi"/>
                <w:b/>
              </w:rPr>
            </w:pPr>
            <w:r w:rsidRPr="00A847B7">
              <w:rPr>
                <w:rFonts w:cstheme="minorHAnsi"/>
                <w:b/>
              </w:rPr>
              <w:t>Montant d</w:t>
            </w:r>
            <w:r w:rsidR="00922988" w:rsidRPr="00A847B7">
              <w:rPr>
                <w:rFonts w:cstheme="minorHAnsi"/>
                <w:b/>
              </w:rPr>
              <w:t xml:space="preserve">u chiffre d’affaires </w:t>
            </w:r>
            <w:r w:rsidR="00DD29BD" w:rsidRPr="00A847B7">
              <w:rPr>
                <w:rFonts w:cstheme="minorHAnsi"/>
                <w:b/>
              </w:rPr>
              <w:t>HT</w:t>
            </w:r>
          </w:p>
        </w:tc>
        <w:tc>
          <w:tcPr>
            <w:tcW w:w="7082" w:type="dxa"/>
            <w:gridSpan w:val="2"/>
          </w:tcPr>
          <w:p w14:paraId="67F486AC" w14:textId="77777777" w:rsidR="00511E67" w:rsidRPr="00A847B7" w:rsidRDefault="00511E67" w:rsidP="0000086B">
            <w:pPr>
              <w:spacing w:beforeAutospacing="1" w:after="100" w:afterAutospacing="1"/>
              <w:jc w:val="center"/>
              <w:rPr>
                <w:rFonts w:cstheme="minorHAnsi"/>
                <w:b/>
              </w:rPr>
            </w:pPr>
          </w:p>
        </w:tc>
      </w:tr>
      <w:tr w:rsidR="00511E67" w:rsidRPr="00A847B7" w14:paraId="2486858D" w14:textId="77777777" w:rsidTr="0000086B">
        <w:trPr>
          <w:jc w:val="center"/>
        </w:trPr>
        <w:tc>
          <w:tcPr>
            <w:tcW w:w="1980" w:type="dxa"/>
            <w:vMerge/>
          </w:tcPr>
          <w:p w14:paraId="5581842A" w14:textId="77777777" w:rsidR="00511E67" w:rsidRPr="00A847B7" w:rsidRDefault="00511E67" w:rsidP="00DE52F6">
            <w:pPr>
              <w:spacing w:beforeAutospacing="1" w:after="100" w:afterAutospacing="1"/>
              <w:rPr>
                <w:rFonts w:cstheme="minorHAnsi"/>
                <w:b/>
              </w:rPr>
            </w:pPr>
          </w:p>
        </w:tc>
        <w:tc>
          <w:tcPr>
            <w:tcW w:w="3402" w:type="dxa"/>
          </w:tcPr>
          <w:p w14:paraId="64B8326C" w14:textId="7B48BDF7" w:rsidR="00511E67" w:rsidRPr="00A847B7" w:rsidRDefault="00125497" w:rsidP="0000086B">
            <w:pPr>
              <w:spacing w:beforeAutospacing="1" w:after="100" w:afterAutospacing="1"/>
              <w:jc w:val="center"/>
              <w:rPr>
                <w:rFonts w:cstheme="minorHAnsi"/>
                <w:b/>
              </w:rPr>
            </w:pPr>
            <w:r w:rsidRPr="00A847B7">
              <w:rPr>
                <w:rFonts w:cstheme="minorHAnsi"/>
                <w:b/>
              </w:rPr>
              <w:t>Jusqu’en 2020</w:t>
            </w:r>
          </w:p>
        </w:tc>
        <w:tc>
          <w:tcPr>
            <w:tcW w:w="3680" w:type="dxa"/>
          </w:tcPr>
          <w:p w14:paraId="09733A0C" w14:textId="7A1B2589" w:rsidR="00511E67" w:rsidRPr="00A847B7" w:rsidRDefault="00125497" w:rsidP="0000086B">
            <w:pPr>
              <w:spacing w:beforeAutospacing="1" w:after="100" w:afterAutospacing="1"/>
              <w:jc w:val="center"/>
              <w:rPr>
                <w:rFonts w:cstheme="minorHAnsi"/>
                <w:b/>
              </w:rPr>
            </w:pPr>
            <w:r w:rsidRPr="00A847B7">
              <w:rPr>
                <w:rFonts w:cstheme="minorHAnsi"/>
                <w:b/>
              </w:rPr>
              <w:t>A partir de 2021</w:t>
            </w:r>
          </w:p>
        </w:tc>
      </w:tr>
      <w:tr w:rsidR="00511E67" w:rsidRPr="00A847B7" w14:paraId="0D947FE6" w14:textId="77777777" w:rsidTr="0000086B">
        <w:trPr>
          <w:jc w:val="center"/>
        </w:trPr>
        <w:tc>
          <w:tcPr>
            <w:tcW w:w="1980" w:type="dxa"/>
          </w:tcPr>
          <w:p w14:paraId="57BE259F" w14:textId="7753BD17" w:rsidR="00511E67" w:rsidRPr="00A847B7" w:rsidRDefault="0059292E" w:rsidP="00DE52F6">
            <w:pPr>
              <w:spacing w:beforeAutospacing="1" w:after="100" w:afterAutospacing="1"/>
              <w:rPr>
                <w:rFonts w:cstheme="minorHAnsi"/>
              </w:rPr>
            </w:pPr>
            <w:r w:rsidRPr="00A847B7">
              <w:t>&lt; 500 </w:t>
            </w:r>
            <w:r w:rsidR="007910BA" w:rsidRPr="00A847B7">
              <w:t>K</w:t>
            </w:r>
            <w:r w:rsidRPr="00A847B7">
              <w:t>€</w:t>
            </w:r>
          </w:p>
        </w:tc>
        <w:tc>
          <w:tcPr>
            <w:tcW w:w="3402" w:type="dxa"/>
          </w:tcPr>
          <w:p w14:paraId="34B635D4" w14:textId="15BC796E" w:rsidR="00511E67" w:rsidRPr="00A847B7" w:rsidRDefault="00DD29BD" w:rsidP="00DE52F6">
            <w:pPr>
              <w:spacing w:beforeAutospacing="1" w:after="100" w:afterAutospacing="1"/>
              <w:rPr>
                <w:rFonts w:cstheme="minorHAnsi"/>
              </w:rPr>
            </w:pPr>
            <w:r w:rsidRPr="00A847B7">
              <w:rPr>
                <w:rFonts w:cstheme="minorHAnsi"/>
              </w:rPr>
              <w:t>0 %</w:t>
            </w:r>
          </w:p>
        </w:tc>
        <w:tc>
          <w:tcPr>
            <w:tcW w:w="3680" w:type="dxa"/>
          </w:tcPr>
          <w:p w14:paraId="4D3BE387" w14:textId="424357BE" w:rsidR="00511E67" w:rsidRPr="00A847B7" w:rsidRDefault="00DD29BD" w:rsidP="00DE52F6">
            <w:pPr>
              <w:spacing w:beforeAutospacing="1" w:after="100" w:afterAutospacing="1"/>
              <w:rPr>
                <w:rFonts w:cstheme="minorHAnsi"/>
              </w:rPr>
            </w:pPr>
            <w:r w:rsidRPr="00A847B7">
              <w:rPr>
                <w:rFonts w:cstheme="minorHAnsi"/>
              </w:rPr>
              <w:t>0 %</w:t>
            </w:r>
          </w:p>
        </w:tc>
      </w:tr>
      <w:tr w:rsidR="00511E67" w:rsidRPr="00A847B7" w14:paraId="739BD52A" w14:textId="77777777" w:rsidTr="0000086B">
        <w:trPr>
          <w:jc w:val="center"/>
        </w:trPr>
        <w:tc>
          <w:tcPr>
            <w:tcW w:w="1980" w:type="dxa"/>
          </w:tcPr>
          <w:p w14:paraId="14FB4378" w14:textId="72795AAC" w:rsidR="00511E67" w:rsidRPr="00A847B7" w:rsidRDefault="009945D9" w:rsidP="00DE52F6">
            <w:pPr>
              <w:spacing w:beforeAutospacing="1" w:after="100" w:afterAutospacing="1"/>
              <w:rPr>
                <w:rFonts w:cstheme="minorHAnsi"/>
              </w:rPr>
            </w:pPr>
            <w:r w:rsidRPr="00A847B7">
              <w:t>500 </w:t>
            </w:r>
            <w:r w:rsidR="00DD29BD" w:rsidRPr="00A847B7">
              <w:t>K</w:t>
            </w:r>
            <w:r w:rsidRPr="00A847B7">
              <w:t>€ ≤ CA ≤ 3 </w:t>
            </w:r>
            <w:r w:rsidR="00DD29BD" w:rsidRPr="00A847B7">
              <w:t>M</w:t>
            </w:r>
            <w:r w:rsidRPr="00A847B7">
              <w:t>€</w:t>
            </w:r>
          </w:p>
        </w:tc>
        <w:tc>
          <w:tcPr>
            <w:tcW w:w="3402" w:type="dxa"/>
          </w:tcPr>
          <w:p w14:paraId="06580CD1" w14:textId="2FCEF3DC" w:rsidR="00511E67" w:rsidRPr="00A847B7" w:rsidRDefault="00755208" w:rsidP="00DE52F6">
            <w:pPr>
              <w:spacing w:beforeAutospacing="1" w:after="100" w:afterAutospacing="1"/>
              <w:rPr>
                <w:rFonts w:cstheme="minorHAnsi"/>
              </w:rPr>
            </w:pPr>
            <w:r w:rsidRPr="00A847B7">
              <w:t>[0,5 % × (CA – 500</w:t>
            </w:r>
            <w:r w:rsidR="007E594B" w:rsidRPr="00A847B7">
              <w:t>K</w:t>
            </w:r>
            <w:r w:rsidRPr="00A847B7">
              <w:t>€)] / 2</w:t>
            </w:r>
            <w:r w:rsidR="000C710E" w:rsidRPr="00A847B7">
              <w:t>,5 M€</w:t>
            </w:r>
            <w:r w:rsidR="000C2EF5" w:rsidRPr="00A847B7">
              <w:t>]</w:t>
            </w:r>
          </w:p>
        </w:tc>
        <w:tc>
          <w:tcPr>
            <w:tcW w:w="3680" w:type="dxa"/>
          </w:tcPr>
          <w:p w14:paraId="7AF06691" w14:textId="255246F5" w:rsidR="00511E67" w:rsidRPr="00A847B7" w:rsidRDefault="0000086B" w:rsidP="00DE52F6">
            <w:pPr>
              <w:spacing w:beforeAutospacing="1" w:after="100" w:afterAutospacing="1"/>
              <w:rPr>
                <w:rFonts w:cstheme="minorHAnsi"/>
              </w:rPr>
            </w:pPr>
            <w:r w:rsidRPr="00A847B7">
              <w:t>[0,25 % × (CA – 500K€)] / 2,5 M€]</w:t>
            </w:r>
          </w:p>
        </w:tc>
      </w:tr>
      <w:tr w:rsidR="00511E67" w:rsidRPr="00A847B7" w14:paraId="05928800" w14:textId="77777777" w:rsidTr="0000086B">
        <w:trPr>
          <w:jc w:val="center"/>
        </w:trPr>
        <w:tc>
          <w:tcPr>
            <w:tcW w:w="1980" w:type="dxa"/>
          </w:tcPr>
          <w:p w14:paraId="3C4D9C47" w14:textId="55D1C4F1" w:rsidR="00511E67" w:rsidRPr="00A847B7" w:rsidRDefault="00B7530C" w:rsidP="00DE52F6">
            <w:pPr>
              <w:spacing w:beforeAutospacing="1" w:after="100" w:afterAutospacing="1"/>
              <w:rPr>
                <w:rFonts w:cstheme="minorHAnsi"/>
              </w:rPr>
            </w:pPr>
            <w:r w:rsidRPr="00A847B7">
              <w:t>3 </w:t>
            </w:r>
            <w:r w:rsidR="00DD29BD" w:rsidRPr="00A847B7">
              <w:t>M</w:t>
            </w:r>
            <w:r w:rsidRPr="00A847B7">
              <w:t>€ &lt; CA ≤ 10 </w:t>
            </w:r>
            <w:r w:rsidR="00DD29BD" w:rsidRPr="00A847B7">
              <w:t>M</w:t>
            </w:r>
            <w:r w:rsidRPr="00A847B7">
              <w:t>€</w:t>
            </w:r>
          </w:p>
        </w:tc>
        <w:tc>
          <w:tcPr>
            <w:tcW w:w="3402" w:type="dxa"/>
          </w:tcPr>
          <w:p w14:paraId="0871188D" w14:textId="369A0090" w:rsidR="00511E67" w:rsidRPr="00A847B7" w:rsidRDefault="00FF3B26" w:rsidP="00DE52F6">
            <w:pPr>
              <w:spacing w:beforeAutospacing="1" w:after="100" w:afterAutospacing="1"/>
              <w:rPr>
                <w:rFonts w:cstheme="minorHAnsi"/>
              </w:rPr>
            </w:pPr>
            <w:r w:rsidRPr="00A847B7">
              <w:t>[0,9 % × (CA – 3 </w:t>
            </w:r>
            <w:r w:rsidR="0000086B" w:rsidRPr="00A847B7">
              <w:t>M</w:t>
            </w:r>
            <w:r w:rsidRPr="00A847B7">
              <w:t>€) / 7 </w:t>
            </w:r>
            <w:r w:rsidR="0000086B" w:rsidRPr="00A847B7">
              <w:t>M</w:t>
            </w:r>
            <w:r w:rsidRPr="00A847B7">
              <w:t>€] + 0,5 %</w:t>
            </w:r>
          </w:p>
        </w:tc>
        <w:tc>
          <w:tcPr>
            <w:tcW w:w="3680" w:type="dxa"/>
          </w:tcPr>
          <w:p w14:paraId="75C79B02" w14:textId="1390EE72" w:rsidR="00511E67" w:rsidRPr="00A847B7" w:rsidRDefault="0000086B" w:rsidP="00DE52F6">
            <w:pPr>
              <w:spacing w:beforeAutospacing="1" w:after="100" w:afterAutospacing="1"/>
              <w:rPr>
                <w:rFonts w:cstheme="minorHAnsi"/>
              </w:rPr>
            </w:pPr>
            <w:r w:rsidRPr="00A847B7">
              <w:t>[0,45 % × (CA – 3 M€) / 7 M€] + 0,</w:t>
            </w:r>
            <w:r w:rsidR="00281DED">
              <w:t>25</w:t>
            </w:r>
            <w:r w:rsidR="00281DED" w:rsidRPr="00A847B7">
              <w:t xml:space="preserve"> </w:t>
            </w:r>
            <w:r w:rsidRPr="00A847B7">
              <w:t>%</w:t>
            </w:r>
          </w:p>
        </w:tc>
      </w:tr>
      <w:tr w:rsidR="00511E67" w:rsidRPr="00A847B7" w14:paraId="0EAEE60E" w14:textId="77777777" w:rsidTr="0000086B">
        <w:trPr>
          <w:jc w:val="center"/>
        </w:trPr>
        <w:tc>
          <w:tcPr>
            <w:tcW w:w="1980" w:type="dxa"/>
          </w:tcPr>
          <w:p w14:paraId="61782D9B" w14:textId="286A44AB" w:rsidR="00511E67" w:rsidRPr="00A847B7" w:rsidRDefault="00AB5EC1" w:rsidP="00DE52F6">
            <w:pPr>
              <w:spacing w:beforeAutospacing="1" w:after="100" w:afterAutospacing="1"/>
              <w:rPr>
                <w:rFonts w:cstheme="minorHAnsi"/>
              </w:rPr>
            </w:pPr>
            <w:r w:rsidRPr="00A847B7">
              <w:t>10 </w:t>
            </w:r>
            <w:r w:rsidR="00DD29BD" w:rsidRPr="00A847B7">
              <w:t>M</w:t>
            </w:r>
            <w:r w:rsidRPr="00A847B7">
              <w:t>€ &lt; CA ≤ 50</w:t>
            </w:r>
            <w:r w:rsidR="00DD29BD" w:rsidRPr="00A847B7">
              <w:t>M</w:t>
            </w:r>
            <w:r w:rsidRPr="00A847B7">
              <w:t>€</w:t>
            </w:r>
          </w:p>
        </w:tc>
        <w:tc>
          <w:tcPr>
            <w:tcW w:w="3402" w:type="dxa"/>
          </w:tcPr>
          <w:p w14:paraId="5A7A89B2" w14:textId="34B9E43D" w:rsidR="00511E67" w:rsidRPr="00A847B7" w:rsidRDefault="00AD72D6" w:rsidP="00DE52F6">
            <w:pPr>
              <w:spacing w:beforeAutospacing="1" w:after="100" w:afterAutospacing="1"/>
              <w:rPr>
                <w:rFonts w:cstheme="minorHAnsi"/>
              </w:rPr>
            </w:pPr>
            <w:r w:rsidRPr="00A847B7">
              <w:t>[0,1 % × (CA – 10 </w:t>
            </w:r>
            <w:r w:rsidR="0000086B" w:rsidRPr="00A847B7">
              <w:t>M</w:t>
            </w:r>
            <w:r w:rsidRPr="00A847B7">
              <w:t>€) / 40 </w:t>
            </w:r>
            <w:r w:rsidR="0000086B" w:rsidRPr="00A847B7">
              <w:t>M</w:t>
            </w:r>
            <w:r w:rsidRPr="00A847B7">
              <w:t>€] + 1,4 %</w:t>
            </w:r>
          </w:p>
        </w:tc>
        <w:tc>
          <w:tcPr>
            <w:tcW w:w="3680" w:type="dxa"/>
          </w:tcPr>
          <w:p w14:paraId="2A014B34" w14:textId="3A184ACE" w:rsidR="00511E67" w:rsidRPr="00A847B7" w:rsidRDefault="0000086B" w:rsidP="00DE52F6">
            <w:pPr>
              <w:spacing w:beforeAutospacing="1" w:after="100" w:afterAutospacing="1"/>
              <w:rPr>
                <w:rFonts w:cstheme="minorHAnsi"/>
              </w:rPr>
            </w:pPr>
            <w:r w:rsidRPr="00A847B7">
              <w:t xml:space="preserve">[0,05 % × (CA – 10 M€) / 40 M€] + </w:t>
            </w:r>
            <w:r w:rsidR="00281DED">
              <w:t>0,7</w:t>
            </w:r>
            <w:r w:rsidRPr="00A847B7">
              <w:t xml:space="preserve"> %</w:t>
            </w:r>
          </w:p>
        </w:tc>
      </w:tr>
      <w:tr w:rsidR="00511E67" w:rsidRPr="00A847B7" w14:paraId="25168BCE" w14:textId="77777777" w:rsidTr="0000086B">
        <w:trPr>
          <w:jc w:val="center"/>
        </w:trPr>
        <w:tc>
          <w:tcPr>
            <w:tcW w:w="1980" w:type="dxa"/>
          </w:tcPr>
          <w:p w14:paraId="66BC6A98" w14:textId="6C9A94E2" w:rsidR="00511E67" w:rsidRPr="00A847B7" w:rsidRDefault="007910BA" w:rsidP="00DE52F6">
            <w:pPr>
              <w:spacing w:beforeAutospacing="1" w:after="100" w:afterAutospacing="1"/>
              <w:rPr>
                <w:rFonts w:cstheme="minorHAnsi"/>
              </w:rPr>
            </w:pPr>
            <w:r w:rsidRPr="00A847B7">
              <w:t>&gt; 50 </w:t>
            </w:r>
            <w:r w:rsidR="00DD29BD" w:rsidRPr="00A847B7">
              <w:t>M</w:t>
            </w:r>
            <w:r w:rsidRPr="00A847B7">
              <w:t>€</w:t>
            </w:r>
          </w:p>
        </w:tc>
        <w:tc>
          <w:tcPr>
            <w:tcW w:w="3402" w:type="dxa"/>
          </w:tcPr>
          <w:p w14:paraId="65523C4F" w14:textId="3D246D24" w:rsidR="00511E67" w:rsidRPr="00A847B7" w:rsidRDefault="00AD72D6" w:rsidP="00DE52F6">
            <w:pPr>
              <w:spacing w:beforeAutospacing="1" w:after="100" w:afterAutospacing="1"/>
              <w:rPr>
                <w:rFonts w:cstheme="minorHAnsi"/>
              </w:rPr>
            </w:pPr>
            <w:r w:rsidRPr="00A847B7">
              <w:rPr>
                <w:rFonts w:cstheme="minorHAnsi"/>
              </w:rPr>
              <w:t>1,5 %</w:t>
            </w:r>
          </w:p>
        </w:tc>
        <w:tc>
          <w:tcPr>
            <w:tcW w:w="3680" w:type="dxa"/>
          </w:tcPr>
          <w:p w14:paraId="1EE07C8A" w14:textId="7580505B" w:rsidR="00511E67" w:rsidRPr="00A847B7" w:rsidRDefault="00AD72D6" w:rsidP="00DE52F6">
            <w:pPr>
              <w:spacing w:beforeAutospacing="1" w:after="100" w:afterAutospacing="1"/>
              <w:rPr>
                <w:rFonts w:cstheme="minorHAnsi"/>
              </w:rPr>
            </w:pPr>
            <w:r w:rsidRPr="00A847B7">
              <w:rPr>
                <w:rFonts w:cstheme="minorHAnsi"/>
              </w:rPr>
              <w:t>0,75 %</w:t>
            </w:r>
          </w:p>
        </w:tc>
      </w:tr>
    </w:tbl>
    <w:p w14:paraId="4C02DB5C" w14:textId="67B19809" w:rsidR="00353938" w:rsidRPr="00A847B7" w:rsidRDefault="00353938" w:rsidP="00DE52F6">
      <w:pPr>
        <w:spacing w:beforeAutospacing="1" w:after="100" w:afterAutospacing="1"/>
        <w:rPr>
          <w:rFonts w:cstheme="minorHAnsi"/>
        </w:rPr>
      </w:pPr>
      <w:r w:rsidRPr="00A847B7">
        <w:rPr>
          <w:rFonts w:cstheme="minorHAnsi"/>
        </w:rPr>
        <w:t>Dans le même temps, le taux de</w:t>
      </w:r>
      <w:r w:rsidR="000A1778" w:rsidRPr="00A847B7">
        <w:rPr>
          <w:rFonts w:cstheme="minorHAnsi"/>
        </w:rPr>
        <w:t xml:space="preserve"> </w:t>
      </w:r>
      <w:r w:rsidRPr="00A847B7">
        <w:rPr>
          <w:rFonts w:cstheme="minorHAnsi"/>
        </w:rPr>
        <w:t>la taxe pour frais de chambres de co</w:t>
      </w:r>
      <w:r w:rsidR="000A1778" w:rsidRPr="00A847B7">
        <w:rPr>
          <w:rFonts w:cstheme="minorHAnsi"/>
        </w:rPr>
        <w:t>mmerce</w:t>
      </w:r>
      <w:r w:rsidRPr="00A847B7">
        <w:rPr>
          <w:rFonts w:cstheme="minorHAnsi"/>
        </w:rPr>
        <w:t xml:space="preserve"> et d’</w:t>
      </w:r>
      <w:r w:rsidR="000A1778" w:rsidRPr="00A847B7">
        <w:rPr>
          <w:rFonts w:cstheme="minorHAnsi"/>
        </w:rPr>
        <w:t>industrie</w:t>
      </w:r>
      <w:r w:rsidRPr="00A847B7">
        <w:rPr>
          <w:rFonts w:cstheme="minorHAnsi"/>
        </w:rPr>
        <w:t xml:space="preserve">, </w:t>
      </w:r>
      <w:r w:rsidR="000A1778" w:rsidRPr="00A847B7">
        <w:rPr>
          <w:rFonts w:cstheme="minorHAnsi"/>
        </w:rPr>
        <w:t>fixé à 1,73 % en 2020, est porté à 3,46 % pour les cotisations dues à partir de 2021.</w:t>
      </w:r>
    </w:p>
    <w:p w14:paraId="561B074F" w14:textId="304D5134" w:rsidR="00511E67" w:rsidRPr="00A847B7" w:rsidRDefault="000A1778" w:rsidP="00DE52F6">
      <w:pPr>
        <w:spacing w:beforeAutospacing="1" w:after="100" w:afterAutospacing="1"/>
        <w:rPr>
          <w:rFonts w:cstheme="minorHAnsi"/>
        </w:rPr>
      </w:pPr>
      <w:r w:rsidRPr="00A847B7">
        <w:rPr>
          <w:rFonts w:cstheme="minorHAnsi"/>
        </w:rPr>
        <w:t xml:space="preserve">La modification du barème de la CVAE entraîne les </w:t>
      </w:r>
      <w:r w:rsidR="00A74E48" w:rsidRPr="00A847B7">
        <w:rPr>
          <w:rFonts w:cstheme="minorHAnsi"/>
        </w:rPr>
        <w:t>conséquences suivantes :</w:t>
      </w:r>
    </w:p>
    <w:p w14:paraId="6F4349FA" w14:textId="1E196E7D" w:rsidR="00A74E48" w:rsidRPr="00A847B7" w:rsidRDefault="00386501" w:rsidP="00EE0687">
      <w:pPr>
        <w:pStyle w:val="Paragraphedeliste"/>
        <w:numPr>
          <w:ilvl w:val="0"/>
          <w:numId w:val="62"/>
        </w:numPr>
        <w:spacing w:beforeAutospacing="1" w:after="100" w:afterAutospacing="1"/>
        <w:rPr>
          <w:rFonts w:cstheme="minorHAnsi"/>
        </w:rPr>
      </w:pPr>
      <w:r w:rsidRPr="00A847B7">
        <w:rPr>
          <w:rFonts w:cstheme="minorHAnsi"/>
        </w:rPr>
        <w:t>l</w:t>
      </w:r>
      <w:r w:rsidR="00C25F59" w:rsidRPr="00A847B7">
        <w:rPr>
          <w:rFonts w:cstheme="minorHAnsi"/>
        </w:rPr>
        <w:t>orsque le chiffre d’affaires est inférieur à 2 M€, la CVAE est diminuée de 1 000 € : ce dégrèvement sera ramené à 500 € à partir de 2021</w:t>
      </w:r>
      <w:r w:rsidRPr="00A847B7">
        <w:rPr>
          <w:rFonts w:cstheme="minorHAnsi"/>
        </w:rPr>
        <w:t> ;</w:t>
      </w:r>
    </w:p>
    <w:p w14:paraId="2C178B4E" w14:textId="19376D95" w:rsidR="00386501" w:rsidRPr="00A847B7" w:rsidRDefault="00386501" w:rsidP="00EE0687">
      <w:pPr>
        <w:pStyle w:val="Paragraphedeliste"/>
        <w:numPr>
          <w:ilvl w:val="0"/>
          <w:numId w:val="62"/>
        </w:numPr>
        <w:spacing w:beforeAutospacing="1" w:after="100" w:afterAutospacing="1"/>
        <w:rPr>
          <w:rFonts w:cstheme="minorHAnsi"/>
        </w:rPr>
      </w:pPr>
      <w:r w:rsidRPr="00A847B7">
        <w:rPr>
          <w:rFonts w:cstheme="minorHAnsi"/>
        </w:rPr>
        <w:t xml:space="preserve">le montant de la CVAE </w:t>
      </w:r>
      <w:r w:rsidR="002C7B91" w:rsidRPr="00A847B7">
        <w:rPr>
          <w:rFonts w:cstheme="minorHAnsi"/>
        </w:rPr>
        <w:t>minimale</w:t>
      </w:r>
      <w:r w:rsidRPr="00A847B7">
        <w:rPr>
          <w:rFonts w:cstheme="minorHAnsi"/>
        </w:rPr>
        <w:t>, fixée à 250 €</w:t>
      </w:r>
      <w:r w:rsidR="003D322E" w:rsidRPr="00A847B7">
        <w:rPr>
          <w:rFonts w:cstheme="minorHAnsi"/>
        </w:rPr>
        <w:t>, sera ramené à 125 € ;</w:t>
      </w:r>
    </w:p>
    <w:p w14:paraId="69A27271" w14:textId="34F10A2A" w:rsidR="00E528B9" w:rsidRPr="00A847B7" w:rsidRDefault="003D322E" w:rsidP="00EE0687">
      <w:pPr>
        <w:pStyle w:val="Paragraphedeliste"/>
        <w:numPr>
          <w:ilvl w:val="0"/>
          <w:numId w:val="62"/>
        </w:numPr>
        <w:spacing w:beforeAutospacing="1" w:after="100" w:afterAutospacing="1"/>
        <w:rPr>
          <w:rFonts w:cstheme="minorHAnsi"/>
        </w:rPr>
      </w:pPr>
      <w:r w:rsidRPr="00A847B7">
        <w:rPr>
          <w:rFonts w:cstheme="minorHAnsi"/>
        </w:rPr>
        <w:lastRenderedPageBreak/>
        <w:t>pour les acomptes</w:t>
      </w:r>
      <w:r w:rsidR="00093BD1" w:rsidRPr="00A847B7">
        <w:rPr>
          <w:rFonts w:cstheme="minorHAnsi"/>
        </w:rPr>
        <w:t xml:space="preserve"> dus à compter de 2022, le seuil d’exigibilité, fixé jusqu’à présent à 3 000 €, est </w:t>
      </w:r>
      <w:r w:rsidR="005913EB" w:rsidRPr="00A847B7">
        <w:rPr>
          <w:rFonts w:cstheme="minorHAnsi"/>
        </w:rPr>
        <w:t xml:space="preserve">ramené à 1 500 € : dès lors que la CVAE sera d’un montant supérieur à 1 500 €, l’entreprise devra </w:t>
      </w:r>
      <w:r w:rsidR="000D4E34" w:rsidRPr="00A847B7">
        <w:rPr>
          <w:rFonts w:cstheme="minorHAnsi"/>
        </w:rPr>
        <w:t>verser</w:t>
      </w:r>
      <w:r w:rsidR="005913EB" w:rsidRPr="00A847B7">
        <w:rPr>
          <w:rFonts w:cstheme="minorHAnsi"/>
        </w:rPr>
        <w:t xml:space="preserve"> deux</w:t>
      </w:r>
      <w:r w:rsidR="000D4E34" w:rsidRPr="00A847B7">
        <w:rPr>
          <w:rFonts w:cstheme="minorHAnsi"/>
        </w:rPr>
        <w:t xml:space="preserve"> </w:t>
      </w:r>
      <w:r w:rsidR="005913EB" w:rsidRPr="00A847B7">
        <w:rPr>
          <w:rFonts w:cstheme="minorHAnsi"/>
        </w:rPr>
        <w:t xml:space="preserve">acomptes </w:t>
      </w:r>
      <w:r w:rsidR="000D4E34" w:rsidRPr="00A847B7">
        <w:rPr>
          <w:rFonts w:cstheme="minorHAnsi"/>
        </w:rPr>
        <w:t xml:space="preserve">(en </w:t>
      </w:r>
      <w:proofErr w:type="gramStart"/>
      <w:r w:rsidR="000D4E34" w:rsidRPr="00A847B7">
        <w:rPr>
          <w:rFonts w:cstheme="minorHAnsi"/>
        </w:rPr>
        <w:t>juin  et</w:t>
      </w:r>
      <w:proofErr w:type="gramEnd"/>
      <w:r w:rsidR="000D4E34" w:rsidRPr="00A847B7">
        <w:rPr>
          <w:rFonts w:cstheme="minorHAnsi"/>
        </w:rPr>
        <w:t xml:space="preserve"> en septembre), chacun étant égal à la moitié de la CVAE nette  au titre de l’année d’imposition</w:t>
      </w:r>
      <w:r w:rsidR="00E528B9" w:rsidRPr="00A847B7">
        <w:rPr>
          <w:rFonts w:cstheme="minorHAnsi"/>
        </w:rPr>
        <w:t> ;</w:t>
      </w:r>
    </w:p>
    <w:p w14:paraId="53BFB421" w14:textId="651AA467" w:rsidR="003D322E" w:rsidRPr="00A847B7" w:rsidRDefault="00E528B9" w:rsidP="00EE0687">
      <w:pPr>
        <w:pStyle w:val="Paragraphedeliste"/>
        <w:numPr>
          <w:ilvl w:val="0"/>
          <w:numId w:val="62"/>
        </w:numPr>
        <w:spacing w:beforeAutospacing="1" w:after="100" w:afterAutospacing="1"/>
        <w:rPr>
          <w:rFonts w:cstheme="minorHAnsi"/>
        </w:rPr>
      </w:pPr>
      <w:r w:rsidRPr="00A847B7">
        <w:rPr>
          <w:rFonts w:cstheme="minorHAnsi"/>
        </w:rPr>
        <w:t>le coefficient de pondération</w:t>
      </w:r>
      <w:r w:rsidR="00C67B00" w:rsidRPr="00A847B7">
        <w:rPr>
          <w:rFonts w:cstheme="minorHAnsi"/>
        </w:rPr>
        <w:t xml:space="preserve"> (qui </w:t>
      </w:r>
      <w:r w:rsidR="008D12E3" w:rsidRPr="00A847B7">
        <w:rPr>
          <w:rFonts w:cstheme="minorHAnsi"/>
        </w:rPr>
        <w:t>bénéficie aux</w:t>
      </w:r>
      <w:r w:rsidR="00C67B00" w:rsidRPr="00A847B7">
        <w:rPr>
          <w:rFonts w:cstheme="minorHAnsi"/>
        </w:rPr>
        <w:t xml:space="preserve"> entreprises </w:t>
      </w:r>
      <w:r w:rsidR="00E67DC3" w:rsidRPr="00A847B7">
        <w:rPr>
          <w:rFonts w:cstheme="minorHAnsi"/>
        </w:rPr>
        <w:t xml:space="preserve">qui </w:t>
      </w:r>
      <w:r w:rsidR="00E67DC3" w:rsidRPr="00A847B7">
        <w:t>disposent de locaux ou emploient des salariés exerçant leur activité plus de 3 mois dans plusieurs communes</w:t>
      </w:r>
      <w:r w:rsidR="008D12E3" w:rsidRPr="00A847B7">
        <w:t xml:space="preserve">) appliqué </w:t>
      </w:r>
      <w:r w:rsidR="008B7EC9" w:rsidRPr="00A847B7">
        <w:t>à la valeur locative des immobilisations industrielles évaluées selon</w:t>
      </w:r>
      <w:r w:rsidR="00B9350F" w:rsidRPr="00A847B7">
        <w:t xml:space="preserve"> </w:t>
      </w:r>
      <w:r w:rsidR="008B7EC9" w:rsidRPr="00A847B7">
        <w:t xml:space="preserve">la valeur comptable, passe de </w:t>
      </w:r>
      <w:r w:rsidR="00B9350F" w:rsidRPr="00A847B7">
        <w:t>21 à 42</w:t>
      </w:r>
      <w:r w:rsidR="005D55C0" w:rsidRPr="00A847B7">
        <w:t xml:space="preserve"> (dispositif applicable pour le calcul de la répartition </w:t>
      </w:r>
      <w:r w:rsidR="004843B5" w:rsidRPr="00A847B7">
        <w:t xml:space="preserve">de la cotisation </w:t>
      </w:r>
      <w:r w:rsidR="00731A35" w:rsidRPr="00A847B7">
        <w:t>entre les communes concernées)</w:t>
      </w:r>
      <w:r w:rsidR="009D7E23" w:rsidRPr="00A847B7">
        <w:rPr>
          <w:rFonts w:cstheme="minorHAnsi"/>
        </w:rPr>
        <w:t>.</w:t>
      </w:r>
    </w:p>
    <w:p w14:paraId="68E774F7" w14:textId="77777777" w:rsidR="002C7029" w:rsidRPr="00A847B7" w:rsidRDefault="002C7029" w:rsidP="002C7029"/>
    <w:p w14:paraId="127F1B33" w14:textId="03E891EF" w:rsidR="002C7029" w:rsidRPr="00A847B7" w:rsidRDefault="002C7029" w:rsidP="002C7029">
      <w:pPr>
        <w:pStyle w:val="Titre3"/>
      </w:pPr>
      <w:bookmarkStart w:id="101" w:name="_Toc60781023"/>
      <w:r w:rsidRPr="00A847B7">
        <w:t xml:space="preserve">Slide </w:t>
      </w:r>
      <w:r w:rsidR="0016662A">
        <w:t>65</w:t>
      </w:r>
      <w:r w:rsidRPr="00A847B7">
        <w:t xml:space="preserve"> : </w:t>
      </w:r>
      <w:r w:rsidR="00A50B3E" w:rsidRPr="00A847B7">
        <w:t>Contribution économique territoriale : cotisation foncière des entreprises</w:t>
      </w:r>
      <w:r w:rsidR="006879F7" w:rsidRPr="00A847B7">
        <w:t xml:space="preserve"> (CFE)</w:t>
      </w:r>
      <w:bookmarkEnd w:id="101"/>
    </w:p>
    <w:p w14:paraId="0A988871" w14:textId="7AA96BBF" w:rsidR="00A50B3E" w:rsidRPr="00A847B7" w:rsidRDefault="00147770" w:rsidP="00A50B3E">
      <w:r w:rsidRPr="004F587E">
        <w:rPr>
          <w:u w:val="single"/>
        </w:rPr>
        <w:t xml:space="preserve">Source </w:t>
      </w:r>
      <w:r w:rsidRPr="00A847B7">
        <w:t>:</w:t>
      </w:r>
      <w:r w:rsidR="00A50B3E" w:rsidRPr="00A847B7">
        <w:t xml:space="preserve"> Loi de Finances pour 2021, </w:t>
      </w:r>
      <w:r w:rsidR="00A50B3E" w:rsidRPr="00BB7935">
        <w:t>article</w:t>
      </w:r>
      <w:r w:rsidR="00434298" w:rsidRPr="00BB7935">
        <w:t>s</w:t>
      </w:r>
      <w:r w:rsidR="00A50B3E" w:rsidRPr="00BB7935">
        <w:t xml:space="preserve"> </w:t>
      </w:r>
      <w:r w:rsidR="000C292E">
        <w:t>8</w:t>
      </w:r>
      <w:r w:rsidR="00B96F8C" w:rsidRPr="00A44B82">
        <w:t>,</w:t>
      </w:r>
      <w:r w:rsidR="00B96F8C" w:rsidRPr="00581905">
        <w:t xml:space="preserve"> 120</w:t>
      </w:r>
    </w:p>
    <w:p w14:paraId="3037E5D3" w14:textId="6EF5E282" w:rsidR="00A50B3E" w:rsidRPr="00A847B7" w:rsidRDefault="00A50B3E" w:rsidP="00A50B3E">
      <w:pPr>
        <w:spacing w:beforeAutospacing="1" w:after="100" w:afterAutospacing="1"/>
        <w:rPr>
          <w:rFonts w:cstheme="minorHAnsi"/>
        </w:rPr>
      </w:pPr>
      <w:r w:rsidRPr="00A847B7">
        <w:rPr>
          <w:rFonts w:cstheme="minorHAnsi"/>
        </w:rPr>
        <w:t xml:space="preserve">La </w:t>
      </w:r>
      <w:r w:rsidRPr="00A847B7">
        <w:t>Loi</w:t>
      </w:r>
      <w:r w:rsidRPr="00A847B7">
        <w:rPr>
          <w:rFonts w:cstheme="minorHAnsi"/>
        </w:rPr>
        <w:t xml:space="preserve"> de Finances pour 2021 aménage le régime de la cotisation foncière des entreprises (CFE) sur plusieurs aspects.</w:t>
      </w:r>
    </w:p>
    <w:p w14:paraId="69FF92A8" w14:textId="6D30350F" w:rsidR="00A50B3E" w:rsidRPr="00A847B7" w:rsidRDefault="00A50B3E" w:rsidP="00EE0687">
      <w:pPr>
        <w:pStyle w:val="Paragraphedeliste"/>
        <w:numPr>
          <w:ilvl w:val="0"/>
          <w:numId w:val="60"/>
        </w:numPr>
        <w:spacing w:beforeAutospacing="1" w:after="100" w:afterAutospacing="1"/>
        <w:rPr>
          <w:rFonts w:cstheme="minorHAnsi"/>
          <w:b/>
          <w:i/>
          <w:u w:val="single"/>
        </w:rPr>
      </w:pPr>
      <w:r w:rsidRPr="00A847B7">
        <w:rPr>
          <w:rFonts w:cstheme="minorHAnsi"/>
          <w:b/>
          <w:i/>
          <w:u w:val="single"/>
        </w:rPr>
        <w:t xml:space="preserve">Exonérations de CFE </w:t>
      </w:r>
    </w:p>
    <w:p w14:paraId="25B6F3C7" w14:textId="0A72E66F" w:rsidR="000E2964" w:rsidRPr="00A847B7" w:rsidRDefault="00480C02" w:rsidP="00480C02">
      <w:pPr>
        <w:spacing w:beforeAutospacing="1" w:after="100" w:afterAutospacing="1"/>
      </w:pPr>
      <w:r w:rsidRPr="00A847B7">
        <w:rPr>
          <w:rFonts w:cstheme="minorHAnsi"/>
        </w:rPr>
        <w:t>Il faut rappeler qu’</w:t>
      </w:r>
      <w:r w:rsidR="000E2964" w:rsidRPr="00A847B7">
        <w:t xml:space="preserve">en cas de création d’établissement, la CFE n’est pas due pour l’année de la création </w:t>
      </w:r>
      <w:r w:rsidR="00974DD9" w:rsidRPr="00A847B7">
        <w:t>et</w:t>
      </w:r>
      <w:r w:rsidR="000E2964" w:rsidRPr="00A847B7">
        <w:t xml:space="preserve">, pour la première année d'imposition, la base </w:t>
      </w:r>
      <w:r w:rsidR="00974DD9" w:rsidRPr="00A847B7">
        <w:t xml:space="preserve">d’imposition </w:t>
      </w:r>
      <w:r w:rsidR="000E2964" w:rsidRPr="00A847B7">
        <w:t>est réduite de moitié.</w:t>
      </w:r>
    </w:p>
    <w:p w14:paraId="76B2D682" w14:textId="2147FE1D" w:rsidR="000E2964" w:rsidRPr="00A847B7" w:rsidRDefault="006E385F" w:rsidP="000E2964">
      <w:pPr>
        <w:pStyle w:val="NormalWeb"/>
        <w:rPr>
          <w:rFonts w:asciiTheme="minorHAnsi" w:hAnsiTheme="minorHAnsi" w:cstheme="minorHAnsi"/>
          <w:sz w:val="20"/>
          <w:szCs w:val="20"/>
        </w:rPr>
      </w:pPr>
      <w:r w:rsidRPr="00A847B7">
        <w:rPr>
          <w:rFonts w:asciiTheme="minorHAnsi" w:hAnsiTheme="minorHAnsi" w:cstheme="minorHAnsi"/>
          <w:sz w:val="20"/>
          <w:szCs w:val="20"/>
        </w:rPr>
        <w:t>Il faut, par ailleurs, rappeler qu’e</w:t>
      </w:r>
      <w:r w:rsidR="000E2964" w:rsidRPr="00A847B7">
        <w:rPr>
          <w:rFonts w:asciiTheme="minorHAnsi" w:hAnsiTheme="minorHAnsi" w:cstheme="minorHAnsi"/>
          <w:sz w:val="20"/>
          <w:szCs w:val="20"/>
        </w:rPr>
        <w:t xml:space="preserve">n cas d'extension d'établissement, compte tenu de la période de référence de la CFE </w:t>
      </w:r>
      <w:r w:rsidR="008C65BF" w:rsidRPr="00A847B7">
        <w:rPr>
          <w:rFonts w:asciiTheme="minorHAnsi" w:hAnsiTheme="minorHAnsi" w:cstheme="minorHAnsi"/>
          <w:sz w:val="20"/>
          <w:szCs w:val="20"/>
        </w:rPr>
        <w:t>(</w:t>
      </w:r>
      <w:r w:rsidRPr="00A847B7">
        <w:rPr>
          <w:rFonts w:asciiTheme="minorHAnsi" w:hAnsiTheme="minorHAnsi" w:cstheme="minorHAnsi"/>
          <w:sz w:val="20"/>
          <w:szCs w:val="20"/>
        </w:rPr>
        <w:t xml:space="preserve">qui correspond </w:t>
      </w:r>
      <w:r w:rsidR="008C65BF" w:rsidRPr="00A847B7">
        <w:rPr>
          <w:rFonts w:asciiTheme="minorHAnsi" w:hAnsiTheme="minorHAnsi" w:cstheme="minorHAnsi"/>
          <w:sz w:val="20"/>
          <w:szCs w:val="20"/>
        </w:rPr>
        <w:t>à l'avant-dernière année précédant celle de l'imposition ou le dernier exercice de 12 mois clos au cours de cette même année lorsque cet exercice ne coïncide pas avec l'année civile</w:t>
      </w:r>
      <w:r w:rsidR="000E2964" w:rsidRPr="00A847B7">
        <w:rPr>
          <w:rFonts w:asciiTheme="minorHAnsi" w:hAnsiTheme="minorHAnsi" w:cstheme="minorHAnsi"/>
          <w:sz w:val="20"/>
          <w:szCs w:val="20"/>
        </w:rPr>
        <w:t>), l'augmentation des bases constatées à la clôture d'une période de référence N est imposée à compter de l'année d'imposition N+2.</w:t>
      </w:r>
    </w:p>
    <w:p w14:paraId="45DC226D" w14:textId="18185431" w:rsidR="000E2964" w:rsidRPr="00A847B7" w:rsidRDefault="000E2964" w:rsidP="000E2964">
      <w:pPr>
        <w:pStyle w:val="NormalWeb"/>
        <w:rPr>
          <w:rFonts w:asciiTheme="minorHAnsi" w:hAnsiTheme="minorHAnsi" w:cstheme="minorHAnsi"/>
          <w:sz w:val="20"/>
          <w:szCs w:val="20"/>
        </w:rPr>
      </w:pPr>
      <w:r w:rsidRPr="00A847B7">
        <w:rPr>
          <w:rFonts w:asciiTheme="minorHAnsi" w:hAnsiTheme="minorHAnsi" w:cstheme="minorHAnsi"/>
          <w:sz w:val="20"/>
          <w:szCs w:val="20"/>
        </w:rPr>
        <w:t>Afin de favoriser l</w:t>
      </w:r>
      <w:r w:rsidR="00C12E00" w:rsidRPr="00A847B7">
        <w:rPr>
          <w:rFonts w:asciiTheme="minorHAnsi" w:hAnsiTheme="minorHAnsi" w:cstheme="minorHAnsi"/>
          <w:sz w:val="20"/>
          <w:szCs w:val="20"/>
        </w:rPr>
        <w:t>a création,</w:t>
      </w:r>
      <w:r w:rsidRPr="00A847B7">
        <w:rPr>
          <w:rFonts w:asciiTheme="minorHAnsi" w:hAnsiTheme="minorHAnsi" w:cstheme="minorHAnsi"/>
          <w:sz w:val="20"/>
          <w:szCs w:val="20"/>
        </w:rPr>
        <w:t xml:space="preserve"> l’implantation ou l’extension d’activités sur leur territoire, les communes ou les </w:t>
      </w:r>
      <w:r w:rsidR="00AB69C2" w:rsidRPr="00A847B7">
        <w:rPr>
          <w:rFonts w:asciiTheme="minorHAnsi" w:hAnsiTheme="minorHAnsi" w:cstheme="minorHAnsi"/>
          <w:sz w:val="20"/>
          <w:szCs w:val="20"/>
        </w:rPr>
        <w:t>établissements publics de coopération intercommunale (</w:t>
      </w:r>
      <w:r w:rsidRPr="00A847B7">
        <w:rPr>
          <w:rFonts w:asciiTheme="minorHAnsi" w:hAnsiTheme="minorHAnsi" w:cstheme="minorHAnsi"/>
          <w:sz w:val="20"/>
          <w:szCs w:val="20"/>
        </w:rPr>
        <w:t>EPCI</w:t>
      </w:r>
      <w:r w:rsidR="00AB69C2" w:rsidRPr="00A847B7">
        <w:rPr>
          <w:rFonts w:asciiTheme="minorHAnsi" w:hAnsiTheme="minorHAnsi" w:cstheme="minorHAnsi"/>
          <w:sz w:val="20"/>
          <w:szCs w:val="20"/>
        </w:rPr>
        <w:t>)</w:t>
      </w:r>
      <w:r w:rsidRPr="00A847B7">
        <w:rPr>
          <w:rFonts w:asciiTheme="minorHAnsi" w:hAnsiTheme="minorHAnsi" w:cstheme="minorHAnsi"/>
          <w:sz w:val="20"/>
          <w:szCs w:val="20"/>
        </w:rPr>
        <w:t xml:space="preserve"> à fiscalité propre pourr</w:t>
      </w:r>
      <w:r w:rsidR="00AB69C2" w:rsidRPr="00A847B7">
        <w:rPr>
          <w:rFonts w:asciiTheme="minorHAnsi" w:hAnsiTheme="minorHAnsi" w:cstheme="minorHAnsi"/>
          <w:sz w:val="20"/>
          <w:szCs w:val="20"/>
        </w:rPr>
        <w:t>o</w:t>
      </w:r>
      <w:r w:rsidRPr="00A847B7">
        <w:rPr>
          <w:rFonts w:asciiTheme="minorHAnsi" w:hAnsiTheme="minorHAnsi" w:cstheme="minorHAnsi"/>
          <w:sz w:val="20"/>
          <w:szCs w:val="20"/>
        </w:rPr>
        <w:t>nt exonérer de CFE les nouveaux établissements</w:t>
      </w:r>
      <w:r w:rsidR="00AB69C2" w:rsidRPr="00A847B7">
        <w:rPr>
          <w:rFonts w:asciiTheme="minorHAnsi" w:hAnsiTheme="minorHAnsi" w:cstheme="minorHAnsi"/>
          <w:sz w:val="20"/>
          <w:szCs w:val="20"/>
        </w:rPr>
        <w:t>,</w:t>
      </w:r>
      <w:r w:rsidRPr="00A847B7">
        <w:rPr>
          <w:rFonts w:asciiTheme="minorHAnsi" w:hAnsiTheme="minorHAnsi" w:cstheme="minorHAnsi"/>
          <w:sz w:val="20"/>
          <w:szCs w:val="20"/>
        </w:rPr>
        <w:t xml:space="preserve"> ainsi que les extensions d'établissement pour une durée de 3 ans. Cette nouvelle exonération </w:t>
      </w:r>
      <w:r w:rsidR="00B60601" w:rsidRPr="00A847B7">
        <w:rPr>
          <w:rFonts w:asciiTheme="minorHAnsi" w:hAnsiTheme="minorHAnsi" w:cstheme="minorHAnsi"/>
          <w:sz w:val="20"/>
          <w:szCs w:val="20"/>
        </w:rPr>
        <w:t>s’applique</w:t>
      </w:r>
      <w:r w:rsidR="00D6034D" w:rsidRPr="00A847B7">
        <w:rPr>
          <w:rFonts w:asciiTheme="minorHAnsi" w:hAnsiTheme="minorHAnsi" w:cstheme="minorHAnsi"/>
          <w:sz w:val="20"/>
          <w:szCs w:val="20"/>
        </w:rPr>
        <w:t>ra</w:t>
      </w:r>
      <w:r w:rsidRPr="00A847B7">
        <w:rPr>
          <w:rFonts w:asciiTheme="minorHAnsi" w:hAnsiTheme="minorHAnsi" w:cstheme="minorHAnsi"/>
          <w:sz w:val="20"/>
          <w:szCs w:val="20"/>
        </w:rPr>
        <w:t xml:space="preserve"> aux créations et extensions intervenues à compter du 1</w:t>
      </w:r>
      <w:r w:rsidRPr="00A847B7">
        <w:rPr>
          <w:rFonts w:asciiTheme="minorHAnsi" w:hAnsiTheme="minorHAnsi" w:cstheme="minorHAnsi"/>
          <w:sz w:val="20"/>
          <w:szCs w:val="20"/>
          <w:vertAlign w:val="superscript"/>
        </w:rPr>
        <w:t>er</w:t>
      </w:r>
      <w:r w:rsidRPr="00A847B7">
        <w:rPr>
          <w:rFonts w:asciiTheme="minorHAnsi" w:hAnsiTheme="minorHAnsi" w:cstheme="minorHAnsi"/>
          <w:sz w:val="20"/>
          <w:szCs w:val="20"/>
        </w:rPr>
        <w:t> janvier 2021.</w:t>
      </w:r>
    </w:p>
    <w:p w14:paraId="29218A56" w14:textId="7B34EC69" w:rsidR="000E2964" w:rsidRPr="00A847B7" w:rsidRDefault="000E2964" w:rsidP="000E2964">
      <w:pPr>
        <w:pStyle w:val="NormalWeb"/>
        <w:rPr>
          <w:rFonts w:asciiTheme="minorHAnsi" w:hAnsiTheme="minorHAnsi" w:cstheme="minorHAnsi"/>
          <w:sz w:val="20"/>
          <w:szCs w:val="20"/>
        </w:rPr>
      </w:pPr>
      <w:r w:rsidRPr="00A847B7">
        <w:rPr>
          <w:rFonts w:asciiTheme="minorHAnsi" w:hAnsiTheme="minorHAnsi" w:cstheme="minorHAnsi"/>
          <w:sz w:val="20"/>
          <w:szCs w:val="20"/>
        </w:rPr>
        <w:t>Le point de départ de cette durée de 3 ans sera, selon le cas :</w:t>
      </w:r>
    </w:p>
    <w:p w14:paraId="06C4DDD0" w14:textId="185283C1" w:rsidR="000E2964" w:rsidRPr="00A847B7" w:rsidRDefault="000E2964" w:rsidP="00EE0687">
      <w:pPr>
        <w:pStyle w:val="NormalWeb"/>
        <w:numPr>
          <w:ilvl w:val="0"/>
          <w:numId w:val="72"/>
        </w:numPr>
        <w:rPr>
          <w:rFonts w:asciiTheme="minorHAnsi" w:hAnsiTheme="minorHAnsi" w:cstheme="minorHAnsi"/>
          <w:sz w:val="20"/>
          <w:szCs w:val="20"/>
        </w:rPr>
      </w:pPr>
      <w:r w:rsidRPr="00A847B7">
        <w:rPr>
          <w:rFonts w:asciiTheme="minorHAnsi" w:hAnsiTheme="minorHAnsi" w:cstheme="minorHAnsi"/>
          <w:sz w:val="20"/>
          <w:szCs w:val="20"/>
        </w:rPr>
        <w:t>en cas de création d'établissement, l’année qui suit celle de la création</w:t>
      </w:r>
      <w:r w:rsidR="00F87CA2" w:rsidRPr="00A847B7">
        <w:rPr>
          <w:rFonts w:asciiTheme="minorHAnsi" w:hAnsiTheme="minorHAnsi" w:cstheme="minorHAnsi"/>
          <w:sz w:val="20"/>
          <w:szCs w:val="20"/>
        </w:rPr>
        <w:t xml:space="preserve"> : </w:t>
      </w:r>
      <w:r w:rsidR="00B60601" w:rsidRPr="00A847B7">
        <w:rPr>
          <w:rFonts w:asciiTheme="minorHAnsi" w:hAnsiTheme="minorHAnsi" w:cstheme="minorHAnsi"/>
          <w:sz w:val="20"/>
          <w:szCs w:val="20"/>
        </w:rPr>
        <w:t>d</w:t>
      </w:r>
      <w:r w:rsidRPr="00A847B7">
        <w:rPr>
          <w:rFonts w:asciiTheme="minorHAnsi" w:hAnsiTheme="minorHAnsi" w:cstheme="minorHAnsi"/>
          <w:sz w:val="20"/>
          <w:szCs w:val="20"/>
        </w:rPr>
        <w:t>ans ce cas, l’exonération facultative s’appliquerait après la réduction de moitié de la base appliquée de plein droit</w:t>
      </w:r>
      <w:r w:rsidR="00F87CA2" w:rsidRPr="00A847B7">
        <w:rPr>
          <w:rFonts w:asciiTheme="minorHAnsi" w:hAnsiTheme="minorHAnsi" w:cstheme="minorHAnsi"/>
          <w:sz w:val="20"/>
          <w:szCs w:val="20"/>
        </w:rPr>
        <w:t> ;</w:t>
      </w:r>
    </w:p>
    <w:p w14:paraId="497E1C80" w14:textId="309554B6" w:rsidR="000E2964" w:rsidRPr="00A847B7" w:rsidRDefault="000E2964" w:rsidP="00EE0687">
      <w:pPr>
        <w:pStyle w:val="NormalWeb"/>
        <w:numPr>
          <w:ilvl w:val="0"/>
          <w:numId w:val="72"/>
        </w:numPr>
        <w:rPr>
          <w:rFonts w:asciiTheme="minorHAnsi" w:hAnsiTheme="minorHAnsi" w:cstheme="minorHAnsi"/>
          <w:sz w:val="20"/>
          <w:szCs w:val="20"/>
        </w:rPr>
      </w:pPr>
      <w:r w:rsidRPr="00A847B7">
        <w:rPr>
          <w:rFonts w:asciiTheme="minorHAnsi" w:hAnsiTheme="minorHAnsi" w:cstheme="minorHAnsi"/>
          <w:sz w:val="20"/>
          <w:szCs w:val="20"/>
        </w:rPr>
        <w:t>en cas d'extension d'établissement, la deuxième année qui suit celle au cours de laquelle l’extension d’établissement est intervenue.</w:t>
      </w:r>
    </w:p>
    <w:p w14:paraId="06182D3A" w14:textId="0C7461C0" w:rsidR="000E2964" w:rsidRPr="00A847B7" w:rsidRDefault="00F87CA2" w:rsidP="000E2964">
      <w:pPr>
        <w:pStyle w:val="NormalWeb"/>
        <w:rPr>
          <w:rFonts w:asciiTheme="minorHAnsi" w:hAnsiTheme="minorHAnsi" w:cstheme="minorHAnsi"/>
          <w:sz w:val="20"/>
          <w:szCs w:val="20"/>
        </w:rPr>
      </w:pPr>
      <w:r w:rsidRPr="00A847B7">
        <w:rPr>
          <w:rFonts w:asciiTheme="minorHAnsi" w:hAnsiTheme="minorHAnsi" w:cstheme="minorHAnsi"/>
          <w:sz w:val="20"/>
          <w:szCs w:val="20"/>
        </w:rPr>
        <w:t>Il faut noter que c</w:t>
      </w:r>
      <w:r w:rsidR="000E2964" w:rsidRPr="00A847B7">
        <w:rPr>
          <w:rFonts w:asciiTheme="minorHAnsi" w:hAnsiTheme="minorHAnsi" w:cstheme="minorHAnsi"/>
          <w:sz w:val="20"/>
          <w:szCs w:val="20"/>
        </w:rPr>
        <w:t xml:space="preserve">ette nouvelle </w:t>
      </w:r>
      <w:r w:rsidRPr="00A847B7">
        <w:rPr>
          <w:rFonts w:asciiTheme="minorHAnsi" w:hAnsiTheme="minorHAnsi" w:cstheme="minorHAnsi"/>
          <w:sz w:val="20"/>
          <w:szCs w:val="20"/>
        </w:rPr>
        <w:t>exonération facultative est cumulable avec le</w:t>
      </w:r>
      <w:r w:rsidR="000E2964" w:rsidRPr="00A847B7">
        <w:rPr>
          <w:rFonts w:asciiTheme="minorHAnsi" w:hAnsiTheme="minorHAnsi" w:cstheme="minorHAnsi"/>
          <w:sz w:val="20"/>
          <w:szCs w:val="20"/>
        </w:rPr>
        <w:t xml:space="preserve"> crédit de CFE</w:t>
      </w:r>
      <w:r w:rsidRPr="00A847B7">
        <w:rPr>
          <w:rFonts w:asciiTheme="minorHAnsi" w:hAnsiTheme="minorHAnsi" w:cstheme="minorHAnsi"/>
          <w:sz w:val="20"/>
          <w:szCs w:val="20"/>
        </w:rPr>
        <w:t xml:space="preserve"> applicable dans les zones de restructuration de la </w:t>
      </w:r>
      <w:r w:rsidR="00045EBC" w:rsidRPr="00A847B7">
        <w:rPr>
          <w:rFonts w:asciiTheme="minorHAnsi" w:hAnsiTheme="minorHAnsi" w:cstheme="minorHAnsi"/>
          <w:sz w:val="20"/>
          <w:szCs w:val="20"/>
        </w:rPr>
        <w:t>défense (</w:t>
      </w:r>
      <w:r w:rsidR="000E2964" w:rsidRPr="00A847B7">
        <w:rPr>
          <w:rFonts w:asciiTheme="minorHAnsi" w:hAnsiTheme="minorHAnsi" w:cstheme="minorHAnsi"/>
          <w:sz w:val="20"/>
          <w:szCs w:val="20"/>
        </w:rPr>
        <w:t>ZRD</w:t>
      </w:r>
      <w:r w:rsidR="00045EBC" w:rsidRPr="00A847B7">
        <w:rPr>
          <w:rFonts w:asciiTheme="minorHAnsi" w:hAnsiTheme="minorHAnsi" w:cstheme="minorHAnsi"/>
          <w:sz w:val="20"/>
          <w:szCs w:val="20"/>
        </w:rPr>
        <w:t>)</w:t>
      </w:r>
      <w:r w:rsidR="000E2964" w:rsidRPr="00A847B7">
        <w:rPr>
          <w:rFonts w:asciiTheme="minorHAnsi" w:hAnsiTheme="minorHAnsi" w:cstheme="minorHAnsi"/>
          <w:sz w:val="20"/>
          <w:szCs w:val="20"/>
        </w:rPr>
        <w:t>.</w:t>
      </w:r>
    </w:p>
    <w:p w14:paraId="0C74052A" w14:textId="00DAFF55" w:rsidR="000E2964" w:rsidRPr="00A847B7" w:rsidRDefault="000E2964" w:rsidP="000E2964">
      <w:pPr>
        <w:pStyle w:val="NormalWeb"/>
        <w:rPr>
          <w:rFonts w:asciiTheme="minorHAnsi" w:hAnsiTheme="minorHAnsi" w:cstheme="minorHAnsi"/>
          <w:sz w:val="20"/>
          <w:szCs w:val="20"/>
        </w:rPr>
      </w:pPr>
      <w:r w:rsidRPr="00A847B7">
        <w:rPr>
          <w:rFonts w:asciiTheme="minorHAnsi" w:hAnsiTheme="minorHAnsi" w:cstheme="minorHAnsi"/>
          <w:sz w:val="20"/>
          <w:szCs w:val="20"/>
        </w:rPr>
        <w:t>Cette nouvelle exonération s'applique</w:t>
      </w:r>
      <w:r w:rsidR="00B57E9D" w:rsidRPr="00A847B7">
        <w:rPr>
          <w:rFonts w:asciiTheme="minorHAnsi" w:hAnsiTheme="minorHAnsi" w:cstheme="minorHAnsi"/>
          <w:sz w:val="20"/>
          <w:szCs w:val="20"/>
        </w:rPr>
        <w:t>ra</w:t>
      </w:r>
      <w:r w:rsidRPr="00A847B7">
        <w:rPr>
          <w:rFonts w:asciiTheme="minorHAnsi" w:hAnsiTheme="minorHAnsi" w:cstheme="minorHAnsi"/>
          <w:sz w:val="20"/>
          <w:szCs w:val="20"/>
        </w:rPr>
        <w:t xml:space="preserve"> dans les conditions suivantes :</w:t>
      </w:r>
    </w:p>
    <w:p w14:paraId="59F6C684" w14:textId="4BE7E668" w:rsidR="000E2964" w:rsidRPr="00A847B7" w:rsidRDefault="000E2964" w:rsidP="00EE0687">
      <w:pPr>
        <w:pStyle w:val="NormalWeb"/>
        <w:numPr>
          <w:ilvl w:val="0"/>
          <w:numId w:val="112"/>
        </w:numPr>
        <w:rPr>
          <w:rFonts w:asciiTheme="minorHAnsi" w:hAnsiTheme="minorHAnsi" w:cstheme="minorHAnsi"/>
          <w:sz w:val="20"/>
          <w:szCs w:val="20"/>
        </w:rPr>
      </w:pPr>
      <w:r w:rsidRPr="00A847B7">
        <w:rPr>
          <w:rFonts w:asciiTheme="minorHAnsi" w:hAnsiTheme="minorHAnsi" w:cstheme="minorHAnsi"/>
          <w:sz w:val="20"/>
          <w:szCs w:val="20"/>
        </w:rPr>
        <w:t xml:space="preserve">elle </w:t>
      </w:r>
      <w:r w:rsidR="00045EBC" w:rsidRPr="00A847B7">
        <w:rPr>
          <w:rFonts w:asciiTheme="minorHAnsi" w:hAnsiTheme="minorHAnsi" w:cstheme="minorHAnsi"/>
          <w:sz w:val="20"/>
          <w:szCs w:val="20"/>
        </w:rPr>
        <w:t xml:space="preserve">est </w:t>
      </w:r>
      <w:r w:rsidRPr="00A847B7">
        <w:rPr>
          <w:rFonts w:asciiTheme="minorHAnsi" w:hAnsiTheme="minorHAnsi" w:cstheme="minorHAnsi"/>
          <w:sz w:val="20"/>
          <w:szCs w:val="20"/>
        </w:rPr>
        <w:t>subordonnée à une délibération des communes ou des EPCI</w:t>
      </w:r>
      <w:r w:rsidR="00872EAB" w:rsidRPr="00A847B7">
        <w:rPr>
          <w:rFonts w:asciiTheme="minorHAnsi" w:hAnsiTheme="minorHAnsi" w:cstheme="minorHAnsi"/>
          <w:sz w:val="20"/>
          <w:szCs w:val="20"/>
        </w:rPr>
        <w:t xml:space="preserve">, </w:t>
      </w:r>
      <w:r w:rsidRPr="00A847B7">
        <w:rPr>
          <w:rFonts w:asciiTheme="minorHAnsi" w:hAnsiTheme="minorHAnsi" w:cstheme="minorHAnsi"/>
          <w:sz w:val="20"/>
          <w:szCs w:val="20"/>
        </w:rPr>
        <w:t>prise avant le 1</w:t>
      </w:r>
      <w:r w:rsidRPr="00A847B7">
        <w:rPr>
          <w:rFonts w:asciiTheme="minorHAnsi" w:hAnsiTheme="minorHAnsi" w:cstheme="minorHAnsi"/>
          <w:sz w:val="20"/>
          <w:szCs w:val="20"/>
          <w:vertAlign w:val="superscript"/>
        </w:rPr>
        <w:t>er</w:t>
      </w:r>
      <w:r w:rsidRPr="00A847B7">
        <w:rPr>
          <w:rFonts w:asciiTheme="minorHAnsi" w:hAnsiTheme="minorHAnsi" w:cstheme="minorHAnsi"/>
          <w:sz w:val="20"/>
          <w:szCs w:val="20"/>
        </w:rPr>
        <w:t> octobre d'une année pour être applicable à compter de l'année suivante ;</w:t>
      </w:r>
    </w:p>
    <w:p w14:paraId="6B2AA0E0" w14:textId="1A7F0A96" w:rsidR="000E2964" w:rsidRPr="00A847B7" w:rsidRDefault="000E2964" w:rsidP="00EE0687">
      <w:pPr>
        <w:pStyle w:val="NormalWeb"/>
        <w:numPr>
          <w:ilvl w:val="0"/>
          <w:numId w:val="112"/>
        </w:numPr>
        <w:rPr>
          <w:rFonts w:asciiTheme="minorHAnsi" w:hAnsiTheme="minorHAnsi" w:cstheme="minorHAnsi"/>
          <w:sz w:val="20"/>
          <w:szCs w:val="20"/>
        </w:rPr>
      </w:pPr>
      <w:r w:rsidRPr="00A847B7">
        <w:rPr>
          <w:rFonts w:asciiTheme="minorHAnsi" w:hAnsiTheme="minorHAnsi" w:cstheme="minorHAnsi"/>
          <w:sz w:val="20"/>
          <w:szCs w:val="20"/>
        </w:rPr>
        <w:t>elle porte sur la totalité de la part revenant à chaque commune ou EPCI ayant délibéré ;</w:t>
      </w:r>
    </w:p>
    <w:p w14:paraId="5D6A92EE" w14:textId="16C5D810" w:rsidR="000E2964" w:rsidRPr="00A847B7" w:rsidRDefault="000E2964" w:rsidP="00EE0687">
      <w:pPr>
        <w:pStyle w:val="NormalWeb"/>
        <w:numPr>
          <w:ilvl w:val="0"/>
          <w:numId w:val="112"/>
        </w:numPr>
        <w:rPr>
          <w:rFonts w:asciiTheme="minorHAnsi" w:hAnsiTheme="minorHAnsi" w:cstheme="minorHAnsi"/>
          <w:sz w:val="20"/>
          <w:szCs w:val="20"/>
        </w:rPr>
      </w:pPr>
      <w:r w:rsidRPr="00A847B7">
        <w:rPr>
          <w:rFonts w:asciiTheme="minorHAnsi" w:hAnsiTheme="minorHAnsi" w:cstheme="minorHAnsi"/>
          <w:sz w:val="20"/>
          <w:szCs w:val="20"/>
        </w:rPr>
        <w:lastRenderedPageBreak/>
        <w:t xml:space="preserve">elle </w:t>
      </w:r>
      <w:r w:rsidR="00872EAB" w:rsidRPr="00A847B7">
        <w:rPr>
          <w:rFonts w:asciiTheme="minorHAnsi" w:hAnsiTheme="minorHAnsi" w:cstheme="minorHAnsi"/>
          <w:sz w:val="20"/>
          <w:szCs w:val="20"/>
        </w:rPr>
        <w:t>est</w:t>
      </w:r>
      <w:r w:rsidRPr="00A847B7">
        <w:rPr>
          <w:rFonts w:asciiTheme="minorHAnsi" w:hAnsiTheme="minorHAnsi" w:cstheme="minorHAnsi"/>
          <w:sz w:val="20"/>
          <w:szCs w:val="20"/>
        </w:rPr>
        <w:t xml:space="preserve"> accordée sur demande de l'entreprise, </w:t>
      </w:r>
      <w:r w:rsidR="00F118E3" w:rsidRPr="00A847B7">
        <w:rPr>
          <w:rFonts w:asciiTheme="minorHAnsi" w:hAnsiTheme="minorHAnsi" w:cstheme="minorHAnsi"/>
          <w:sz w:val="20"/>
          <w:szCs w:val="20"/>
        </w:rPr>
        <w:t>avant le 1</w:t>
      </w:r>
      <w:r w:rsidR="00F118E3" w:rsidRPr="00A847B7">
        <w:rPr>
          <w:rFonts w:asciiTheme="minorHAnsi" w:hAnsiTheme="minorHAnsi" w:cstheme="minorHAnsi"/>
          <w:sz w:val="20"/>
          <w:szCs w:val="20"/>
          <w:vertAlign w:val="superscript"/>
        </w:rPr>
        <w:t>er</w:t>
      </w:r>
      <w:r w:rsidR="00F118E3" w:rsidRPr="00A847B7">
        <w:rPr>
          <w:rFonts w:asciiTheme="minorHAnsi" w:hAnsiTheme="minorHAnsi" w:cstheme="minorHAnsi"/>
          <w:sz w:val="20"/>
          <w:szCs w:val="20"/>
        </w:rPr>
        <w:t xml:space="preserve"> janvier de l’année qui suit celle de </w:t>
      </w:r>
      <w:r w:rsidR="00BD6D5A" w:rsidRPr="00A847B7">
        <w:rPr>
          <w:rFonts w:asciiTheme="minorHAnsi" w:hAnsiTheme="minorHAnsi" w:cstheme="minorHAnsi"/>
          <w:sz w:val="20"/>
          <w:szCs w:val="20"/>
        </w:rPr>
        <w:t>la créat</w:t>
      </w:r>
      <w:r w:rsidRPr="00A847B7">
        <w:rPr>
          <w:rFonts w:asciiTheme="minorHAnsi" w:hAnsiTheme="minorHAnsi" w:cstheme="minorHAnsi"/>
          <w:sz w:val="20"/>
          <w:szCs w:val="20"/>
        </w:rPr>
        <w:t>ion d'entreprise</w:t>
      </w:r>
      <w:r w:rsidR="00CB4215" w:rsidRPr="00A847B7">
        <w:rPr>
          <w:rFonts w:asciiTheme="minorHAnsi" w:hAnsiTheme="minorHAnsi" w:cstheme="minorHAnsi"/>
          <w:sz w:val="20"/>
          <w:szCs w:val="20"/>
        </w:rPr>
        <w:t xml:space="preserve"> ou </w:t>
      </w:r>
      <w:r w:rsidR="00E13F20" w:rsidRPr="00A847B7">
        <w:rPr>
          <w:rFonts w:asciiTheme="minorHAnsi" w:hAnsiTheme="minorHAnsi" w:cstheme="minorHAnsi"/>
          <w:sz w:val="20"/>
          <w:szCs w:val="20"/>
        </w:rPr>
        <w:t xml:space="preserve">au plus tard le </w:t>
      </w:r>
      <w:r w:rsidR="00FF69BE" w:rsidRPr="00A847B7">
        <w:rPr>
          <w:rFonts w:asciiTheme="minorHAnsi" w:hAnsiTheme="minorHAnsi" w:cstheme="minorHAnsi"/>
          <w:sz w:val="20"/>
          <w:szCs w:val="20"/>
        </w:rPr>
        <w:t>2</w:t>
      </w:r>
      <w:r w:rsidR="00FF69BE" w:rsidRPr="00A847B7">
        <w:rPr>
          <w:rFonts w:asciiTheme="minorHAnsi" w:hAnsiTheme="minorHAnsi" w:cstheme="minorHAnsi"/>
          <w:sz w:val="20"/>
          <w:szCs w:val="20"/>
          <w:vertAlign w:val="superscript"/>
        </w:rPr>
        <w:t>ème</w:t>
      </w:r>
      <w:r w:rsidR="00FF69BE" w:rsidRPr="00A847B7">
        <w:rPr>
          <w:rFonts w:asciiTheme="minorHAnsi" w:hAnsiTheme="minorHAnsi" w:cstheme="minorHAnsi"/>
          <w:sz w:val="20"/>
          <w:szCs w:val="20"/>
        </w:rPr>
        <w:t xml:space="preserve"> jour ouvré qui suit le 1</w:t>
      </w:r>
      <w:r w:rsidR="00FF69BE" w:rsidRPr="00A847B7">
        <w:rPr>
          <w:rFonts w:asciiTheme="minorHAnsi" w:hAnsiTheme="minorHAnsi" w:cstheme="minorHAnsi"/>
          <w:sz w:val="20"/>
          <w:szCs w:val="20"/>
          <w:vertAlign w:val="superscript"/>
        </w:rPr>
        <w:t>er</w:t>
      </w:r>
      <w:r w:rsidR="00FF69BE" w:rsidRPr="00A847B7">
        <w:rPr>
          <w:rFonts w:asciiTheme="minorHAnsi" w:hAnsiTheme="minorHAnsi" w:cstheme="minorHAnsi"/>
          <w:sz w:val="20"/>
          <w:szCs w:val="20"/>
        </w:rPr>
        <w:t xml:space="preserve"> mai de l’année suivant celle de l</w:t>
      </w:r>
      <w:r w:rsidRPr="00A847B7">
        <w:rPr>
          <w:rFonts w:asciiTheme="minorHAnsi" w:hAnsiTheme="minorHAnsi" w:cstheme="minorHAnsi"/>
          <w:sz w:val="20"/>
          <w:szCs w:val="20"/>
        </w:rPr>
        <w:t>'extension d'établissement ;</w:t>
      </w:r>
    </w:p>
    <w:p w14:paraId="5C93A17B" w14:textId="3EFEA0CC" w:rsidR="000E2964" w:rsidRPr="00A847B7" w:rsidRDefault="000E2964" w:rsidP="00EE0687">
      <w:pPr>
        <w:pStyle w:val="NormalWeb"/>
        <w:numPr>
          <w:ilvl w:val="0"/>
          <w:numId w:val="112"/>
        </w:numPr>
        <w:rPr>
          <w:rFonts w:asciiTheme="minorHAnsi" w:hAnsiTheme="minorHAnsi" w:cstheme="minorHAnsi"/>
          <w:sz w:val="20"/>
          <w:szCs w:val="20"/>
        </w:rPr>
      </w:pPr>
      <w:r w:rsidRPr="00A847B7">
        <w:rPr>
          <w:rFonts w:asciiTheme="minorHAnsi" w:hAnsiTheme="minorHAnsi" w:cstheme="minorHAnsi"/>
          <w:sz w:val="20"/>
          <w:szCs w:val="20"/>
        </w:rPr>
        <w:t xml:space="preserve">elle porte sur les éléments </w:t>
      </w:r>
      <w:r w:rsidR="00C646A6" w:rsidRPr="00A847B7">
        <w:rPr>
          <w:rFonts w:asciiTheme="minorHAnsi" w:hAnsiTheme="minorHAnsi" w:cstheme="minorHAnsi"/>
          <w:sz w:val="20"/>
          <w:szCs w:val="20"/>
        </w:rPr>
        <w:t>qui seront déclarés par l’entreprise.</w:t>
      </w:r>
    </w:p>
    <w:p w14:paraId="35347D85" w14:textId="21CF2696" w:rsidR="00F16004" w:rsidRPr="00A847B7" w:rsidRDefault="00F16004" w:rsidP="00F16004">
      <w:pPr>
        <w:pStyle w:val="NormalWeb"/>
        <w:rPr>
          <w:rFonts w:asciiTheme="minorHAnsi" w:hAnsiTheme="minorHAnsi" w:cstheme="minorHAnsi"/>
          <w:sz w:val="20"/>
          <w:szCs w:val="20"/>
        </w:rPr>
      </w:pPr>
      <w:r w:rsidRPr="00A847B7">
        <w:rPr>
          <w:rFonts w:asciiTheme="minorHAnsi" w:hAnsiTheme="minorHAnsi" w:cstheme="minorHAnsi"/>
          <w:sz w:val="20"/>
          <w:szCs w:val="20"/>
        </w:rPr>
        <w:t>La notion d'extension d'établissement en matière de CFE se défini</w:t>
      </w:r>
      <w:r w:rsidR="00216E07" w:rsidRPr="00A847B7">
        <w:rPr>
          <w:rFonts w:asciiTheme="minorHAnsi" w:hAnsiTheme="minorHAnsi" w:cstheme="minorHAnsi"/>
          <w:sz w:val="20"/>
          <w:szCs w:val="20"/>
        </w:rPr>
        <w:t>t</w:t>
      </w:r>
      <w:r w:rsidRPr="00A847B7">
        <w:rPr>
          <w:rFonts w:asciiTheme="minorHAnsi" w:hAnsiTheme="minorHAnsi" w:cstheme="minorHAnsi"/>
          <w:sz w:val="20"/>
          <w:szCs w:val="20"/>
        </w:rPr>
        <w:t xml:space="preserve"> comme l’augmentation nette de la base d’imposition par rapport à celle de l'année précédente revalorisée</w:t>
      </w:r>
      <w:r w:rsidR="00FC3248" w:rsidRPr="00A847B7">
        <w:rPr>
          <w:rFonts w:asciiTheme="minorHAnsi" w:hAnsiTheme="minorHAnsi" w:cstheme="minorHAnsi"/>
          <w:sz w:val="20"/>
          <w:szCs w:val="20"/>
        </w:rPr>
        <w:t xml:space="preserve"> </w:t>
      </w:r>
      <w:r w:rsidR="00CA21F8" w:rsidRPr="00A847B7">
        <w:rPr>
          <w:rFonts w:asciiTheme="minorHAnsi" w:hAnsiTheme="minorHAnsi" w:cstheme="minorHAnsi"/>
          <w:sz w:val="20"/>
          <w:szCs w:val="20"/>
        </w:rPr>
        <w:t xml:space="preserve">par application du coefficient de majoration forfaitaire annuel (pour les </w:t>
      </w:r>
      <w:r w:rsidR="000F2983" w:rsidRPr="00A847B7">
        <w:rPr>
          <w:rFonts w:asciiTheme="minorHAnsi" w:hAnsiTheme="minorHAnsi" w:cstheme="minorHAnsi"/>
          <w:sz w:val="20"/>
          <w:szCs w:val="20"/>
        </w:rPr>
        <w:t>terrains) et du coefficient de mise à jour annuelle des valeurs locatives (pour les bâtiments)</w:t>
      </w:r>
      <w:r w:rsidRPr="00A847B7">
        <w:rPr>
          <w:rFonts w:asciiTheme="minorHAnsi" w:hAnsiTheme="minorHAnsi" w:cstheme="minorHAnsi"/>
          <w:sz w:val="20"/>
          <w:szCs w:val="20"/>
        </w:rPr>
        <w:t>.</w:t>
      </w:r>
    </w:p>
    <w:p w14:paraId="4D404D23" w14:textId="434DA4EE" w:rsidR="00F16004" w:rsidRPr="00A847B7" w:rsidRDefault="00F16004" w:rsidP="00F16004">
      <w:pPr>
        <w:pStyle w:val="NormalWeb"/>
        <w:rPr>
          <w:rFonts w:asciiTheme="minorHAnsi" w:hAnsiTheme="minorHAnsi" w:cstheme="minorHAnsi"/>
          <w:sz w:val="20"/>
          <w:szCs w:val="20"/>
        </w:rPr>
      </w:pPr>
      <w:r w:rsidRPr="00A847B7">
        <w:rPr>
          <w:rFonts w:asciiTheme="minorHAnsi" w:hAnsiTheme="minorHAnsi" w:cstheme="minorHAnsi"/>
          <w:sz w:val="20"/>
          <w:szCs w:val="20"/>
        </w:rPr>
        <w:t xml:space="preserve">Toutefois, </w:t>
      </w:r>
      <w:r w:rsidR="004B0B0D" w:rsidRPr="00A847B7">
        <w:rPr>
          <w:rFonts w:asciiTheme="minorHAnsi" w:hAnsiTheme="minorHAnsi" w:cstheme="minorHAnsi"/>
          <w:sz w:val="20"/>
          <w:szCs w:val="20"/>
        </w:rPr>
        <w:t xml:space="preserve">dans certains cas, </w:t>
      </w:r>
      <w:r w:rsidRPr="00A847B7">
        <w:rPr>
          <w:rFonts w:asciiTheme="minorHAnsi" w:hAnsiTheme="minorHAnsi" w:cstheme="minorHAnsi"/>
          <w:sz w:val="20"/>
          <w:szCs w:val="20"/>
        </w:rPr>
        <w:t xml:space="preserve">pour le calcul de l’augmentation nette de la base d’imposition de l'établissement, il ne sera pas tenu compte de l’évolution de la base d’imposition résultant </w:t>
      </w:r>
      <w:r w:rsidR="004B0B0D" w:rsidRPr="00A847B7">
        <w:rPr>
          <w:rFonts w:asciiTheme="minorHAnsi" w:hAnsiTheme="minorHAnsi" w:cstheme="minorHAnsi"/>
          <w:sz w:val="20"/>
          <w:szCs w:val="20"/>
        </w:rPr>
        <w:t xml:space="preserve">notamment </w:t>
      </w:r>
      <w:r w:rsidRPr="00A847B7">
        <w:rPr>
          <w:rFonts w:asciiTheme="minorHAnsi" w:hAnsiTheme="minorHAnsi" w:cstheme="minorHAnsi"/>
          <w:sz w:val="20"/>
          <w:szCs w:val="20"/>
        </w:rPr>
        <w:t>:</w:t>
      </w:r>
    </w:p>
    <w:p w14:paraId="7275A415" w14:textId="03EC773E" w:rsidR="00570B97" w:rsidRPr="00A847B7" w:rsidRDefault="00570B97" w:rsidP="00EE0687">
      <w:pPr>
        <w:pStyle w:val="Paragraphedeliste"/>
        <w:numPr>
          <w:ilvl w:val="0"/>
          <w:numId w:val="173"/>
        </w:numPr>
      </w:pPr>
      <w:r w:rsidRPr="00A847B7">
        <w:t>de l’</w:t>
      </w:r>
      <w:r w:rsidR="00F77074" w:rsidRPr="00A847B7">
        <w:t>augmentation de la</w:t>
      </w:r>
      <w:r w:rsidRPr="00A847B7">
        <w:t xml:space="preserve"> cotisation minimu</w:t>
      </w:r>
      <w:r w:rsidR="00F77074" w:rsidRPr="00A847B7">
        <w:t>m</w:t>
      </w:r>
      <w:r w:rsidR="00BB7935">
        <w:t xml:space="preserve"> </w:t>
      </w:r>
      <w:r w:rsidR="007A50F7" w:rsidRPr="00A847B7">
        <w:t>(une extension d’établissement ne sera pas reconnue du seul fait de l’augmentation de la cotisation minimum) ;</w:t>
      </w:r>
    </w:p>
    <w:p w14:paraId="36DC27BC" w14:textId="4C40F14B" w:rsidR="00F16004" w:rsidRPr="00A847B7" w:rsidRDefault="00F16004" w:rsidP="00EE0687">
      <w:pPr>
        <w:pStyle w:val="Paragraphedeliste"/>
        <w:numPr>
          <w:ilvl w:val="0"/>
          <w:numId w:val="173"/>
        </w:numPr>
      </w:pPr>
      <w:r w:rsidRPr="00A847B7">
        <w:t>des changements de méthode de détermination de la valeur locative d'un local artisanal ou d'un établissement industriel ;</w:t>
      </w:r>
    </w:p>
    <w:p w14:paraId="41F09B01" w14:textId="222D3647" w:rsidR="00F16004" w:rsidRPr="00A847B7" w:rsidRDefault="00F16004" w:rsidP="00EE0687">
      <w:pPr>
        <w:pStyle w:val="Paragraphedeliste"/>
        <w:numPr>
          <w:ilvl w:val="0"/>
          <w:numId w:val="173"/>
        </w:numPr>
      </w:pPr>
      <w:r w:rsidRPr="00A847B7">
        <w:t>des changements d’utilisation des locaux professionnels</w:t>
      </w:r>
      <w:r w:rsidR="004B0B0D" w:rsidRPr="00A847B7">
        <w:t> ;</w:t>
      </w:r>
    </w:p>
    <w:p w14:paraId="46773F64" w14:textId="3B8804DB" w:rsidR="00F16004" w:rsidRPr="00A847B7" w:rsidRDefault="00F16004" w:rsidP="00EE0687">
      <w:pPr>
        <w:pStyle w:val="Paragraphedeliste"/>
        <w:numPr>
          <w:ilvl w:val="0"/>
          <w:numId w:val="173"/>
        </w:numPr>
      </w:pPr>
      <w:r w:rsidRPr="00A847B7">
        <w:t>des réductions de base d'imposition prévues en faveur des installations de lutte contre la pollution, des matériels destinés à économiser l'énergie ou à réduire le bruit et des installations de manutention portuaire ;</w:t>
      </w:r>
    </w:p>
    <w:p w14:paraId="67C7CAD9" w14:textId="6C2F0ED6" w:rsidR="00F16004" w:rsidRPr="00A847B7" w:rsidRDefault="00F16004" w:rsidP="00EE0687">
      <w:pPr>
        <w:pStyle w:val="Paragraphedeliste"/>
        <w:numPr>
          <w:ilvl w:val="0"/>
          <w:numId w:val="173"/>
        </w:numPr>
      </w:pPr>
      <w:r w:rsidRPr="00A847B7">
        <w:t>de l'abattement facultatif de 50 % sur la valeur locative des bâtiments affectés à la recherche ;</w:t>
      </w:r>
    </w:p>
    <w:p w14:paraId="5A7F91DD" w14:textId="77777777" w:rsidR="004819E3" w:rsidRPr="00A847B7" w:rsidRDefault="00F16004" w:rsidP="00EE0687">
      <w:pPr>
        <w:pStyle w:val="Paragraphedeliste"/>
        <w:numPr>
          <w:ilvl w:val="0"/>
          <w:numId w:val="173"/>
        </w:numPr>
      </w:pPr>
      <w:r w:rsidRPr="00A847B7">
        <w:t>d'une modification des coefficients de localisation ou résultant de la mise à jour régulière des paramètres d'évaluation, autres que les loyers, des locaux professionnels ;</w:t>
      </w:r>
    </w:p>
    <w:p w14:paraId="6C584CD4" w14:textId="045C0D86" w:rsidR="00F16004" w:rsidRPr="00A847B7" w:rsidRDefault="00F16004" w:rsidP="00EE0687">
      <w:pPr>
        <w:pStyle w:val="Paragraphedeliste"/>
        <w:numPr>
          <w:ilvl w:val="0"/>
          <w:numId w:val="173"/>
        </w:numPr>
      </w:pPr>
      <w:r w:rsidRPr="00A847B7">
        <w:t>de la réduction de valeur locative des entreprises saisonnières ;</w:t>
      </w:r>
    </w:p>
    <w:p w14:paraId="1288615F" w14:textId="13D42BA8" w:rsidR="00F16004" w:rsidRPr="00A847B7" w:rsidRDefault="00F16004" w:rsidP="00EE0687">
      <w:pPr>
        <w:pStyle w:val="Paragraphedeliste"/>
        <w:numPr>
          <w:ilvl w:val="0"/>
          <w:numId w:val="173"/>
        </w:numPr>
      </w:pPr>
      <w:r w:rsidRPr="00A847B7">
        <w:t>pour les établissements dans lesquels sont exercées conjointement une activité imposable et une activité exonérée, de l’évolution de la fraction de la valeur locative imposable.</w:t>
      </w:r>
    </w:p>
    <w:p w14:paraId="38AE1CE8" w14:textId="592BA63D" w:rsidR="009A1ACC" w:rsidRPr="00A847B7" w:rsidRDefault="00B169F6" w:rsidP="00B169F6">
      <w:pPr>
        <w:pStyle w:val="NormalWeb"/>
        <w:rPr>
          <w:rFonts w:asciiTheme="minorHAnsi" w:hAnsiTheme="minorHAnsi" w:cstheme="minorHAnsi"/>
          <w:sz w:val="20"/>
          <w:szCs w:val="20"/>
        </w:rPr>
      </w:pPr>
      <w:r w:rsidRPr="00A847B7">
        <w:rPr>
          <w:rFonts w:asciiTheme="minorHAnsi" w:hAnsiTheme="minorHAnsi" w:cstheme="minorHAnsi"/>
          <w:sz w:val="20"/>
          <w:szCs w:val="20"/>
        </w:rPr>
        <w:t>Il faut enfin noter que l’exonération de CFE dans ce cadre emporte, par voie de conséquence, l’exonération</w:t>
      </w:r>
      <w:r w:rsidR="00F16004" w:rsidRPr="00A847B7">
        <w:rPr>
          <w:rFonts w:asciiTheme="minorHAnsi" w:hAnsiTheme="minorHAnsi" w:cstheme="minorHAnsi"/>
          <w:sz w:val="20"/>
          <w:szCs w:val="20"/>
        </w:rPr>
        <w:t xml:space="preserve"> de CVAE due au titre de l’établissement concerné. </w:t>
      </w:r>
    </w:p>
    <w:p w14:paraId="503AD999" w14:textId="4DC6196E" w:rsidR="00A50B3E" w:rsidRPr="00A847B7" w:rsidRDefault="00F07F87" w:rsidP="00EE0687">
      <w:pPr>
        <w:pStyle w:val="Paragraphedeliste"/>
        <w:numPr>
          <w:ilvl w:val="0"/>
          <w:numId w:val="60"/>
        </w:numPr>
        <w:spacing w:beforeAutospacing="1" w:after="100" w:afterAutospacing="1"/>
        <w:rPr>
          <w:rFonts w:cstheme="minorHAnsi"/>
          <w:b/>
          <w:i/>
          <w:u w:val="single"/>
        </w:rPr>
      </w:pPr>
      <w:r w:rsidRPr="00A847B7">
        <w:rPr>
          <w:rFonts w:cstheme="minorHAnsi"/>
          <w:b/>
          <w:i/>
          <w:u w:val="single"/>
        </w:rPr>
        <w:t>Plafonnement de la CET</w:t>
      </w:r>
    </w:p>
    <w:p w14:paraId="0ABB5240" w14:textId="531EDB7F" w:rsidR="0000060C" w:rsidRPr="00A847B7" w:rsidRDefault="0000060C" w:rsidP="0000060C">
      <w:pPr>
        <w:pStyle w:val="NormalWeb"/>
        <w:rPr>
          <w:rFonts w:asciiTheme="minorHAnsi" w:hAnsiTheme="minorHAnsi" w:cstheme="minorHAnsi"/>
          <w:sz w:val="20"/>
          <w:szCs w:val="20"/>
        </w:rPr>
      </w:pPr>
      <w:r w:rsidRPr="00A847B7">
        <w:rPr>
          <w:rFonts w:asciiTheme="minorHAnsi" w:hAnsiTheme="minorHAnsi" w:cstheme="minorHAnsi"/>
          <w:sz w:val="20"/>
          <w:szCs w:val="20"/>
        </w:rPr>
        <w:t xml:space="preserve">Un dégrèvement </w:t>
      </w:r>
      <w:r w:rsidR="00B169F6" w:rsidRPr="00A847B7">
        <w:rPr>
          <w:rFonts w:asciiTheme="minorHAnsi" w:hAnsiTheme="minorHAnsi" w:cstheme="minorHAnsi"/>
          <w:sz w:val="20"/>
          <w:szCs w:val="20"/>
        </w:rPr>
        <w:t xml:space="preserve">spécifique, appelée « plafonnement », </w:t>
      </w:r>
      <w:r w:rsidRPr="00A847B7">
        <w:rPr>
          <w:rFonts w:asciiTheme="minorHAnsi" w:hAnsiTheme="minorHAnsi" w:cstheme="minorHAnsi"/>
          <w:sz w:val="20"/>
          <w:szCs w:val="20"/>
        </w:rPr>
        <w:t>est accordé aux entreprises dont la contribution économique territoriale</w:t>
      </w:r>
      <w:r w:rsidR="00B169F6" w:rsidRPr="00A847B7">
        <w:rPr>
          <w:rFonts w:asciiTheme="minorHAnsi" w:hAnsiTheme="minorHAnsi" w:cstheme="minorHAnsi"/>
          <w:sz w:val="20"/>
          <w:szCs w:val="20"/>
        </w:rPr>
        <w:t xml:space="preserve"> (CET)</w:t>
      </w:r>
      <w:r w:rsidRPr="00A847B7">
        <w:rPr>
          <w:rFonts w:asciiTheme="minorHAnsi" w:hAnsiTheme="minorHAnsi" w:cstheme="minorHAnsi"/>
          <w:sz w:val="20"/>
          <w:szCs w:val="20"/>
        </w:rPr>
        <w:t>, composée de la CFE et de la CVAE, est supérieure à 3 % de leur valeur ajoutée.</w:t>
      </w:r>
    </w:p>
    <w:p w14:paraId="4F4F24C3" w14:textId="5BC526BC" w:rsidR="0000060C" w:rsidRPr="00A847B7" w:rsidRDefault="0000060C" w:rsidP="0000060C">
      <w:pPr>
        <w:pStyle w:val="NormalWeb"/>
        <w:rPr>
          <w:rFonts w:asciiTheme="minorHAnsi" w:hAnsiTheme="minorHAnsi" w:cstheme="minorHAnsi"/>
          <w:sz w:val="20"/>
          <w:szCs w:val="20"/>
        </w:rPr>
      </w:pPr>
      <w:r w:rsidRPr="00A847B7">
        <w:rPr>
          <w:rFonts w:asciiTheme="minorHAnsi" w:hAnsiTheme="minorHAnsi" w:cstheme="minorHAnsi"/>
          <w:sz w:val="20"/>
          <w:szCs w:val="20"/>
        </w:rPr>
        <w:t xml:space="preserve">Pour la </w:t>
      </w:r>
      <w:r w:rsidR="00B169F6" w:rsidRPr="00A847B7">
        <w:rPr>
          <w:rFonts w:asciiTheme="minorHAnsi" w:hAnsiTheme="minorHAnsi" w:cstheme="minorHAnsi"/>
          <w:sz w:val="20"/>
          <w:szCs w:val="20"/>
        </w:rPr>
        <w:t>CET</w:t>
      </w:r>
      <w:r w:rsidRPr="00A847B7">
        <w:rPr>
          <w:rFonts w:asciiTheme="minorHAnsi" w:hAnsiTheme="minorHAnsi" w:cstheme="minorHAnsi"/>
          <w:sz w:val="20"/>
          <w:szCs w:val="20"/>
        </w:rPr>
        <w:t xml:space="preserve"> due au titre de 2021 et des années suivantes, le taux de plafonnement </w:t>
      </w:r>
      <w:r w:rsidR="00B169F6" w:rsidRPr="00A847B7">
        <w:rPr>
          <w:rFonts w:asciiTheme="minorHAnsi" w:hAnsiTheme="minorHAnsi" w:cstheme="minorHAnsi"/>
          <w:sz w:val="20"/>
          <w:szCs w:val="20"/>
        </w:rPr>
        <w:t xml:space="preserve">est </w:t>
      </w:r>
      <w:r w:rsidRPr="00A847B7">
        <w:rPr>
          <w:rFonts w:asciiTheme="minorHAnsi" w:hAnsiTheme="minorHAnsi" w:cstheme="minorHAnsi"/>
          <w:sz w:val="20"/>
          <w:szCs w:val="20"/>
        </w:rPr>
        <w:t>ramené à 2 % de la valeur ajoutée.</w:t>
      </w:r>
    </w:p>
    <w:p w14:paraId="5BA8314F" w14:textId="77777777" w:rsidR="00617BD0" w:rsidRPr="00A847B7" w:rsidRDefault="00617BD0" w:rsidP="00A50B3E">
      <w:pPr>
        <w:spacing w:beforeAutospacing="1" w:after="100" w:afterAutospacing="1"/>
        <w:rPr>
          <w:rFonts w:cstheme="minorHAnsi"/>
        </w:rPr>
      </w:pPr>
    </w:p>
    <w:p w14:paraId="4A8F28C5" w14:textId="0F949D55" w:rsidR="0081629B" w:rsidRPr="00A847B7" w:rsidRDefault="0081629B" w:rsidP="0081629B">
      <w:pPr>
        <w:pStyle w:val="Titre3"/>
      </w:pPr>
      <w:bookmarkStart w:id="102" w:name="_Toc60781024"/>
      <w:r w:rsidRPr="00A847B7">
        <w:t xml:space="preserve">Slide </w:t>
      </w:r>
      <w:r w:rsidR="00FD4F9D">
        <w:t>66</w:t>
      </w:r>
      <w:r w:rsidRPr="00A847B7">
        <w:t xml:space="preserve"> : </w:t>
      </w:r>
      <w:r w:rsidR="00887BD8" w:rsidRPr="00A847B7">
        <w:t>V</w:t>
      </w:r>
      <w:r w:rsidR="00DD2027" w:rsidRPr="00A847B7">
        <w:t>aleur locative</w:t>
      </w:r>
      <w:bookmarkEnd w:id="102"/>
      <w:r w:rsidR="009C5B8B">
        <w:t xml:space="preserve"> </w:t>
      </w:r>
    </w:p>
    <w:p w14:paraId="06EBCF9B" w14:textId="30D758FB" w:rsidR="00CA7D58" w:rsidRPr="00A847B7" w:rsidRDefault="00147770" w:rsidP="00CA7D58">
      <w:r w:rsidRPr="004F587E">
        <w:rPr>
          <w:u w:val="single"/>
        </w:rPr>
        <w:t xml:space="preserve">Source </w:t>
      </w:r>
      <w:r w:rsidRPr="00A847B7">
        <w:t>:</w:t>
      </w:r>
      <w:r w:rsidR="00CA7D58" w:rsidRPr="00A847B7">
        <w:t xml:space="preserve"> Loi de Finances pour 2021, article</w:t>
      </w:r>
      <w:r w:rsidR="004F1D58">
        <w:t>s</w:t>
      </w:r>
      <w:r w:rsidR="009C5B8B">
        <w:t xml:space="preserve"> </w:t>
      </w:r>
      <w:r w:rsidR="00A44B82">
        <w:t>134</w:t>
      </w:r>
      <w:r w:rsidR="004F1D58">
        <w:t xml:space="preserve"> et 29</w:t>
      </w:r>
    </w:p>
    <w:p w14:paraId="1EC8D971" w14:textId="015BED8B" w:rsidR="004F1D58" w:rsidRPr="004F1D58" w:rsidRDefault="004F1D58" w:rsidP="00EE0687">
      <w:pPr>
        <w:pStyle w:val="Paragraphedeliste"/>
        <w:numPr>
          <w:ilvl w:val="0"/>
          <w:numId w:val="60"/>
        </w:numPr>
        <w:rPr>
          <w:rFonts w:cstheme="minorHAnsi"/>
        </w:rPr>
      </w:pPr>
      <w:r>
        <w:rPr>
          <w:rFonts w:cstheme="minorHAnsi"/>
          <w:b/>
          <w:bCs/>
          <w:i/>
          <w:iCs/>
          <w:u w:val="single"/>
        </w:rPr>
        <w:t>Pour les locaux professionnels</w:t>
      </w:r>
    </w:p>
    <w:p w14:paraId="390AD96D" w14:textId="6580F759" w:rsidR="00B07D30" w:rsidRPr="00A847B7" w:rsidRDefault="001C3660" w:rsidP="00B07D30">
      <w:pPr>
        <w:rPr>
          <w:rFonts w:cstheme="minorHAnsi"/>
        </w:rPr>
      </w:pPr>
      <w:r w:rsidRPr="00A847B7">
        <w:rPr>
          <w:rFonts w:cstheme="minorHAnsi"/>
        </w:rPr>
        <w:t>Actuellement</w:t>
      </w:r>
      <w:r w:rsidR="00B07D30" w:rsidRPr="00A847B7">
        <w:rPr>
          <w:rFonts w:cstheme="minorHAnsi"/>
        </w:rPr>
        <w:t xml:space="preserve">, </w:t>
      </w:r>
      <w:r w:rsidR="00B07D30" w:rsidRPr="00A847B7">
        <w:t xml:space="preserve">il est prévu que l'année qui suit le renouvellement des conseils municipaux, la délimitation des secteurs d'évaluation des locaux professionnels, les tarifs par mètre carré, ainsi que la définition des parcelles auxquelles s'applique un coefficient de localisation doivent être revus. </w:t>
      </w:r>
    </w:p>
    <w:p w14:paraId="7043F333" w14:textId="3370666F" w:rsidR="00B07D30" w:rsidRPr="00A847B7" w:rsidRDefault="006F2FE0" w:rsidP="000D5D49">
      <w:r w:rsidRPr="00A847B7">
        <w:lastRenderedPageBreak/>
        <w:t>La Loi</w:t>
      </w:r>
      <w:r w:rsidR="00B07D30" w:rsidRPr="00A847B7">
        <w:t xml:space="preserve"> de </w:t>
      </w:r>
      <w:r w:rsidRPr="00A847B7">
        <w:t>Finances précis</w:t>
      </w:r>
      <w:r w:rsidR="00C85C2B">
        <w:t>e</w:t>
      </w:r>
      <w:r w:rsidR="00B07D30" w:rsidRPr="00A847B7">
        <w:t xml:space="preserve"> que les résultats de cette actualisation ser</w:t>
      </w:r>
      <w:r w:rsidR="00AB2FEB">
        <w:t>ont</w:t>
      </w:r>
      <w:r w:rsidR="00B07D30" w:rsidRPr="00A847B7">
        <w:t xml:space="preserve"> pris en compte pour l'établissement des bases d'imposition de l'année suivante.</w:t>
      </w:r>
    </w:p>
    <w:p w14:paraId="79D5EC1A" w14:textId="21985151" w:rsidR="00B07D30" w:rsidRPr="00A847B7" w:rsidRDefault="006F2FE0" w:rsidP="000D5D49">
      <w:r w:rsidRPr="00A847B7">
        <w:t xml:space="preserve">En outre, il est désormais </w:t>
      </w:r>
      <w:r w:rsidR="007E29C9" w:rsidRPr="00A847B7">
        <w:t xml:space="preserve">prévu que cette actualisation </w:t>
      </w:r>
      <w:r w:rsidR="000D5D49" w:rsidRPr="00A847B7">
        <w:t>soi</w:t>
      </w:r>
      <w:r w:rsidR="007E29C9" w:rsidRPr="00A847B7">
        <w:t>t réalisée :</w:t>
      </w:r>
    </w:p>
    <w:p w14:paraId="7708B8BE" w14:textId="77777777" w:rsidR="000D5D49" w:rsidRPr="00A847B7" w:rsidRDefault="007E15B9" w:rsidP="00EE0687">
      <w:pPr>
        <w:pStyle w:val="Paragraphedeliste"/>
        <w:numPr>
          <w:ilvl w:val="0"/>
          <w:numId w:val="174"/>
        </w:numPr>
      </w:pPr>
      <w:r w:rsidRPr="00A847B7">
        <w:t>t</w:t>
      </w:r>
      <w:r w:rsidR="007E29C9" w:rsidRPr="00A847B7">
        <w:t xml:space="preserve">ous les </w:t>
      </w:r>
      <w:r w:rsidR="00AF4E3E" w:rsidRPr="00A847B7">
        <w:t>12</w:t>
      </w:r>
      <w:r w:rsidR="007E29C9" w:rsidRPr="00A847B7">
        <w:t xml:space="preserve"> ans, à partir des données de loyer portées à la connaissance de l’administration fiscale </w:t>
      </w:r>
      <w:r w:rsidRPr="00A847B7">
        <w:t>dans le cadre de la déclaration DECLOYER</w:t>
      </w:r>
      <w:r w:rsidR="000574ED" w:rsidRPr="00A847B7">
        <w:t xml:space="preserve">, </w:t>
      </w:r>
      <w:r w:rsidR="007E29C9" w:rsidRPr="00A847B7">
        <w:t>réalisée sur la base des données correspondant à la situation au 1</w:t>
      </w:r>
      <w:r w:rsidR="007E29C9" w:rsidRPr="00A847B7">
        <w:rPr>
          <w:rStyle w:val="exposant"/>
        </w:rPr>
        <w:t>er</w:t>
      </w:r>
      <w:r w:rsidR="007E29C9" w:rsidRPr="00A847B7">
        <w:t xml:space="preserve"> janvier de l’année précédant celle de l’actualisation</w:t>
      </w:r>
      <w:r w:rsidR="000574ED" w:rsidRPr="00A847B7">
        <w:t xml:space="preserve"> (</w:t>
      </w:r>
      <w:r w:rsidR="00511FDE" w:rsidRPr="00A847B7">
        <w:t>l</w:t>
      </w:r>
      <w:r w:rsidR="000574ED" w:rsidRPr="00A847B7">
        <w:t>es opérations prévues l’année suivant celle du renouvellement général des conseils municipaux en 2020 s</w:t>
      </w:r>
      <w:r w:rsidR="00511FDE" w:rsidRPr="00A847B7">
        <w:t>er</w:t>
      </w:r>
      <w:r w:rsidR="000574ED" w:rsidRPr="00A847B7">
        <w:t>ont réalisées au cours de l’année 2022</w:t>
      </w:r>
      <w:r w:rsidR="00511FDE" w:rsidRPr="00A847B7">
        <w:t>) ;</w:t>
      </w:r>
    </w:p>
    <w:p w14:paraId="3FA4DC09" w14:textId="4E87F2EC" w:rsidR="004F1D58" w:rsidRPr="00A847B7" w:rsidRDefault="000D5D49" w:rsidP="00EE0687">
      <w:pPr>
        <w:pStyle w:val="Paragraphedeliste"/>
        <w:numPr>
          <w:ilvl w:val="0"/>
          <w:numId w:val="174"/>
        </w:numPr>
      </w:pPr>
      <w:r w:rsidRPr="00A847B7">
        <w:t>t</w:t>
      </w:r>
      <w:r w:rsidR="00AF4E3E" w:rsidRPr="00A847B7">
        <w:t>ous les 12 ans, 6 ans après l’actualisation mentionnée ci-avant, à partir des données issues d’une campagne déclarative</w:t>
      </w:r>
      <w:r w:rsidRPr="00A847B7">
        <w:t xml:space="preserve">, </w:t>
      </w:r>
      <w:proofErr w:type="gramStart"/>
      <w:r w:rsidRPr="00A847B7">
        <w:t xml:space="preserve">cette </w:t>
      </w:r>
      <w:r w:rsidR="00AF4E3E" w:rsidRPr="00A847B7">
        <w:t>actualisation consist</w:t>
      </w:r>
      <w:r w:rsidRPr="00A847B7">
        <w:t>ant</w:t>
      </w:r>
      <w:proofErr w:type="gramEnd"/>
      <w:r w:rsidR="00AF4E3E" w:rsidRPr="00A847B7">
        <w:t xml:space="preserve"> également, le cas échéant, en la création, la suppression, la scission ou le regroupement de sous-groupes et catégories de locaux</w:t>
      </w:r>
      <w:r w:rsidR="000574ED" w:rsidRPr="00A847B7">
        <w:t>.</w:t>
      </w:r>
    </w:p>
    <w:p w14:paraId="161C9E1B" w14:textId="77777777" w:rsidR="00B07D30" w:rsidRDefault="00B07D30" w:rsidP="00B07D30">
      <w:pPr>
        <w:rPr>
          <w:rFonts w:ascii="Arial" w:hAnsi="Arial" w:cs="Arial"/>
          <w:i/>
          <w:iCs/>
          <w:u w:val="single"/>
        </w:rPr>
      </w:pPr>
    </w:p>
    <w:p w14:paraId="609D4DD6" w14:textId="638E521D" w:rsidR="004F1D58" w:rsidRPr="004F1D58" w:rsidRDefault="004F1D58" w:rsidP="00EE0687">
      <w:pPr>
        <w:pStyle w:val="Paragraphedeliste"/>
        <w:numPr>
          <w:ilvl w:val="0"/>
          <w:numId w:val="308"/>
        </w:numPr>
        <w:rPr>
          <w:rFonts w:cstheme="minorHAnsi"/>
        </w:rPr>
      </w:pPr>
      <w:r>
        <w:rPr>
          <w:rFonts w:cstheme="minorHAnsi"/>
          <w:b/>
          <w:bCs/>
          <w:i/>
          <w:iCs/>
          <w:u w:val="single"/>
        </w:rPr>
        <w:t>Pour les établissements industriels</w:t>
      </w:r>
    </w:p>
    <w:p w14:paraId="5B4154E7" w14:textId="6D672E7F" w:rsidR="004F1D58" w:rsidRPr="00A847B7" w:rsidRDefault="004F1D58" w:rsidP="004F1D58">
      <w:pPr>
        <w:spacing w:beforeAutospacing="1" w:after="100" w:afterAutospacing="1"/>
        <w:rPr>
          <w:rFonts w:cstheme="minorHAnsi"/>
        </w:rPr>
      </w:pPr>
      <w:r>
        <w:rPr>
          <w:rFonts w:cstheme="minorHAnsi"/>
        </w:rPr>
        <w:t>P</w:t>
      </w:r>
      <w:r w:rsidRPr="00A847B7">
        <w:rPr>
          <w:rFonts w:cstheme="minorHAnsi"/>
        </w:rPr>
        <w:t>our les établissements industriels, la valeur locative des immobilisations industrielles passibles de la taxe foncière sur les propriétés bâties est déterminée en appliquant au prix de revient de leurs différents éléments, un taux d’intérêt fixé à 8 % pour les terrains, les sols, les constructions et les installations foncières soumises à la taxe foncière sur les propriétés bâties (on parle de « méthode comptable »).</w:t>
      </w:r>
    </w:p>
    <w:p w14:paraId="74631275" w14:textId="77777777" w:rsidR="004F1D58" w:rsidRPr="00A847B7" w:rsidRDefault="004F1D58" w:rsidP="004F1D58">
      <w:pPr>
        <w:pStyle w:val="NormalWeb"/>
        <w:rPr>
          <w:rFonts w:asciiTheme="minorHAnsi" w:hAnsiTheme="minorHAnsi" w:cstheme="minorHAnsi"/>
          <w:sz w:val="20"/>
          <w:szCs w:val="20"/>
        </w:rPr>
      </w:pPr>
      <w:r w:rsidRPr="00A847B7">
        <w:rPr>
          <w:rFonts w:asciiTheme="minorHAnsi" w:hAnsiTheme="minorHAnsi" w:cstheme="minorHAnsi"/>
          <w:sz w:val="20"/>
          <w:szCs w:val="20"/>
        </w:rPr>
        <w:t>Le prix de revient s'entend de la valeur d'origine pour laquelle les immobilisations doivent être inscrites au bilan.</w:t>
      </w:r>
    </w:p>
    <w:p w14:paraId="17C80BF7" w14:textId="77777777" w:rsidR="004F1D58" w:rsidRPr="00A847B7" w:rsidRDefault="004F1D58" w:rsidP="004F1D58">
      <w:pPr>
        <w:pStyle w:val="NormalWeb"/>
        <w:rPr>
          <w:rFonts w:asciiTheme="minorHAnsi" w:hAnsiTheme="minorHAnsi" w:cstheme="minorHAnsi"/>
          <w:sz w:val="20"/>
          <w:szCs w:val="20"/>
        </w:rPr>
      </w:pPr>
      <w:r w:rsidRPr="00A847B7">
        <w:rPr>
          <w:rFonts w:asciiTheme="minorHAnsi" w:hAnsiTheme="minorHAnsi" w:cstheme="minorHAnsi"/>
          <w:sz w:val="20"/>
          <w:szCs w:val="20"/>
        </w:rPr>
        <w:t>Pour les impositions établies à compter de 2021, ce taux sera fixé à 4 % (au lieu de 8 %) pour les sols</w:t>
      </w:r>
      <w:r>
        <w:rPr>
          <w:rFonts w:asciiTheme="minorHAnsi" w:hAnsiTheme="minorHAnsi" w:cstheme="minorHAnsi"/>
          <w:sz w:val="20"/>
          <w:szCs w:val="20"/>
        </w:rPr>
        <w:t xml:space="preserve"> et</w:t>
      </w:r>
      <w:r w:rsidRPr="00A847B7">
        <w:rPr>
          <w:rFonts w:asciiTheme="minorHAnsi" w:hAnsiTheme="minorHAnsi" w:cstheme="minorHAnsi"/>
          <w:sz w:val="20"/>
          <w:szCs w:val="20"/>
        </w:rPr>
        <w:t xml:space="preserve"> les terrains</w:t>
      </w:r>
      <w:r>
        <w:rPr>
          <w:rFonts w:asciiTheme="minorHAnsi" w:hAnsiTheme="minorHAnsi" w:cstheme="minorHAnsi"/>
          <w:sz w:val="20"/>
          <w:szCs w:val="20"/>
        </w:rPr>
        <w:t xml:space="preserve">, et 6 % pour les </w:t>
      </w:r>
      <w:r w:rsidRPr="00A847B7">
        <w:rPr>
          <w:rFonts w:asciiTheme="minorHAnsi" w:hAnsiTheme="minorHAnsi" w:cstheme="minorHAnsi"/>
          <w:sz w:val="20"/>
          <w:szCs w:val="20"/>
        </w:rPr>
        <w:t>constructions et installations.</w:t>
      </w:r>
    </w:p>
    <w:p w14:paraId="707FC723" w14:textId="77777777" w:rsidR="004F1D58" w:rsidRPr="00A847B7" w:rsidRDefault="004F1D58" w:rsidP="004F1D58">
      <w:pPr>
        <w:pStyle w:val="NormalWeb"/>
        <w:rPr>
          <w:rFonts w:asciiTheme="minorHAnsi" w:hAnsiTheme="minorHAnsi" w:cstheme="minorHAnsi"/>
          <w:sz w:val="20"/>
          <w:szCs w:val="20"/>
        </w:rPr>
      </w:pPr>
      <w:r w:rsidRPr="00A847B7">
        <w:rPr>
          <w:rFonts w:asciiTheme="minorHAnsi" w:hAnsiTheme="minorHAnsi" w:cstheme="minorHAnsi"/>
          <w:sz w:val="20"/>
          <w:szCs w:val="20"/>
        </w:rPr>
        <w:t>Spécialement pour le calcul de la CFE, la valeur locative des sols, terrains, constructions et installations industriels évalués selon la méthode comptable est diminuée de plein droit de 30 %. Par conséquent, le taux d’intérêt, après abattement de 30 %, est donc égal à 5,6 %</w:t>
      </w:r>
      <w:r>
        <w:rPr>
          <w:rFonts w:asciiTheme="minorHAnsi" w:hAnsiTheme="minorHAnsi" w:cstheme="minorHAnsi"/>
          <w:sz w:val="20"/>
          <w:szCs w:val="20"/>
        </w:rPr>
        <w:t>.</w:t>
      </w:r>
    </w:p>
    <w:p w14:paraId="710783B2" w14:textId="77777777" w:rsidR="004F1D58" w:rsidRPr="00A847B7" w:rsidRDefault="004F1D58" w:rsidP="004F1D58">
      <w:pPr>
        <w:pStyle w:val="NormalWeb"/>
        <w:rPr>
          <w:rFonts w:asciiTheme="minorHAnsi" w:hAnsiTheme="minorHAnsi" w:cstheme="minorHAnsi"/>
          <w:sz w:val="20"/>
          <w:szCs w:val="20"/>
        </w:rPr>
      </w:pPr>
      <w:r w:rsidRPr="00A847B7">
        <w:rPr>
          <w:rFonts w:asciiTheme="minorHAnsi" w:hAnsiTheme="minorHAnsi" w:cstheme="minorHAnsi"/>
          <w:sz w:val="20"/>
          <w:szCs w:val="20"/>
        </w:rPr>
        <w:t>Pour les impositions établies à compter de 2021, ce taux sera fixé à 2,8 %.</w:t>
      </w:r>
    </w:p>
    <w:p w14:paraId="310656EB" w14:textId="77777777" w:rsidR="004F1D58" w:rsidRPr="00A847B7" w:rsidRDefault="004F1D58" w:rsidP="00B07D30">
      <w:pPr>
        <w:rPr>
          <w:rFonts w:ascii="Arial" w:hAnsi="Arial" w:cs="Arial"/>
          <w:i/>
          <w:iCs/>
          <w:u w:val="single"/>
        </w:rPr>
      </w:pPr>
    </w:p>
    <w:p w14:paraId="54CE2F7D" w14:textId="1EFCDB2B" w:rsidR="00641533" w:rsidRPr="00A847B7" w:rsidRDefault="00641533" w:rsidP="00641533">
      <w:pPr>
        <w:pStyle w:val="Titre3"/>
      </w:pPr>
      <w:bookmarkStart w:id="103" w:name="_Toc60781025"/>
      <w:r w:rsidRPr="00A847B7">
        <w:t xml:space="preserve">Slide </w:t>
      </w:r>
      <w:r w:rsidR="00240E7B">
        <w:t>67</w:t>
      </w:r>
      <w:r w:rsidRPr="00A847B7">
        <w:t> : T</w:t>
      </w:r>
      <w:r w:rsidR="00A74C25">
        <w:t>axe d’enlèvement des ordures ménagères</w:t>
      </w:r>
      <w:bookmarkEnd w:id="103"/>
    </w:p>
    <w:p w14:paraId="04ADF7A7" w14:textId="635A5B30" w:rsidR="00641533" w:rsidRPr="004D0B15" w:rsidRDefault="00330964" w:rsidP="00641533">
      <w:pPr>
        <w:rPr>
          <w:highlight w:val="yellow"/>
        </w:rPr>
      </w:pPr>
      <w:r w:rsidRPr="004F587E">
        <w:rPr>
          <w:u w:val="single"/>
        </w:rPr>
        <w:t xml:space="preserve">Source </w:t>
      </w:r>
      <w:r w:rsidRPr="00A847B7">
        <w:t>:</w:t>
      </w:r>
      <w:r w:rsidR="00A74C25" w:rsidRPr="009B4167">
        <w:t xml:space="preserve"> </w:t>
      </w:r>
      <w:r w:rsidR="00641533" w:rsidRPr="009B4167">
        <w:t>Loi de Finances pour 2021</w:t>
      </w:r>
      <w:r w:rsidR="00A74C25" w:rsidRPr="009B4167">
        <w:t xml:space="preserve">, </w:t>
      </w:r>
      <w:r w:rsidR="00A74C25" w:rsidRPr="005A54C4">
        <w:t>a</w:t>
      </w:r>
      <w:r w:rsidR="00641533" w:rsidRPr="005A54C4">
        <w:t xml:space="preserve">rticle </w:t>
      </w:r>
      <w:r w:rsidR="0091723B" w:rsidRPr="005A54C4">
        <w:t>9</w:t>
      </w:r>
      <w:r w:rsidR="00641533" w:rsidRPr="005A54C4">
        <w:t xml:space="preserve"> </w:t>
      </w:r>
    </w:p>
    <w:p w14:paraId="73E23A4E" w14:textId="77777777" w:rsidR="00641533" w:rsidRDefault="00641533" w:rsidP="00641533">
      <w:r>
        <w:t>Pour atténuer l’impact de la révision des valeurs locatives des locaux professionnels, ainsi que celui lié à l’attribution, aux communes, de la part départementale de la taxe foncière sur les propriétés bâties, différents correctifs ont été mis en place.</w:t>
      </w:r>
    </w:p>
    <w:p w14:paraId="48E3ABC3" w14:textId="164D72CB" w:rsidR="00641533" w:rsidRDefault="00641533" w:rsidP="00641533">
      <w:r>
        <w:t>Pour les impositions dues à compter de 2021 au titre de la taxe d’enlèvement des ordures ménagères (TEOM), il ne sera plus fait application des correctifs suivants :</w:t>
      </w:r>
    </w:p>
    <w:p w14:paraId="61412131" w14:textId="03098506" w:rsidR="00641533" w:rsidRPr="009040EA" w:rsidRDefault="00641533" w:rsidP="00EE0687">
      <w:pPr>
        <w:pStyle w:val="Paragraphedeliste"/>
        <w:numPr>
          <w:ilvl w:val="0"/>
          <w:numId w:val="198"/>
        </w:numPr>
      </w:pPr>
      <w:r w:rsidRPr="009040EA">
        <w:t xml:space="preserve">dispositif de </w:t>
      </w:r>
      <w:proofErr w:type="spellStart"/>
      <w:r w:rsidRPr="009040EA">
        <w:t>planchonnement</w:t>
      </w:r>
      <w:proofErr w:type="spellEnd"/>
      <w:r w:rsidR="007944FC" w:rsidRPr="009040EA">
        <w:t xml:space="preserve"> qui a pour objet de limiter, pour chaque local professionnel, les variations de valeur locative (tant à la hausse qu’à la baisse)</w:t>
      </w:r>
      <w:r w:rsidRPr="009040EA">
        <w:t> ;</w:t>
      </w:r>
    </w:p>
    <w:p w14:paraId="1AA34E56" w14:textId="535FD221" w:rsidR="00641533" w:rsidRPr="009040EA" w:rsidRDefault="00641533" w:rsidP="00EE0687">
      <w:pPr>
        <w:pStyle w:val="Paragraphedeliste"/>
        <w:numPr>
          <w:ilvl w:val="0"/>
          <w:numId w:val="198"/>
        </w:numPr>
      </w:pPr>
      <w:r w:rsidRPr="009040EA">
        <w:t>coefficient de neutralisation</w:t>
      </w:r>
      <w:r w:rsidR="00FA3BFB">
        <w:t xml:space="preserve">, </w:t>
      </w:r>
      <w:bookmarkStart w:id="104" w:name="OLE_LINK1"/>
      <w:r w:rsidR="005539D4" w:rsidRPr="009040EA">
        <w:t>qui a pour objet de maintenir les proportions des locaux professionnels dans l'assiette des taxes locales</w:t>
      </w:r>
      <w:r w:rsidRPr="009040EA">
        <w:t> </w:t>
      </w:r>
      <w:bookmarkEnd w:id="104"/>
      <w:r w:rsidRPr="009040EA">
        <w:t xml:space="preserve">; </w:t>
      </w:r>
    </w:p>
    <w:p w14:paraId="0601048D" w14:textId="77777777" w:rsidR="00641533" w:rsidRDefault="00641533" w:rsidP="00EE0687">
      <w:pPr>
        <w:pStyle w:val="Paragraphedeliste"/>
        <w:numPr>
          <w:ilvl w:val="0"/>
          <w:numId w:val="197"/>
        </w:numPr>
      </w:pPr>
      <w:r>
        <w:t>correctifs de taux d’abattement sur les valeurs locatives ;</w:t>
      </w:r>
    </w:p>
    <w:p w14:paraId="70183763" w14:textId="77777777" w:rsidR="00641533" w:rsidRPr="00ED2596" w:rsidRDefault="00641533" w:rsidP="00EE0687">
      <w:pPr>
        <w:pStyle w:val="Paragraphedeliste"/>
        <w:numPr>
          <w:ilvl w:val="0"/>
          <w:numId w:val="197"/>
        </w:numPr>
      </w:pPr>
      <w:r>
        <w:lastRenderedPageBreak/>
        <w:t>correctifs de taux applicables aux dispositifs d’exonération.</w:t>
      </w:r>
    </w:p>
    <w:p w14:paraId="6614BFC2" w14:textId="77777777" w:rsidR="006054B9" w:rsidRPr="00A847B7" w:rsidRDefault="006054B9" w:rsidP="00A50B3E">
      <w:pPr>
        <w:spacing w:beforeAutospacing="1" w:after="100" w:afterAutospacing="1"/>
        <w:rPr>
          <w:rFonts w:cstheme="minorHAnsi"/>
        </w:rPr>
      </w:pPr>
    </w:p>
    <w:p w14:paraId="73B7037B" w14:textId="6E51F651" w:rsidR="00253E41" w:rsidRPr="00A847B7" w:rsidRDefault="00253E41" w:rsidP="00253E41">
      <w:pPr>
        <w:pStyle w:val="Titre3"/>
      </w:pPr>
      <w:bookmarkStart w:id="105" w:name="_Toc58878909"/>
      <w:bookmarkStart w:id="106" w:name="_Toc60781026"/>
      <w:r w:rsidRPr="00A847B7">
        <w:t xml:space="preserve">Slide </w:t>
      </w:r>
      <w:r w:rsidR="00DE3BEF">
        <w:t>68</w:t>
      </w:r>
      <w:r w:rsidRPr="00A847B7">
        <w:t> : T</w:t>
      </w:r>
      <w:r>
        <w:t>axe foncière</w:t>
      </w:r>
      <w:bookmarkEnd w:id="105"/>
      <w:bookmarkEnd w:id="106"/>
    </w:p>
    <w:p w14:paraId="4F0D7FD1" w14:textId="30A091C1" w:rsidR="00253E41" w:rsidRPr="004D0B15" w:rsidRDefault="00330964" w:rsidP="00253E41">
      <w:pPr>
        <w:rPr>
          <w:highlight w:val="yellow"/>
        </w:rPr>
      </w:pPr>
      <w:r w:rsidRPr="004F587E">
        <w:rPr>
          <w:u w:val="single"/>
        </w:rPr>
        <w:t xml:space="preserve">Source </w:t>
      </w:r>
      <w:r w:rsidRPr="00A847B7">
        <w:t>:</w:t>
      </w:r>
      <w:r w:rsidR="00253E41" w:rsidRPr="009B4167">
        <w:t xml:space="preserve"> Loi de Finances pour 2021, </w:t>
      </w:r>
      <w:r w:rsidR="00253E41" w:rsidRPr="005A54C4">
        <w:t xml:space="preserve">article </w:t>
      </w:r>
      <w:r w:rsidR="00581905" w:rsidRPr="005A54C4">
        <w:t>192</w:t>
      </w:r>
    </w:p>
    <w:p w14:paraId="53ED51C3" w14:textId="3D889771" w:rsidR="00253E41" w:rsidRDefault="00253E41" w:rsidP="00253E41">
      <w:pPr>
        <w:spacing w:beforeAutospacing="1" w:after="100" w:afterAutospacing="1"/>
        <w:rPr>
          <w:rFonts w:cstheme="minorHAnsi"/>
        </w:rPr>
      </w:pPr>
      <w:r>
        <w:rPr>
          <w:rFonts w:cstheme="minorHAnsi"/>
        </w:rPr>
        <w:t>S</w:t>
      </w:r>
      <w:r w:rsidRPr="00D66874">
        <w:rPr>
          <w:rFonts w:cstheme="minorHAnsi"/>
        </w:rPr>
        <w:t>ur délibération de la collectivité territoriale ou de l'établissement public de coopération intercommunale à fiscalité propre</w:t>
      </w:r>
      <w:r w:rsidR="00576290">
        <w:rPr>
          <w:rFonts w:cstheme="minorHAnsi"/>
        </w:rPr>
        <w:t>,</w:t>
      </w:r>
      <w:r>
        <w:rPr>
          <w:rFonts w:cstheme="minorHAnsi"/>
        </w:rPr>
        <w:t xml:space="preserve"> </w:t>
      </w:r>
      <w:r w:rsidRPr="00D66874">
        <w:rPr>
          <w:rFonts w:cstheme="minorHAnsi"/>
        </w:rPr>
        <w:t>la base d'imposition à la taxe foncière sur les propriétés bâties situées dans le périmètre d'un projet d'intérêt général</w:t>
      </w:r>
      <w:r>
        <w:rPr>
          <w:rFonts w:cstheme="minorHAnsi"/>
        </w:rPr>
        <w:t xml:space="preserve"> </w:t>
      </w:r>
      <w:r w:rsidRPr="00D66874">
        <w:rPr>
          <w:rFonts w:cstheme="minorHAnsi"/>
        </w:rPr>
        <w:t>justifié par la pollution de l'environnement, peut faire l'objet d'un abattement de 50 %.</w:t>
      </w:r>
    </w:p>
    <w:p w14:paraId="526681B3" w14:textId="77777777" w:rsidR="00253E41" w:rsidRDefault="00253E41" w:rsidP="00253E41">
      <w:pPr>
        <w:spacing w:beforeAutospacing="1" w:after="100" w:afterAutospacing="1"/>
        <w:rPr>
          <w:rFonts w:cstheme="minorHAnsi"/>
        </w:rPr>
      </w:pPr>
      <w:r>
        <w:rPr>
          <w:rFonts w:cstheme="minorHAnsi"/>
        </w:rPr>
        <w:t>Jusqu’à présent, p</w:t>
      </w:r>
      <w:r w:rsidRPr="00D66874">
        <w:rPr>
          <w:rFonts w:cstheme="minorHAnsi"/>
        </w:rPr>
        <w:t xml:space="preserve">our bénéficier de </w:t>
      </w:r>
      <w:r>
        <w:rPr>
          <w:rFonts w:cstheme="minorHAnsi"/>
        </w:rPr>
        <w:t>cet abattement</w:t>
      </w:r>
      <w:r w:rsidRPr="00D66874">
        <w:rPr>
          <w:rFonts w:cstheme="minorHAnsi"/>
        </w:rPr>
        <w:t xml:space="preserve">, le propriétaire </w:t>
      </w:r>
      <w:r>
        <w:rPr>
          <w:rFonts w:cstheme="minorHAnsi"/>
        </w:rPr>
        <w:t>devait</w:t>
      </w:r>
      <w:r w:rsidRPr="00D66874">
        <w:rPr>
          <w:rFonts w:cstheme="minorHAnsi"/>
        </w:rPr>
        <w:t xml:space="preserve"> adresser aux services des impôts du lieu de situation des biens, avant le 1</w:t>
      </w:r>
      <w:r w:rsidRPr="00D66874">
        <w:rPr>
          <w:rFonts w:cstheme="minorHAnsi"/>
          <w:vertAlign w:val="superscript"/>
        </w:rPr>
        <w:t xml:space="preserve">er </w:t>
      </w:r>
      <w:r w:rsidRPr="00D66874">
        <w:rPr>
          <w:rFonts w:cstheme="minorHAnsi"/>
        </w:rPr>
        <w:t>janvier de chaque année, une déclaration conforme au modèle établi par l'administration et comportant tous les éléments d'identification des biens.</w:t>
      </w:r>
    </w:p>
    <w:p w14:paraId="418AA464" w14:textId="77777777" w:rsidR="00253E41" w:rsidRDefault="00253E41" w:rsidP="00253E41">
      <w:pPr>
        <w:spacing w:beforeAutospacing="1" w:after="100" w:afterAutospacing="1"/>
        <w:rPr>
          <w:rFonts w:cstheme="minorHAnsi"/>
        </w:rPr>
      </w:pPr>
      <w:r>
        <w:rPr>
          <w:rFonts w:cstheme="minorHAnsi"/>
        </w:rPr>
        <w:t>La Loi de Finances pour 2021 supprime cette obligation de déclaration annuelle. En revanche, les propriétaires concernés sont tenus d’informer l’administration fiscale de tout changement de situation de nature à modifier l’assiette et le calcul de l’abattement.</w:t>
      </w:r>
    </w:p>
    <w:p w14:paraId="7ED16D89" w14:textId="77777777" w:rsidR="00253E41" w:rsidRPr="00A847B7" w:rsidRDefault="00253E41" w:rsidP="00253E41">
      <w:pPr>
        <w:spacing w:beforeAutospacing="1" w:after="100" w:afterAutospacing="1"/>
        <w:rPr>
          <w:rFonts w:cstheme="minorHAnsi"/>
        </w:rPr>
      </w:pPr>
      <w:r>
        <w:rPr>
          <w:rFonts w:cstheme="minorHAnsi"/>
        </w:rPr>
        <w:t>En cas de vente, le nouveau propriétaire devra renouveler la déclaration.</w:t>
      </w:r>
    </w:p>
    <w:p w14:paraId="3268A60D" w14:textId="77777777" w:rsidR="00253E41" w:rsidRPr="00A847B7" w:rsidRDefault="00253E41" w:rsidP="00A50B3E">
      <w:pPr>
        <w:spacing w:beforeAutospacing="1" w:after="100" w:afterAutospacing="1"/>
        <w:rPr>
          <w:rFonts w:cstheme="minorHAnsi"/>
        </w:rPr>
      </w:pPr>
    </w:p>
    <w:p w14:paraId="772B78CB" w14:textId="09065D92" w:rsidR="002C7029" w:rsidRDefault="002C7029" w:rsidP="002C7029">
      <w:pPr>
        <w:rPr>
          <w:rFonts w:cstheme="minorHAnsi"/>
        </w:rPr>
      </w:pPr>
      <w:r w:rsidRPr="00A847B7">
        <w:rPr>
          <w:rFonts w:cstheme="minorHAnsi"/>
        </w:rPr>
        <w:br w:type="page"/>
      </w:r>
    </w:p>
    <w:p w14:paraId="54406814" w14:textId="77777777" w:rsidR="00330964" w:rsidRPr="00A847B7" w:rsidRDefault="00330964" w:rsidP="002C7029">
      <w:pPr>
        <w:rPr>
          <w:rFonts w:cstheme="minorHAnsi"/>
        </w:rPr>
      </w:pPr>
    </w:p>
    <w:p w14:paraId="39EDF373" w14:textId="45E5B064" w:rsidR="00AD7AB9" w:rsidRDefault="00AD7AB9" w:rsidP="00AD7AB9">
      <w:pPr>
        <w:pStyle w:val="Titre2"/>
      </w:pPr>
      <w:bookmarkStart w:id="107" w:name="_Toc30149305"/>
      <w:bookmarkStart w:id="108" w:name="_Toc60781027"/>
      <w:r w:rsidRPr="00A847B7">
        <w:t>Mesures fiscales diverses</w:t>
      </w:r>
      <w:bookmarkEnd w:id="107"/>
      <w:bookmarkEnd w:id="108"/>
    </w:p>
    <w:p w14:paraId="17ACC01A" w14:textId="77777777" w:rsidR="00330964" w:rsidRPr="00330964" w:rsidRDefault="00330964" w:rsidP="00330964"/>
    <w:p w14:paraId="4D7C3274" w14:textId="27188061" w:rsidR="00AB7A17" w:rsidRPr="00A847B7" w:rsidRDefault="0080047B" w:rsidP="00AB7A17">
      <w:pPr>
        <w:pStyle w:val="Titre3"/>
      </w:pPr>
      <w:bookmarkStart w:id="109" w:name="_Toc60781028"/>
      <w:r w:rsidRPr="00A847B7">
        <w:t xml:space="preserve">Slide </w:t>
      </w:r>
      <w:r w:rsidR="00BA1408">
        <w:t>69</w:t>
      </w:r>
      <w:r w:rsidRPr="00A847B7">
        <w:t xml:space="preserve"> : </w:t>
      </w:r>
      <w:r w:rsidR="00CC042E" w:rsidRPr="00A847B7">
        <w:t>D</w:t>
      </w:r>
      <w:r w:rsidR="00AB7A17" w:rsidRPr="00A847B7">
        <w:t>roits d’enregistrement</w:t>
      </w:r>
      <w:bookmarkEnd w:id="109"/>
    </w:p>
    <w:p w14:paraId="45CAB1F6" w14:textId="4797627E" w:rsidR="00AB7A17" w:rsidRPr="005A54C4" w:rsidRDefault="00330964" w:rsidP="00330964">
      <w:pPr>
        <w:rPr>
          <w:rFonts w:cstheme="minorHAnsi"/>
        </w:rPr>
      </w:pPr>
      <w:r w:rsidRPr="004F587E">
        <w:rPr>
          <w:u w:val="single"/>
        </w:rPr>
        <w:t xml:space="preserve">Source </w:t>
      </w:r>
      <w:r w:rsidRPr="00A847B7">
        <w:t>:</w:t>
      </w:r>
      <w:r w:rsidR="00AA5EE4" w:rsidRPr="00A847B7">
        <w:t xml:space="preserve"> Loi de Finances pour 2021,</w:t>
      </w:r>
      <w:r w:rsidR="00AA5EE4" w:rsidRPr="005A54C4">
        <w:t xml:space="preserve"> a</w:t>
      </w:r>
      <w:r w:rsidR="002F258B" w:rsidRPr="005A54C4">
        <w:t xml:space="preserve">rticle </w:t>
      </w:r>
      <w:r w:rsidR="004E1771" w:rsidRPr="005A54C4">
        <w:t>67</w:t>
      </w:r>
    </w:p>
    <w:p w14:paraId="1B4F513F" w14:textId="6139CBA6" w:rsidR="00466CB3" w:rsidRPr="00A847B7" w:rsidRDefault="00CC042E" w:rsidP="00466CB3">
      <w:r w:rsidRPr="00A847B7">
        <w:t>La Loi de Finance pour 2021 supprime l’obligation de faire enregistrer les actes suivants, à compter du 1</w:t>
      </w:r>
      <w:r w:rsidRPr="00A847B7">
        <w:rPr>
          <w:vertAlign w:val="superscript"/>
        </w:rPr>
        <w:t>er</w:t>
      </w:r>
      <w:r w:rsidRPr="00A847B7">
        <w:t xml:space="preserve"> janvier 2021</w:t>
      </w:r>
      <w:r w:rsidR="00466CB3" w:rsidRPr="00A847B7">
        <w:t xml:space="preserve"> : </w:t>
      </w:r>
    </w:p>
    <w:p w14:paraId="7065D66C" w14:textId="77777777" w:rsidR="00FA2026" w:rsidRPr="00A847B7" w:rsidRDefault="00466CB3" w:rsidP="00EE0687">
      <w:pPr>
        <w:pStyle w:val="Paragraphedeliste"/>
        <w:numPr>
          <w:ilvl w:val="0"/>
          <w:numId w:val="121"/>
        </w:numPr>
        <w:spacing w:before="0" w:after="160" w:line="259" w:lineRule="auto"/>
      </w:pPr>
      <w:r w:rsidRPr="00A847B7">
        <w:t>actes constatant des augmentations de capital</w:t>
      </w:r>
      <w:r w:rsidR="00D01D21" w:rsidRPr="00A847B7">
        <w:t xml:space="preserve"> en numéraire ou par </w:t>
      </w:r>
      <w:r w:rsidR="00FA2026" w:rsidRPr="00A847B7">
        <w:t>incorporation</w:t>
      </w:r>
      <w:r w:rsidR="00D01D21" w:rsidRPr="00A847B7">
        <w:t xml:space="preserve"> de bénéfices, de réserves ou de provisions</w:t>
      </w:r>
      <w:r w:rsidRPr="00A847B7">
        <w:t>,</w:t>
      </w:r>
    </w:p>
    <w:p w14:paraId="63C869AD" w14:textId="30AD928D" w:rsidR="00B37D20" w:rsidRPr="00A847B7" w:rsidRDefault="00FA2026" w:rsidP="00EE0687">
      <w:pPr>
        <w:pStyle w:val="Paragraphedeliste"/>
        <w:numPr>
          <w:ilvl w:val="0"/>
          <w:numId w:val="121"/>
        </w:numPr>
        <w:spacing w:before="0" w:after="160" w:line="259" w:lineRule="auto"/>
      </w:pPr>
      <w:r w:rsidRPr="00A847B7">
        <w:t>actes constatant des augmentations nettes de capital de société à capital variable constatées à la clôture d’un exercice,</w:t>
      </w:r>
      <w:r w:rsidR="00466CB3" w:rsidRPr="00A847B7">
        <w:t xml:space="preserve"> </w:t>
      </w:r>
    </w:p>
    <w:p w14:paraId="6DE7AB7F" w14:textId="7215E0F7" w:rsidR="00B37D20" w:rsidRPr="00A847B7" w:rsidRDefault="00B37D20" w:rsidP="00EE0687">
      <w:pPr>
        <w:pStyle w:val="Paragraphedeliste"/>
        <w:numPr>
          <w:ilvl w:val="0"/>
          <w:numId w:val="121"/>
        </w:numPr>
        <w:spacing w:before="0" w:after="160" w:line="259" w:lineRule="auto"/>
      </w:pPr>
      <w:r w:rsidRPr="00A847B7">
        <w:t xml:space="preserve">actes constatant </w:t>
      </w:r>
      <w:r w:rsidR="00466CB3" w:rsidRPr="00A847B7">
        <w:t xml:space="preserve">des </w:t>
      </w:r>
      <w:r w:rsidRPr="00A847B7">
        <w:t xml:space="preserve">amortissements et des </w:t>
      </w:r>
      <w:r w:rsidR="00466CB3" w:rsidRPr="00A847B7">
        <w:t xml:space="preserve">réductions de capital, </w:t>
      </w:r>
    </w:p>
    <w:p w14:paraId="4CEC96AF" w14:textId="4C6463C8" w:rsidR="00466CB3" w:rsidRPr="00A847B7" w:rsidRDefault="00B37D20" w:rsidP="00EE0687">
      <w:pPr>
        <w:pStyle w:val="Paragraphedeliste"/>
        <w:numPr>
          <w:ilvl w:val="0"/>
          <w:numId w:val="121"/>
        </w:numPr>
        <w:spacing w:before="0" w:after="160" w:line="259" w:lineRule="auto"/>
      </w:pPr>
      <w:r w:rsidRPr="00A847B7">
        <w:t xml:space="preserve">actes constatant </w:t>
      </w:r>
      <w:r w:rsidR="00466CB3" w:rsidRPr="00A847B7">
        <w:t>des constitutions de groupements d'intérêt économique (GIE)</w:t>
      </w:r>
      <w:r w:rsidRPr="00A847B7">
        <w:t>.</w:t>
      </w:r>
    </w:p>
    <w:p w14:paraId="3FF200A1" w14:textId="5CA10577" w:rsidR="001B03E6" w:rsidRPr="00A847B7" w:rsidRDefault="001B03E6" w:rsidP="00466CB3">
      <w:r w:rsidRPr="00A847B7">
        <w:t>L’obligation de déclarer au service des impôts, en l’</w:t>
      </w:r>
      <w:r w:rsidR="00B073EF" w:rsidRPr="00A847B7">
        <w:t>absence</w:t>
      </w:r>
      <w:r w:rsidRPr="00A847B7">
        <w:t xml:space="preserve"> d’actes, les opérations d’amortissement</w:t>
      </w:r>
      <w:r w:rsidR="000D483B" w:rsidRPr="00A847B7">
        <w:t>, de réduction ou d’augmentations de capital est également supprimée à compter du 1</w:t>
      </w:r>
      <w:r w:rsidR="000D483B" w:rsidRPr="00A847B7">
        <w:rPr>
          <w:vertAlign w:val="superscript"/>
        </w:rPr>
        <w:t>er</w:t>
      </w:r>
      <w:r w:rsidR="000D483B" w:rsidRPr="00A847B7">
        <w:t xml:space="preserve"> janvier 2021</w:t>
      </w:r>
      <w:r w:rsidR="00A56C4F">
        <w:t>.</w:t>
      </w:r>
    </w:p>
    <w:p w14:paraId="213ABF06" w14:textId="63F5D4F5" w:rsidR="00AB7A17" w:rsidRPr="00A847B7" w:rsidRDefault="00466CB3" w:rsidP="00466CB3">
      <w:r w:rsidRPr="00A847B7">
        <w:t>Pour les actes qui restent soumis à enregistrement, il sera désormais possible de déposer des actes de sociétés au greffe du tribunal avant l’exécution de la formalité d’enregistrement au service des impôts, même lorsque celle-ci est obligatoire</w:t>
      </w:r>
      <w:r w:rsidR="006B6E9E" w:rsidRPr="00A847B7">
        <w:t>.</w:t>
      </w:r>
    </w:p>
    <w:p w14:paraId="007FCCD4" w14:textId="5C36F733" w:rsidR="006B6E9E" w:rsidRPr="00A847B7" w:rsidRDefault="006B6E9E" w:rsidP="00466CB3">
      <w:r w:rsidRPr="00A847B7">
        <w:t>Resteront soumis à l’obligation d’enregistrement préalable</w:t>
      </w:r>
      <w:r w:rsidR="00932137" w:rsidRPr="00A847B7">
        <w:t xml:space="preserve"> les actes suivants, établis à compter du 1</w:t>
      </w:r>
      <w:r w:rsidR="00932137" w:rsidRPr="00A847B7">
        <w:rPr>
          <w:vertAlign w:val="superscript"/>
        </w:rPr>
        <w:t>er</w:t>
      </w:r>
      <w:r w:rsidR="00932137" w:rsidRPr="00A847B7">
        <w:t xml:space="preserve"> janvier 2021 :</w:t>
      </w:r>
    </w:p>
    <w:p w14:paraId="4F67BA43" w14:textId="201AF208" w:rsidR="00932137" w:rsidRPr="00A847B7" w:rsidRDefault="00B073EF" w:rsidP="00EE0687">
      <w:pPr>
        <w:pStyle w:val="Paragraphedeliste"/>
        <w:numPr>
          <w:ilvl w:val="0"/>
          <w:numId w:val="138"/>
        </w:numPr>
      </w:pPr>
      <w:r w:rsidRPr="00A847B7">
        <w:t>t</w:t>
      </w:r>
      <w:r w:rsidR="001E6213" w:rsidRPr="00A847B7">
        <w:t>ransmission de propriété ou d’usufruit de fonds de commerce ou de clientèles</w:t>
      </w:r>
      <w:r w:rsidR="009F7EB0" w:rsidRPr="00A847B7">
        <w:t>,</w:t>
      </w:r>
    </w:p>
    <w:p w14:paraId="2B4F4F29" w14:textId="3422688C" w:rsidR="009F7EB0" w:rsidRPr="00A847B7" w:rsidRDefault="00B073EF" w:rsidP="00EE0687">
      <w:pPr>
        <w:pStyle w:val="Paragraphedeliste"/>
        <w:numPr>
          <w:ilvl w:val="0"/>
          <w:numId w:val="138"/>
        </w:numPr>
      </w:pPr>
      <w:r w:rsidRPr="00A847B7">
        <w:t>c</w:t>
      </w:r>
      <w:r w:rsidR="009F7EB0" w:rsidRPr="00A847B7">
        <w:t>ession de droit au bail</w:t>
      </w:r>
      <w:r w:rsidRPr="00A847B7">
        <w:t xml:space="preserve"> portant sur tout ou partie d’un immeuble,</w:t>
      </w:r>
    </w:p>
    <w:p w14:paraId="733FF211" w14:textId="7C0F7442" w:rsidR="00B073EF" w:rsidRPr="00A847B7" w:rsidRDefault="00B073EF" w:rsidP="00EE0687">
      <w:pPr>
        <w:pStyle w:val="Paragraphedeliste"/>
        <w:numPr>
          <w:ilvl w:val="0"/>
          <w:numId w:val="138"/>
        </w:numPr>
      </w:pPr>
      <w:r w:rsidRPr="00A847B7">
        <w:t>cession de droits sociaux.</w:t>
      </w:r>
    </w:p>
    <w:p w14:paraId="0B055421" w14:textId="77777777" w:rsidR="00932137" w:rsidRPr="00A847B7" w:rsidRDefault="00932137" w:rsidP="00466CB3"/>
    <w:p w14:paraId="4060493F" w14:textId="005C1134" w:rsidR="00C67075" w:rsidRPr="00A847B7" w:rsidRDefault="00C67075" w:rsidP="00C67075">
      <w:pPr>
        <w:pStyle w:val="Titre3"/>
      </w:pPr>
      <w:bookmarkStart w:id="110" w:name="_Toc60781029"/>
      <w:r w:rsidRPr="00A847B7">
        <w:t xml:space="preserve">Slide </w:t>
      </w:r>
      <w:r w:rsidR="00A56C4F">
        <w:t>70</w:t>
      </w:r>
      <w:r w:rsidRPr="00A847B7">
        <w:t xml:space="preserve"> : </w:t>
      </w:r>
      <w:r w:rsidR="00807BE1" w:rsidRPr="00A847B7">
        <w:t>A</w:t>
      </w:r>
      <w:r w:rsidRPr="00A847B7">
        <w:t>pport en société et rachat de créances</w:t>
      </w:r>
      <w:bookmarkEnd w:id="110"/>
    </w:p>
    <w:p w14:paraId="3FA1BBDB" w14:textId="2BB06F05" w:rsidR="00D266A0" w:rsidRPr="00A847B7" w:rsidRDefault="00330964" w:rsidP="00D266A0">
      <w:pPr>
        <w:rPr>
          <w:highlight w:val="yellow"/>
        </w:rPr>
      </w:pPr>
      <w:r w:rsidRPr="004F587E">
        <w:rPr>
          <w:u w:val="single"/>
        </w:rPr>
        <w:t xml:space="preserve">Source </w:t>
      </w:r>
      <w:r w:rsidRPr="00A847B7">
        <w:t>:</w:t>
      </w:r>
      <w:r w:rsidR="008A3CC0" w:rsidRPr="00A847B7">
        <w:t xml:space="preserve"> Loi de Finance pour 2021,</w:t>
      </w:r>
      <w:r w:rsidR="008A3CC0" w:rsidRPr="005A54C4">
        <w:t xml:space="preserve"> article </w:t>
      </w:r>
      <w:r w:rsidR="00F8343F" w:rsidRPr="005A54C4">
        <w:t>32</w:t>
      </w:r>
    </w:p>
    <w:p w14:paraId="12230D41" w14:textId="77777777" w:rsidR="00EC4714" w:rsidRPr="00A847B7" w:rsidRDefault="001723EB" w:rsidP="00D266A0">
      <w:r w:rsidRPr="00A847B7">
        <w:t xml:space="preserve">Il existe un dispositif spécifique qui s’applique en cas de rachat de créance à une valeur décotée </w:t>
      </w:r>
      <w:r w:rsidR="00BF7A3C" w:rsidRPr="00A847B7">
        <w:t>apportée ensuite en capital</w:t>
      </w:r>
      <w:r w:rsidR="00EC4714" w:rsidRPr="00A847B7">
        <w:t xml:space="preserve">. </w:t>
      </w:r>
    </w:p>
    <w:p w14:paraId="4D15B556" w14:textId="2A5C2BB1" w:rsidR="00BF7A3C" w:rsidRPr="00A847B7" w:rsidRDefault="00EC4714" w:rsidP="00D266A0">
      <w:r w:rsidRPr="00A847B7">
        <w:t>Ce dispositif vise le</w:t>
      </w:r>
      <w:r w:rsidR="00274193" w:rsidRPr="00A847B7">
        <w:t xml:space="preserve"> cas suivant : une société A </w:t>
      </w:r>
      <w:r w:rsidRPr="00A847B7">
        <w:t>rachète</w:t>
      </w:r>
      <w:r w:rsidR="00274193" w:rsidRPr="00A847B7">
        <w:t xml:space="preserve"> à une société B </w:t>
      </w:r>
      <w:r w:rsidR="001D757F">
        <w:t xml:space="preserve">la </w:t>
      </w:r>
      <w:r w:rsidRPr="00A847B7">
        <w:t>créance que ce</w:t>
      </w:r>
      <w:r w:rsidR="00274193" w:rsidRPr="00A847B7">
        <w:t>tte</w:t>
      </w:r>
      <w:r w:rsidRPr="00A847B7">
        <w:t xml:space="preserve"> derni</w:t>
      </w:r>
      <w:r w:rsidR="00274193" w:rsidRPr="00A847B7">
        <w:t>ère</w:t>
      </w:r>
      <w:r w:rsidRPr="00A847B7">
        <w:t xml:space="preserve"> détient sur une société </w:t>
      </w:r>
      <w:r w:rsidR="00274193" w:rsidRPr="00A847B7">
        <w:t xml:space="preserve">C </w:t>
      </w:r>
      <w:r w:rsidRPr="00A847B7">
        <w:t>et qui décide de l’apporter au capital de cette société cible.</w:t>
      </w:r>
    </w:p>
    <w:p w14:paraId="7C3F0803" w14:textId="408459F0" w:rsidR="00DD57D5" w:rsidRPr="00A847B7" w:rsidRDefault="00DD57D5" w:rsidP="00D266A0">
      <w:r w:rsidRPr="00A847B7">
        <w:t>L’imposition de cette opération de rachat</w:t>
      </w:r>
      <w:r w:rsidR="007454EA" w:rsidRPr="00A847B7">
        <w:t>/apport</w:t>
      </w:r>
      <w:r w:rsidRPr="00A847B7">
        <w:t xml:space="preserve"> se fera sur la base de la différence entre la valeur réelle des </w:t>
      </w:r>
      <w:r w:rsidR="007454EA" w:rsidRPr="00A847B7">
        <w:t xml:space="preserve">titres de participation reçus en contrepartie et la valeur de rachat de la </w:t>
      </w:r>
      <w:r w:rsidR="00BF2940" w:rsidRPr="00A847B7">
        <w:t xml:space="preserve">créance. </w:t>
      </w:r>
    </w:p>
    <w:p w14:paraId="365E240C" w14:textId="48F45B96" w:rsidR="00081E6B" w:rsidRPr="00A847B7" w:rsidRDefault="00081E6B" w:rsidP="00D266A0">
      <w:r w:rsidRPr="00A847B7">
        <w:t xml:space="preserve">Ce régime </w:t>
      </w:r>
      <w:r w:rsidR="00780B86" w:rsidRPr="00A847B7">
        <w:t>de faveur</w:t>
      </w:r>
      <w:r w:rsidR="00274193" w:rsidRPr="00A847B7">
        <w:t>, qui concerne les sociétés soumises à l’IS,</w:t>
      </w:r>
      <w:r w:rsidR="00780B86" w:rsidRPr="00A847B7">
        <w:t xml:space="preserve"> ne s’applique </w:t>
      </w:r>
      <w:r w:rsidR="00FC4409" w:rsidRPr="00A847B7">
        <w:t xml:space="preserve">que si </w:t>
      </w:r>
      <w:r w:rsidR="00594618" w:rsidRPr="00A847B7">
        <w:t xml:space="preserve">la société </w:t>
      </w:r>
      <w:r w:rsidR="00274193" w:rsidRPr="00A847B7">
        <w:t xml:space="preserve">A </w:t>
      </w:r>
      <w:r w:rsidR="00D31EF5" w:rsidRPr="00A847B7">
        <w:t xml:space="preserve">qui réalise l’apport de la </w:t>
      </w:r>
      <w:r w:rsidR="00274193" w:rsidRPr="00A847B7">
        <w:t>créance</w:t>
      </w:r>
      <w:r w:rsidR="00D31EF5" w:rsidRPr="00A847B7">
        <w:t xml:space="preserve"> en</w:t>
      </w:r>
      <w:r w:rsidR="00274193" w:rsidRPr="00A847B7">
        <w:t xml:space="preserve"> </w:t>
      </w:r>
      <w:r w:rsidR="00D31EF5" w:rsidRPr="00A847B7">
        <w:t xml:space="preserve">capital et la société </w:t>
      </w:r>
      <w:r w:rsidR="00274193" w:rsidRPr="00A847B7">
        <w:t>C bénéficiaire</w:t>
      </w:r>
      <w:r w:rsidR="00D31EF5" w:rsidRPr="00A847B7">
        <w:t xml:space="preserve"> de cet apport ne sont pas </w:t>
      </w:r>
      <w:r w:rsidR="00CA489D" w:rsidRPr="00A847B7">
        <w:t xml:space="preserve">liées à la société </w:t>
      </w:r>
      <w:r w:rsidR="00274193" w:rsidRPr="00A847B7">
        <w:t xml:space="preserve">B qui </w:t>
      </w:r>
      <w:r w:rsidR="00274193" w:rsidRPr="00A847B7">
        <w:lastRenderedPageBreak/>
        <w:t>cède la créance.</w:t>
      </w:r>
      <w:r w:rsidR="003477C2" w:rsidRPr="00A847B7">
        <w:t xml:space="preserve"> Ces liens de dépendance </w:t>
      </w:r>
      <w:r w:rsidR="00283F78" w:rsidRPr="00A847B7">
        <w:rPr>
          <w:rStyle w:val="txt"/>
        </w:rPr>
        <w:t>sont appréciés à la date d'acquisition des titres et au cours des 12 mois qui précèdent et qui suivent cette date.</w:t>
      </w:r>
    </w:p>
    <w:p w14:paraId="111C79D3" w14:textId="57A4DBBE" w:rsidR="00D266A0" w:rsidRPr="00A847B7" w:rsidRDefault="00BF7A3C" w:rsidP="000F33F7">
      <w:r w:rsidRPr="00A847B7">
        <w:t>L</w:t>
      </w:r>
      <w:r w:rsidR="000F33F7" w:rsidRPr="00A847B7">
        <w:t>a Loi de Finances pour 2021 précise que la</w:t>
      </w:r>
      <w:r w:rsidR="00D266A0" w:rsidRPr="00A847B7">
        <w:t xml:space="preserve"> condition tenant à l'absence de liens entre le créancier initial et la société débitrice </w:t>
      </w:r>
      <w:r w:rsidR="00F8343F">
        <w:t>est</w:t>
      </w:r>
      <w:r w:rsidR="00F8343F" w:rsidRPr="00A847B7">
        <w:t xml:space="preserve"> </w:t>
      </w:r>
      <w:r w:rsidR="00D266A0" w:rsidRPr="00A847B7">
        <w:t>supprimée lorsque l'augmentation de capital est effectuée dans le cadre d'un protocole de conciliation constaté ou homologué ou d'un plan de sauvegarde ou de redressement.</w:t>
      </w:r>
    </w:p>
    <w:p w14:paraId="38C93ECE" w14:textId="4036C451" w:rsidR="00C67075" w:rsidRPr="00A847B7" w:rsidRDefault="00D266A0" w:rsidP="00D266A0">
      <w:r w:rsidRPr="00A847B7">
        <w:t xml:space="preserve">Cette mesure s'appliquera aux exercices clos à compter du </w:t>
      </w:r>
      <w:r w:rsidRPr="00771869">
        <w:t xml:space="preserve">31 décembre </w:t>
      </w:r>
      <w:r w:rsidR="007048B8" w:rsidRPr="00771869">
        <w:t>2020</w:t>
      </w:r>
      <w:r w:rsidRPr="00771869">
        <w:t>.</w:t>
      </w:r>
    </w:p>
    <w:p w14:paraId="6F29E89E" w14:textId="77777777" w:rsidR="00E17531" w:rsidRPr="00A847B7" w:rsidRDefault="00E17531" w:rsidP="00D266A0"/>
    <w:p w14:paraId="6466D8DE" w14:textId="51967F41" w:rsidR="00CF5BC5" w:rsidRPr="00A847B7" w:rsidRDefault="00CF5BC5" w:rsidP="00CF5BC5">
      <w:pPr>
        <w:pStyle w:val="Titre3"/>
      </w:pPr>
      <w:bookmarkStart w:id="111" w:name="_Toc60781030"/>
      <w:r w:rsidRPr="00A847B7">
        <w:t xml:space="preserve">Slide </w:t>
      </w:r>
      <w:r w:rsidR="00251060">
        <w:t>71</w:t>
      </w:r>
      <w:r w:rsidRPr="00A847B7">
        <w:t xml:space="preserve"> : </w:t>
      </w:r>
      <w:r>
        <w:t>Fusion entre sociétés relevant du régime des SIIC</w:t>
      </w:r>
      <w:bookmarkEnd w:id="111"/>
    </w:p>
    <w:p w14:paraId="589ABB47" w14:textId="0992E3BC" w:rsidR="00CF5BC5" w:rsidRPr="00701D21" w:rsidRDefault="00330964" w:rsidP="00CF5BC5">
      <w:pPr>
        <w:rPr>
          <w:highlight w:val="yellow"/>
        </w:rPr>
      </w:pPr>
      <w:r w:rsidRPr="004F587E">
        <w:rPr>
          <w:u w:val="single"/>
        </w:rPr>
        <w:t xml:space="preserve">Source </w:t>
      </w:r>
      <w:r w:rsidRPr="00A847B7">
        <w:t>:</w:t>
      </w:r>
      <w:r w:rsidR="00CF5BC5" w:rsidRPr="003F02E2">
        <w:t xml:space="preserve"> Loi de Finances </w:t>
      </w:r>
      <w:r w:rsidR="00CF5BC5" w:rsidRPr="00597316">
        <w:t>pour 2021,</w:t>
      </w:r>
      <w:r w:rsidR="00CF5BC5" w:rsidRPr="005A54C4">
        <w:t xml:space="preserve"> article </w:t>
      </w:r>
      <w:r w:rsidR="00A91A45" w:rsidRPr="005A54C4">
        <w:t>16</w:t>
      </w:r>
    </w:p>
    <w:p w14:paraId="430F6B95" w14:textId="77777777" w:rsidR="00CF5BC5" w:rsidRPr="003F02E2" w:rsidRDefault="00CF5BC5" w:rsidP="00CF5BC5">
      <w:r w:rsidRPr="003F02E2">
        <w:t>En cas d’absorption d’une société d’investissements immobiliers cotée par une autre SIIC, réalisée dans le cadre du régime de faveur des fusions, la plus-value éventuellement dégagée par la société absorbante lors de l'annulation des titres de son propre capital qu'elle reçoit ou qui correspondent à ses droits dans la société absorbée est exonérée d’impôt sur les sociétés.</w:t>
      </w:r>
    </w:p>
    <w:p w14:paraId="419F1656" w14:textId="77777777" w:rsidR="00CF5BC5" w:rsidRPr="003F02E2" w:rsidRDefault="00CF5BC5" w:rsidP="00CF5BC5">
      <w:r w:rsidRPr="003F02E2">
        <w:t>Mais cette exonération est conditionnée à la distribution obligatoire d’une part de cette plus-value dégagée par l’absorbante.</w:t>
      </w:r>
    </w:p>
    <w:p w14:paraId="0F28A79A" w14:textId="0AF9793B" w:rsidR="00CF5BC5" w:rsidRDefault="00CF5BC5" w:rsidP="00CF5BC5">
      <w:r w:rsidRPr="003F02E2">
        <w:t>La proportion de cette distribution passe de 60 à 70 % pour les exercices clos à compter du 31 décembre 2020.</w:t>
      </w:r>
    </w:p>
    <w:p w14:paraId="25B287ED" w14:textId="77777777" w:rsidR="00CF5BC5" w:rsidRDefault="00CF5BC5" w:rsidP="00CF5BC5"/>
    <w:p w14:paraId="732B27DC" w14:textId="2CCC5E65" w:rsidR="004508D1" w:rsidRPr="00A847B7" w:rsidRDefault="004508D1" w:rsidP="004508D1">
      <w:pPr>
        <w:pStyle w:val="Titre3"/>
      </w:pPr>
      <w:bookmarkStart w:id="112" w:name="_Toc60781031"/>
      <w:r w:rsidRPr="00A847B7">
        <w:t xml:space="preserve">Slide </w:t>
      </w:r>
      <w:r w:rsidR="00FE10FF">
        <w:t>72</w:t>
      </w:r>
      <w:r w:rsidRPr="00A847B7">
        <w:t xml:space="preserve"> : </w:t>
      </w:r>
      <w:r w:rsidR="003826AC">
        <w:t>M</w:t>
      </w:r>
      <w:r w:rsidRPr="00A847B7">
        <w:t>esures diverses</w:t>
      </w:r>
      <w:bookmarkEnd w:id="112"/>
    </w:p>
    <w:p w14:paraId="3349F826" w14:textId="2E6EB41B" w:rsidR="00153EB9" w:rsidRDefault="00330964" w:rsidP="00330964">
      <w:pPr>
        <w:rPr>
          <w:rFonts w:cstheme="minorHAnsi"/>
          <w:highlight w:val="yellow"/>
        </w:rPr>
      </w:pPr>
      <w:r w:rsidRPr="004F587E">
        <w:rPr>
          <w:u w:val="single"/>
        </w:rPr>
        <w:t xml:space="preserve">Source </w:t>
      </w:r>
      <w:r w:rsidRPr="00A847B7">
        <w:t>:</w:t>
      </w:r>
      <w:r w:rsidR="004508D1" w:rsidRPr="00A847B7">
        <w:t xml:space="preserve"> Loi de Finances pour </w:t>
      </w:r>
      <w:r w:rsidR="004508D1" w:rsidRPr="00153EB9">
        <w:t xml:space="preserve">2021, </w:t>
      </w:r>
      <w:r w:rsidR="004508D1" w:rsidRPr="005A54C4">
        <w:t>articles</w:t>
      </w:r>
      <w:r w:rsidR="004508D1" w:rsidRPr="005A54C4">
        <w:rPr>
          <w:rFonts w:cstheme="minorHAnsi"/>
        </w:rPr>
        <w:t xml:space="preserve"> </w:t>
      </w:r>
      <w:r w:rsidR="00153EB9" w:rsidRPr="005A54C4">
        <w:rPr>
          <w:rFonts w:cstheme="minorHAnsi"/>
        </w:rPr>
        <w:t>180</w:t>
      </w:r>
      <w:r w:rsidR="00CF3C6B">
        <w:rPr>
          <w:rFonts w:cstheme="minorHAnsi"/>
        </w:rPr>
        <w:t>, 181</w:t>
      </w:r>
      <w:r w:rsidR="00AC5899">
        <w:rPr>
          <w:rFonts w:cstheme="minorHAnsi"/>
        </w:rPr>
        <w:t xml:space="preserve"> et 42</w:t>
      </w:r>
    </w:p>
    <w:p w14:paraId="30526829" w14:textId="77777777" w:rsidR="004508D1" w:rsidRPr="00A847B7" w:rsidRDefault="004508D1" w:rsidP="00EE0687">
      <w:pPr>
        <w:pStyle w:val="Paragraphedeliste"/>
        <w:numPr>
          <w:ilvl w:val="0"/>
          <w:numId w:val="23"/>
        </w:numPr>
        <w:spacing w:beforeAutospacing="1" w:after="100" w:afterAutospacing="1"/>
        <w:rPr>
          <w:rFonts w:cstheme="minorHAnsi"/>
          <w:b/>
          <w:bCs/>
          <w:i/>
          <w:iCs/>
          <w:u w:val="single"/>
        </w:rPr>
      </w:pPr>
      <w:r w:rsidRPr="00A847B7">
        <w:rPr>
          <w:rFonts w:cstheme="minorHAnsi"/>
          <w:b/>
          <w:bCs/>
          <w:i/>
          <w:iCs/>
          <w:u w:val="single"/>
        </w:rPr>
        <w:t>Taxe pour l’embauche d’un travailleur étranger</w:t>
      </w:r>
    </w:p>
    <w:p w14:paraId="6472CC5A" w14:textId="77777777" w:rsidR="004508D1" w:rsidRPr="00A847B7" w:rsidRDefault="004508D1" w:rsidP="00330964">
      <w:pPr>
        <w:spacing w:beforeAutospacing="1" w:after="100" w:afterAutospacing="1"/>
        <w:rPr>
          <w:rFonts w:cstheme="minorHAnsi"/>
        </w:rPr>
      </w:pPr>
      <w:r w:rsidRPr="00A847B7">
        <w:rPr>
          <w:rFonts w:cstheme="minorHAnsi"/>
        </w:rPr>
        <w:t>Tout employeur qui embauche un travailleur étranger ou qui accueille un salarié détaché temporairement par une entreprise non établie en France acquitte, lors de la première entrée en France de cet étranger ou lors de sa première admission au séjour en qualité de salarié, une taxe.</w:t>
      </w:r>
    </w:p>
    <w:p w14:paraId="23168245" w14:textId="1A03C643" w:rsidR="004508D1" w:rsidRPr="00A847B7" w:rsidRDefault="004508D1" w:rsidP="00330964">
      <w:pPr>
        <w:spacing w:beforeAutospacing="1" w:after="100" w:afterAutospacing="1"/>
        <w:rPr>
          <w:rFonts w:cstheme="minorHAnsi"/>
        </w:rPr>
      </w:pPr>
      <w:r w:rsidRPr="00A847B7">
        <w:rPr>
          <w:rFonts w:cstheme="minorHAnsi"/>
        </w:rPr>
        <w:t>A compter du 1</w:t>
      </w:r>
      <w:r w:rsidRPr="00A847B7">
        <w:rPr>
          <w:rFonts w:cstheme="minorHAnsi"/>
          <w:vertAlign w:val="superscript"/>
        </w:rPr>
        <w:t>er</w:t>
      </w:r>
      <w:r w:rsidRPr="00A847B7">
        <w:rPr>
          <w:rFonts w:cstheme="minorHAnsi"/>
        </w:rPr>
        <w:t xml:space="preserve"> janvier 2023, le Ministre chargé des </w:t>
      </w:r>
      <w:r w:rsidR="00C6053C">
        <w:rPr>
          <w:rFonts w:cstheme="minorHAnsi"/>
        </w:rPr>
        <w:t>F</w:t>
      </w:r>
      <w:r w:rsidRPr="00A847B7">
        <w:rPr>
          <w:rFonts w:cstheme="minorHAnsi"/>
        </w:rPr>
        <w:t>inances sera chargé de constater, de liquider et de recouvrer cette taxe.</w:t>
      </w:r>
    </w:p>
    <w:p w14:paraId="0B6D75A3" w14:textId="795E2650" w:rsidR="00482700" w:rsidRPr="00A847B7" w:rsidRDefault="00DA036E" w:rsidP="00EE0687">
      <w:pPr>
        <w:pStyle w:val="Paragraphedeliste"/>
        <w:numPr>
          <w:ilvl w:val="0"/>
          <w:numId w:val="146"/>
        </w:numPr>
        <w:spacing w:beforeAutospacing="1" w:after="100" w:afterAutospacing="1"/>
        <w:rPr>
          <w:rFonts w:cstheme="minorHAnsi"/>
          <w:b/>
          <w:i/>
          <w:u w:val="single"/>
        </w:rPr>
      </w:pPr>
      <w:r w:rsidRPr="00A847B7">
        <w:rPr>
          <w:rFonts w:cstheme="minorHAnsi"/>
          <w:b/>
          <w:i/>
          <w:u w:val="single"/>
        </w:rPr>
        <w:t>Déclaration des prises de positions symétriques</w:t>
      </w:r>
    </w:p>
    <w:p w14:paraId="0CFDEEB8" w14:textId="2B213680" w:rsidR="00F7683A" w:rsidRPr="00157FA1" w:rsidRDefault="00060FFB" w:rsidP="00157FA1">
      <w:r w:rsidRPr="00157FA1">
        <w:t>Il faut entendre par position la détention directe ou indirecte de contrats à terme d'instruments financiers, de valeurs mobilières, de devises, de titres de créances négociables, de prêts ou d'emprunts, ou d'un engagement portant sur ces éléments</w:t>
      </w:r>
      <w:r w:rsidR="00157FA1">
        <w:t xml:space="preserve"> </w:t>
      </w:r>
      <w:r w:rsidR="00157FA1" w:rsidRPr="00157FA1">
        <w:t>(article 38-6 3° du CGI)</w:t>
      </w:r>
      <w:r w:rsidR="00157FA1">
        <w:t>.</w:t>
      </w:r>
    </w:p>
    <w:p w14:paraId="33BACB95" w14:textId="5A75578B" w:rsidR="00060FFB" w:rsidRDefault="00060FFB" w:rsidP="00157FA1">
      <w:r w:rsidRPr="00157FA1">
        <w:t xml:space="preserve">Des positions sont qualifiées de symétriques si </w:t>
      </w:r>
      <w:r w:rsidR="0071604D" w:rsidRPr="00157FA1">
        <w:t xml:space="preserve">leurs valeurs ou leurs </w:t>
      </w:r>
      <w:r w:rsidR="00157FA1" w:rsidRPr="00157FA1">
        <w:t xml:space="preserve">rendements </w:t>
      </w:r>
      <w:r w:rsidR="00DE75BB" w:rsidRPr="00157FA1">
        <w:t>subissent des variations corrélées tels que le risque de variation de valeur ou de rendement de l'une d'elles est compensé par une autre position, sans qu'il soit nécessaire que les positions concernées soient de même nature, prises sur la même place, ou qu'elles aient la même durée</w:t>
      </w:r>
      <w:r w:rsidR="005F1FA8" w:rsidRPr="00157FA1">
        <w:t xml:space="preserve"> (article 38</w:t>
      </w:r>
      <w:r w:rsidR="00F7683A" w:rsidRPr="00157FA1">
        <w:t>-6 3° du CGI)</w:t>
      </w:r>
      <w:r w:rsidRPr="00157FA1">
        <w:t>.</w:t>
      </w:r>
    </w:p>
    <w:p w14:paraId="31906849" w14:textId="3F298B5A" w:rsidR="004508D1" w:rsidRPr="00A847B7" w:rsidRDefault="00E56CAE" w:rsidP="00282149">
      <w:r>
        <w:lastRenderedPageBreak/>
        <w:t>Sur le plan fiscal, l</w:t>
      </w:r>
      <w:r w:rsidR="0057182B" w:rsidRPr="00262B43">
        <w:t>e</w:t>
      </w:r>
      <w:r w:rsidR="0057182B" w:rsidRPr="00A847B7">
        <w:t xml:space="preserve"> principe est le suivant : </w:t>
      </w:r>
      <w:r w:rsidR="006E61E7" w:rsidRPr="00A847B7">
        <w:t xml:space="preserve">dans le cadre des opérations réalisées sur les marchés financiers à terme, </w:t>
      </w:r>
      <w:r w:rsidR="00646B4D" w:rsidRPr="00A847B7">
        <w:t>lorsqu'une entreprise a pris des positions symétriques, la perte sur une de ces positions n'est déductible du résultat imposable que pour la partie qui excède les gains non encore imposés sur les positions prises en sens inverse.</w:t>
      </w:r>
    </w:p>
    <w:p w14:paraId="35A4CC90" w14:textId="658F3DF7" w:rsidR="009C10E8" w:rsidRPr="00A847B7" w:rsidRDefault="009C10E8" w:rsidP="00282149">
      <w:pPr>
        <w:rPr>
          <w:rFonts w:eastAsia="Times New Roman"/>
          <w:lang w:eastAsia="fr-FR"/>
        </w:rPr>
      </w:pPr>
      <w:r w:rsidRPr="00A847B7">
        <w:rPr>
          <w:rFonts w:eastAsia="Times New Roman"/>
          <w:lang w:eastAsia="fr-FR"/>
        </w:rPr>
        <w:t xml:space="preserve">La déduction des pertes constatées sur des instruments financiers (à terme ou non) est </w:t>
      </w:r>
      <w:r w:rsidR="00545024" w:rsidRPr="00A847B7">
        <w:rPr>
          <w:rFonts w:eastAsia="Times New Roman"/>
          <w:lang w:eastAsia="fr-FR"/>
        </w:rPr>
        <w:t>limitée</w:t>
      </w:r>
      <w:r w:rsidRPr="00A847B7">
        <w:rPr>
          <w:rFonts w:eastAsia="Times New Roman"/>
          <w:lang w:eastAsia="fr-FR"/>
        </w:rPr>
        <w:t xml:space="preserve"> lorsque l'entreprise a pris des positions symétriques, c'est-à-dire des positions dont la valeur ou le rendement varient de manière inverse et corrélée.</w:t>
      </w:r>
    </w:p>
    <w:p w14:paraId="0E487194" w14:textId="77777777" w:rsidR="009C10E8" w:rsidRPr="00A847B7" w:rsidRDefault="009C10E8" w:rsidP="00282149">
      <w:pPr>
        <w:rPr>
          <w:rFonts w:eastAsia="Times New Roman"/>
          <w:lang w:eastAsia="fr-FR"/>
        </w:rPr>
      </w:pPr>
      <w:r w:rsidRPr="00A847B7">
        <w:rPr>
          <w:rFonts w:eastAsia="Times New Roman"/>
          <w:lang w:eastAsia="fr-FR"/>
        </w:rPr>
        <w:t>Dans ce cas, la perte sur une position n'est déductible des résultats imposables que pour la partie qui excède les gains non encore imposés sur la ou les positions prises en sens inverse.</w:t>
      </w:r>
    </w:p>
    <w:p w14:paraId="0C39F643" w14:textId="6B98CC4F" w:rsidR="009C10E8" w:rsidRPr="00A847B7" w:rsidRDefault="009C10E8" w:rsidP="00282149">
      <w:pPr>
        <w:rPr>
          <w:rFonts w:eastAsia="Times New Roman"/>
          <w:lang w:eastAsia="fr-FR"/>
        </w:rPr>
      </w:pPr>
      <w:r w:rsidRPr="00A847B7">
        <w:rPr>
          <w:rFonts w:eastAsia="Times New Roman"/>
          <w:lang w:eastAsia="fr-FR"/>
        </w:rPr>
        <w:t xml:space="preserve">Cette possibilité de déduction est cependant subordonnée à la condition que </w:t>
      </w:r>
      <w:r w:rsidR="00EB0AE6" w:rsidRPr="00A847B7">
        <w:rPr>
          <w:rFonts w:eastAsia="Times New Roman"/>
          <w:lang w:eastAsia="fr-FR"/>
        </w:rPr>
        <w:t>l</w:t>
      </w:r>
      <w:r w:rsidRPr="00A847B7">
        <w:rPr>
          <w:rFonts w:eastAsia="Times New Roman"/>
          <w:lang w:eastAsia="fr-FR"/>
        </w:rPr>
        <w:t xml:space="preserve">es positions symétriques </w:t>
      </w:r>
      <w:r w:rsidR="00EB0AE6" w:rsidRPr="00A847B7">
        <w:rPr>
          <w:rFonts w:eastAsia="Times New Roman"/>
          <w:lang w:eastAsia="fr-FR"/>
        </w:rPr>
        <w:t xml:space="preserve">prises au cours de l’exercice </w:t>
      </w:r>
      <w:r w:rsidR="00CE7D99" w:rsidRPr="00A847B7">
        <w:rPr>
          <w:rFonts w:eastAsia="Times New Roman"/>
          <w:lang w:eastAsia="fr-FR"/>
        </w:rPr>
        <w:t>et</w:t>
      </w:r>
      <w:r w:rsidR="00EB0AE6" w:rsidRPr="00A847B7">
        <w:rPr>
          <w:rFonts w:eastAsia="Times New Roman"/>
          <w:lang w:eastAsia="fr-FR"/>
        </w:rPr>
        <w:t xml:space="preserve"> celles qui sont en cours à la clôture soient</w:t>
      </w:r>
      <w:r w:rsidRPr="00A847B7">
        <w:rPr>
          <w:rFonts w:eastAsia="Times New Roman"/>
          <w:lang w:eastAsia="fr-FR"/>
        </w:rPr>
        <w:t xml:space="preserve"> déclarées par l'entreprise</w:t>
      </w:r>
      <w:r w:rsidR="00EB0AE6" w:rsidRPr="00A847B7">
        <w:rPr>
          <w:rFonts w:eastAsia="Times New Roman"/>
          <w:lang w:eastAsia="fr-FR"/>
        </w:rPr>
        <w:t xml:space="preserve"> sur un document </w:t>
      </w:r>
      <w:r w:rsidR="00CE7D99" w:rsidRPr="00A847B7">
        <w:rPr>
          <w:rFonts w:eastAsia="Times New Roman"/>
          <w:lang w:eastAsia="fr-FR"/>
        </w:rPr>
        <w:t>annexé</w:t>
      </w:r>
      <w:r w:rsidR="00EB0AE6" w:rsidRPr="00A847B7">
        <w:rPr>
          <w:rFonts w:eastAsia="Times New Roman"/>
          <w:lang w:eastAsia="fr-FR"/>
        </w:rPr>
        <w:t xml:space="preserve"> à la déclaration de résultats</w:t>
      </w:r>
      <w:r w:rsidRPr="00A847B7">
        <w:rPr>
          <w:rFonts w:eastAsia="Times New Roman"/>
          <w:lang w:eastAsia="fr-FR"/>
        </w:rPr>
        <w:t>.</w:t>
      </w:r>
    </w:p>
    <w:p w14:paraId="248895E0" w14:textId="29B0DB12" w:rsidR="00545024" w:rsidRPr="00A847B7" w:rsidRDefault="00545024" w:rsidP="00282149">
      <w:pPr>
        <w:rPr>
          <w:rFonts w:eastAsia="Times New Roman"/>
          <w:lang w:eastAsia="fr-FR"/>
        </w:rPr>
      </w:pPr>
      <w:r w:rsidRPr="00A847B7">
        <w:rPr>
          <w:rFonts w:eastAsia="Times New Roman"/>
          <w:lang w:eastAsia="fr-FR"/>
        </w:rPr>
        <w:t xml:space="preserve">La Loi de Finances pour 2021 </w:t>
      </w:r>
      <w:r w:rsidR="00403424" w:rsidRPr="00A847B7">
        <w:rPr>
          <w:rFonts w:eastAsia="Times New Roman"/>
          <w:lang w:eastAsia="fr-FR"/>
        </w:rPr>
        <w:t xml:space="preserve">précise que l’obligation de </w:t>
      </w:r>
      <w:r w:rsidR="00CE7D99" w:rsidRPr="00A847B7">
        <w:rPr>
          <w:rFonts w:eastAsia="Times New Roman"/>
          <w:lang w:eastAsia="fr-FR"/>
        </w:rPr>
        <w:t>transmission</w:t>
      </w:r>
      <w:r w:rsidR="00D3076F" w:rsidRPr="00A847B7">
        <w:rPr>
          <w:rFonts w:eastAsia="Times New Roman"/>
          <w:lang w:eastAsia="fr-FR"/>
        </w:rPr>
        <w:t xml:space="preserve"> systématique </w:t>
      </w:r>
      <w:r w:rsidR="00CE7D99" w:rsidRPr="00A847B7">
        <w:rPr>
          <w:rFonts w:eastAsia="Times New Roman"/>
          <w:lang w:eastAsia="fr-FR"/>
        </w:rPr>
        <w:t xml:space="preserve">de ce document </w:t>
      </w:r>
      <w:r w:rsidR="001552B8" w:rsidRPr="00A847B7">
        <w:rPr>
          <w:rFonts w:eastAsia="Times New Roman"/>
          <w:lang w:eastAsia="fr-FR"/>
        </w:rPr>
        <w:t xml:space="preserve">est </w:t>
      </w:r>
      <w:r w:rsidR="00667BFA" w:rsidRPr="00A847B7">
        <w:rPr>
          <w:rFonts w:eastAsia="Times New Roman"/>
          <w:lang w:eastAsia="fr-FR"/>
        </w:rPr>
        <w:t>supprimée</w:t>
      </w:r>
      <w:r w:rsidR="001552B8" w:rsidRPr="00A847B7">
        <w:rPr>
          <w:rFonts w:eastAsia="Times New Roman"/>
          <w:lang w:eastAsia="fr-FR"/>
        </w:rPr>
        <w:t xml:space="preserve"> pour les exercices </w:t>
      </w:r>
      <w:r w:rsidR="003E57E9" w:rsidRPr="00A847B7">
        <w:rPr>
          <w:rFonts w:eastAsia="Times New Roman"/>
          <w:lang w:eastAsia="fr-FR"/>
        </w:rPr>
        <w:t xml:space="preserve">clos </w:t>
      </w:r>
      <w:r w:rsidR="00D82D7D" w:rsidRPr="00A847B7">
        <w:rPr>
          <w:rFonts w:eastAsia="Times New Roman"/>
          <w:lang w:eastAsia="fr-FR"/>
        </w:rPr>
        <w:t xml:space="preserve">à compter </w:t>
      </w:r>
      <w:r w:rsidR="00653611" w:rsidRPr="00A847B7">
        <w:rPr>
          <w:rFonts w:eastAsia="Times New Roman"/>
          <w:lang w:eastAsia="fr-FR"/>
        </w:rPr>
        <w:t>du 31 décembre 2020</w:t>
      </w:r>
      <w:r w:rsidR="00C9111A" w:rsidRPr="00A847B7">
        <w:rPr>
          <w:rFonts w:eastAsia="Times New Roman"/>
          <w:lang w:eastAsia="fr-FR"/>
        </w:rPr>
        <w:t>.</w:t>
      </w:r>
      <w:r w:rsidR="00282149" w:rsidRPr="00A847B7">
        <w:rPr>
          <w:rFonts w:eastAsia="Times New Roman"/>
          <w:lang w:eastAsia="fr-FR"/>
        </w:rPr>
        <w:t xml:space="preserve"> </w:t>
      </w:r>
      <w:r w:rsidR="004D10D9" w:rsidRPr="00A847B7">
        <w:rPr>
          <w:rFonts w:eastAsia="Times New Roman"/>
          <w:lang w:eastAsia="fr-FR"/>
        </w:rPr>
        <w:t>Il appartiendra toutefois à la société de conserver ce document et de la présenter à l’administration fiscale sur sa demande.</w:t>
      </w:r>
    </w:p>
    <w:p w14:paraId="3E6316C6" w14:textId="77777777" w:rsidR="0058272B" w:rsidRDefault="0058272B" w:rsidP="00EE0687">
      <w:pPr>
        <w:pStyle w:val="Paragraphedeliste"/>
        <w:numPr>
          <w:ilvl w:val="0"/>
          <w:numId w:val="146"/>
        </w:numPr>
        <w:rPr>
          <w:rFonts w:eastAsia="Times New Roman"/>
          <w:b/>
          <w:bCs/>
          <w:i/>
          <w:iCs/>
          <w:u w:val="single"/>
          <w:lang w:eastAsia="fr-FR"/>
        </w:rPr>
      </w:pPr>
      <w:r w:rsidRPr="004F17AE">
        <w:rPr>
          <w:rFonts w:eastAsia="Times New Roman"/>
          <w:b/>
          <w:i/>
          <w:u w:val="single"/>
          <w:lang w:eastAsia="fr-FR"/>
        </w:rPr>
        <w:t>Transmission à titre gratuit de titres au profit d’une fondation reconnue d’utilité publique et report d’imposition</w:t>
      </w:r>
    </w:p>
    <w:p w14:paraId="7A6D759B" w14:textId="77777777" w:rsidR="0058272B" w:rsidRDefault="0058272B" w:rsidP="0058272B">
      <w:pPr>
        <w:rPr>
          <w:rFonts w:eastAsia="Times New Roman"/>
          <w:lang w:eastAsia="fr-FR"/>
        </w:rPr>
      </w:pPr>
      <w:r>
        <w:rPr>
          <w:rFonts w:eastAsia="Times New Roman"/>
          <w:lang w:eastAsia="fr-FR"/>
        </w:rPr>
        <w:t>Pour les exercices clos à compter du 31 décembre 2020, l’imposition de la plus-value qui résulte de la transmission à titre gratuit de titres à une fondation reconnue d’utilité publique peut faire l’objet d’un report jusqu’à leur cession ultérieure par la fondation bénéficiaire de la libéralité.</w:t>
      </w:r>
    </w:p>
    <w:p w14:paraId="5445A6AE" w14:textId="77777777" w:rsidR="0058272B" w:rsidRPr="004F17AE" w:rsidRDefault="0058272B" w:rsidP="0058272B">
      <w:pPr>
        <w:rPr>
          <w:rFonts w:eastAsia="Times New Roman"/>
          <w:lang w:eastAsia="fr-FR"/>
        </w:rPr>
      </w:pPr>
      <w:r>
        <w:rPr>
          <w:rFonts w:eastAsia="Times New Roman"/>
          <w:lang w:eastAsia="fr-FR"/>
        </w:rPr>
        <w:t>La plus-value en report est imposée au nom de la fondation à la date à laquelle il est mis fin au report.</w:t>
      </w:r>
    </w:p>
    <w:p w14:paraId="0F18464B" w14:textId="77777777" w:rsidR="0058272B" w:rsidRDefault="0058272B" w:rsidP="0058272B">
      <w:pPr>
        <w:rPr>
          <w:rFonts w:eastAsia="Times New Roman"/>
          <w:lang w:eastAsia="fr-FR"/>
        </w:rPr>
      </w:pPr>
      <w:r>
        <w:rPr>
          <w:rFonts w:eastAsia="Times New Roman"/>
          <w:lang w:eastAsia="fr-FR"/>
        </w:rPr>
        <w:t>Lorsque la valeur des titres au jour de la vente est inférieure à la valeur retenue au jour de la transmission, la plus-value en report est diminuée de la différence entre ces 2 valeurs.</w:t>
      </w:r>
    </w:p>
    <w:p w14:paraId="314D5FFF" w14:textId="77777777" w:rsidR="0058272B" w:rsidRDefault="0058272B" w:rsidP="0058272B">
      <w:pPr>
        <w:rPr>
          <w:rFonts w:eastAsia="Times New Roman"/>
          <w:lang w:eastAsia="fr-FR"/>
        </w:rPr>
      </w:pPr>
      <w:r>
        <w:rPr>
          <w:rFonts w:eastAsia="Times New Roman"/>
          <w:lang w:eastAsia="fr-FR"/>
        </w:rPr>
        <w:t>L’entreprise qui procède à la transmission des titres doit communiquer à l’administration fiscale un état faisant apparaître le montant des plus-values réalisées lors de la transmission et dont l’imposition est reportée.</w:t>
      </w:r>
    </w:p>
    <w:p w14:paraId="00688EAF" w14:textId="77777777" w:rsidR="0058272B" w:rsidRDefault="0058272B" w:rsidP="0058272B">
      <w:pPr>
        <w:rPr>
          <w:rFonts w:eastAsia="Times New Roman"/>
          <w:lang w:eastAsia="fr-FR"/>
        </w:rPr>
      </w:pPr>
      <w:r>
        <w:rPr>
          <w:rFonts w:eastAsia="Times New Roman"/>
          <w:lang w:eastAsia="fr-FR"/>
        </w:rPr>
        <w:t>De même, en cas d’option pour le report d’imposition, la fondation bénéficiaire de la transmission doit communiquer à l’administration, au titre de l’année en cours à la date de la transmission et des années suivantes, un état faisant apparaître les renseignements nécessaires au suivi de la plus-value dont l’imposition est reportée.</w:t>
      </w:r>
    </w:p>
    <w:p w14:paraId="46368945" w14:textId="77777777" w:rsidR="0058272B" w:rsidRPr="00A847B7" w:rsidRDefault="0058272B" w:rsidP="0058272B">
      <w:pPr>
        <w:rPr>
          <w:rFonts w:eastAsia="Times New Roman"/>
          <w:lang w:eastAsia="fr-FR"/>
        </w:rPr>
      </w:pPr>
      <w:r>
        <w:rPr>
          <w:rFonts w:eastAsia="Times New Roman"/>
          <w:lang w:eastAsia="fr-FR"/>
        </w:rPr>
        <w:t>Enfin, retenez que les fondations reconnues d’utilité publique sont soumises à l’impôt sur les sociétés en raison des plus-values dont l’imposition a été reportée.</w:t>
      </w:r>
    </w:p>
    <w:p w14:paraId="5216590D" w14:textId="77777777" w:rsidR="0058272B" w:rsidRPr="00A847B7" w:rsidRDefault="0058272B" w:rsidP="00282149">
      <w:pPr>
        <w:rPr>
          <w:rFonts w:eastAsia="Times New Roman"/>
          <w:lang w:eastAsia="fr-FR"/>
        </w:rPr>
      </w:pPr>
    </w:p>
    <w:p w14:paraId="08C51653" w14:textId="37DB11DA" w:rsidR="0082343D" w:rsidRDefault="0082343D">
      <w:pPr>
        <w:rPr>
          <w:highlight w:val="yellow"/>
        </w:rPr>
      </w:pPr>
      <w:r>
        <w:rPr>
          <w:highlight w:val="yellow"/>
        </w:rPr>
        <w:br w:type="page"/>
      </w:r>
    </w:p>
    <w:p w14:paraId="6A489A81" w14:textId="77777777" w:rsidR="009C10E8" w:rsidRPr="00A847B7" w:rsidRDefault="009C10E8" w:rsidP="004508D1">
      <w:pPr>
        <w:spacing w:beforeAutospacing="1" w:after="100" w:afterAutospacing="1"/>
        <w:rPr>
          <w:highlight w:val="yellow"/>
        </w:rPr>
      </w:pPr>
    </w:p>
    <w:p w14:paraId="56115FEC" w14:textId="2D544CAD" w:rsidR="0009384A" w:rsidRDefault="0009384A" w:rsidP="0009384A">
      <w:pPr>
        <w:pStyle w:val="Titre2"/>
      </w:pPr>
      <w:bookmarkStart w:id="113" w:name="_Toc30149309"/>
      <w:bookmarkStart w:id="114" w:name="_Toc60781032"/>
      <w:r w:rsidRPr="00A847B7">
        <w:t>Mesures sociales</w:t>
      </w:r>
      <w:bookmarkEnd w:id="113"/>
      <w:bookmarkEnd w:id="114"/>
    </w:p>
    <w:p w14:paraId="160E6097" w14:textId="77777777" w:rsidR="00330964" w:rsidRPr="00330964" w:rsidRDefault="00330964" w:rsidP="00330964"/>
    <w:p w14:paraId="13F4E76C" w14:textId="02323C62" w:rsidR="00E65DD5" w:rsidRPr="00F048D5" w:rsidRDefault="00E65DD5" w:rsidP="00E65DD5">
      <w:pPr>
        <w:pStyle w:val="Titre3"/>
      </w:pPr>
      <w:bookmarkStart w:id="115" w:name="_Toc60781033"/>
      <w:r w:rsidRPr="00F048D5">
        <w:t xml:space="preserve">Slide </w:t>
      </w:r>
      <w:r w:rsidR="00891E24">
        <w:t>73</w:t>
      </w:r>
      <w:r w:rsidRPr="00F048D5">
        <w:t xml:space="preserve"> : </w:t>
      </w:r>
      <w:r>
        <w:t>Congé de paternité et d’accueil de l’enfant et congé d’adoption</w:t>
      </w:r>
      <w:bookmarkEnd w:id="115"/>
    </w:p>
    <w:p w14:paraId="355ED1E8" w14:textId="4D84525F" w:rsidR="00E65DD5" w:rsidRPr="00F048D5" w:rsidRDefault="00330964" w:rsidP="00E65DD5">
      <w:pPr>
        <w:rPr>
          <w:u w:val="single"/>
        </w:rPr>
      </w:pPr>
      <w:r w:rsidRPr="004F587E">
        <w:rPr>
          <w:u w:val="single"/>
        </w:rPr>
        <w:t xml:space="preserve">Source </w:t>
      </w:r>
      <w:r w:rsidRPr="00A847B7">
        <w:t>:</w:t>
      </w:r>
      <w:r w:rsidR="00E65DD5" w:rsidRPr="00F048D5">
        <w:t xml:space="preserve"> Loi de Financement de la sécurité sociale pour 2021</w:t>
      </w:r>
      <w:r w:rsidR="00E65DD5">
        <w:t>, art</w:t>
      </w:r>
      <w:r w:rsidR="00F13F94">
        <w:t>icle</w:t>
      </w:r>
      <w:r w:rsidR="00E65DD5">
        <w:t xml:space="preserve"> 73</w:t>
      </w:r>
    </w:p>
    <w:p w14:paraId="11A7898D" w14:textId="77777777" w:rsidR="00E65DD5" w:rsidRDefault="00E65DD5" w:rsidP="00E65DD5">
      <w:r>
        <w:t>Actuellement, le père ainsi que, le cas échéant, le conjoint salarié de la mère ou la personne salariée liée à elle par un pacte civil de solidarité ou vivant maritalement avec elle, bénéficient d'un congé de paternité et d'accueil de l'enfant de 11 jours consécutifs ou de 18 jours consécutifs en cas de naissances multiples.</w:t>
      </w:r>
    </w:p>
    <w:p w14:paraId="635498A6" w14:textId="77777777" w:rsidR="00E65DD5" w:rsidRDefault="00E65DD5" w:rsidP="00E65DD5">
      <w:r>
        <w:t>La durée de ce congé s’ajoute, le cas échéant, au congé naissance de 3 jours (sauf dispositions conventionnelles plus favorables) accordé par l’employeur.</w:t>
      </w:r>
    </w:p>
    <w:p w14:paraId="3F70FB83" w14:textId="77777777" w:rsidR="00E65DD5" w:rsidRPr="00AD59ED" w:rsidRDefault="00E65DD5" w:rsidP="00EE0687">
      <w:pPr>
        <w:pStyle w:val="Paragraphedeliste"/>
        <w:numPr>
          <w:ilvl w:val="0"/>
          <w:numId w:val="246"/>
        </w:numPr>
        <w:rPr>
          <w:b/>
          <w:bCs/>
          <w:i/>
          <w:iCs/>
          <w:u w:val="single"/>
        </w:rPr>
      </w:pPr>
      <w:r w:rsidRPr="00AD59ED">
        <w:rPr>
          <w:b/>
          <w:bCs/>
          <w:i/>
          <w:iCs/>
          <w:u w:val="single"/>
        </w:rPr>
        <w:t>Allongement de la durée du congé de paternité et d’accueil de l’enfant</w:t>
      </w:r>
    </w:p>
    <w:p w14:paraId="6C6D96F2" w14:textId="77777777" w:rsidR="00E65DD5" w:rsidRDefault="00E65DD5" w:rsidP="00E65DD5">
      <w:r>
        <w:t>Pour les naissances intervenant à compter du 1</w:t>
      </w:r>
      <w:r w:rsidRPr="001B1414">
        <w:rPr>
          <w:vertAlign w:val="superscript"/>
        </w:rPr>
        <w:t>er</w:t>
      </w:r>
      <w:r>
        <w:t xml:space="preserve"> juillet 2021, ou celles qui, intervenant plus tôt, étaient prévues à compter de cette date, ce congé passera à 25 jours calendaires, ou à 32 jours calendaires en cas de naissances multiples.</w:t>
      </w:r>
    </w:p>
    <w:p w14:paraId="4344B142" w14:textId="77777777" w:rsidR="00E65DD5" w:rsidRPr="002F2C4C" w:rsidRDefault="00E65DD5" w:rsidP="00EE0687">
      <w:pPr>
        <w:pStyle w:val="Paragraphedeliste"/>
        <w:numPr>
          <w:ilvl w:val="0"/>
          <w:numId w:val="246"/>
        </w:numPr>
        <w:rPr>
          <w:b/>
          <w:bCs/>
          <w:i/>
          <w:iCs/>
          <w:u w:val="single"/>
        </w:rPr>
      </w:pPr>
      <w:r w:rsidRPr="002F2C4C">
        <w:rPr>
          <w:b/>
          <w:bCs/>
          <w:i/>
          <w:iCs/>
          <w:u w:val="single"/>
        </w:rPr>
        <w:t>Partie obligatoire du congé de paternité et d’accueil de l’enfant</w:t>
      </w:r>
    </w:p>
    <w:p w14:paraId="3D5107D2" w14:textId="77777777" w:rsidR="00E65DD5" w:rsidRDefault="00E65DD5" w:rsidP="00E65DD5">
      <w:r>
        <w:t>Une partie de ce congé de paternité sera désormais obligatoire. Il sera composé :</w:t>
      </w:r>
    </w:p>
    <w:p w14:paraId="68A5CAC5" w14:textId="77777777" w:rsidR="00E65DD5" w:rsidRDefault="00E65DD5" w:rsidP="00EE0687">
      <w:pPr>
        <w:pStyle w:val="Paragraphedeliste"/>
        <w:numPr>
          <w:ilvl w:val="0"/>
          <w:numId w:val="296"/>
        </w:numPr>
        <w:rPr>
          <w:rFonts w:eastAsia="Times New Roman"/>
        </w:rPr>
      </w:pPr>
      <w:r>
        <w:rPr>
          <w:rFonts w:eastAsia="Times New Roman"/>
        </w:rPr>
        <w:t>d’une période de 4 jours calendaires consécutifs, faisant immédiatement suite au congé de naissance ; c’est effectivement cette partie qui est obligatoire, puisqu’il est interdit d’employer un salarié pendant ce temps (et ce, même si le salarié n’a pas respecté son délai de prévenance quant à la date de l’accouchement et à la durée du congé) ;</w:t>
      </w:r>
    </w:p>
    <w:p w14:paraId="3B60CC58" w14:textId="77777777" w:rsidR="00E65DD5" w:rsidRDefault="00E65DD5" w:rsidP="00EE0687">
      <w:pPr>
        <w:pStyle w:val="Paragraphedeliste"/>
        <w:numPr>
          <w:ilvl w:val="0"/>
          <w:numId w:val="296"/>
        </w:numPr>
        <w:rPr>
          <w:rFonts w:eastAsia="Times New Roman"/>
        </w:rPr>
      </w:pPr>
      <w:proofErr w:type="gramStart"/>
      <w:r>
        <w:rPr>
          <w:rFonts w:eastAsia="Times New Roman"/>
        </w:rPr>
        <w:t>d’une période de 21 jours calendaires</w:t>
      </w:r>
      <w:proofErr w:type="gramEnd"/>
      <w:r>
        <w:rPr>
          <w:rFonts w:eastAsia="Times New Roman"/>
        </w:rPr>
        <w:t>, portée à 28 jours calendaires en cas de naissances multiples.</w:t>
      </w:r>
    </w:p>
    <w:p w14:paraId="0B8C3193" w14:textId="77777777" w:rsidR="00E65DD5" w:rsidRDefault="00E65DD5" w:rsidP="00E65DD5">
      <w:r>
        <w:t>Un Décret précisera le délai de prévenance de l’employeur quant à la date prévisionnelle de l’accouchement et aux dates de prise du congé et à la durée de la ou des périodes de congés, le délai dans lequel les jours de congé doivent être pris ainsi que les modalités de fractionnement de la période de congé de 21 et de 28 jours. Notez que le délai de prévenance relatif à la date prévisionnelle de l’accouchement et celui relatif aux dates de prise du ou des congés de la seconde période de 21 jours ou de 28 jours ainsi qu’à la durée de ces congés doivent être compris entre 15 jours et 2 mois.</w:t>
      </w:r>
    </w:p>
    <w:p w14:paraId="1C569392" w14:textId="77777777" w:rsidR="00E65DD5" w:rsidRDefault="00E65DD5" w:rsidP="00E65DD5">
      <w:r>
        <w:t xml:space="preserve">Dans l’hypothèse où la naissance de l’enfant intervient alors que le salarié a pris des congés payés ou un congé pour évènements familiaux, l’interdiction d’emploi débute à l’issue de cette période de congés. </w:t>
      </w:r>
    </w:p>
    <w:p w14:paraId="4068003C" w14:textId="77777777" w:rsidR="00E65DD5" w:rsidRDefault="00E65DD5" w:rsidP="00E65DD5">
      <w:r>
        <w:t>Toutefois, l’interdiction d’emploi ne s’applique pas lorsque le salarié ne peut pas bénéficier des indemnités journalières de Sécurité sociale de congé de paternité.</w:t>
      </w:r>
    </w:p>
    <w:p w14:paraId="70DDE07A" w14:textId="77777777" w:rsidR="00E65DD5" w:rsidRDefault="00E65DD5" w:rsidP="00E65DD5">
      <w:r>
        <w:t>L</w:t>
      </w:r>
      <w:r w:rsidRPr="00D83458">
        <w:t>orsque l'état de santé de l'enfant nécessite son hospitalisation immédiate après la naissance dans une unité de soins spécialisée, l</w:t>
      </w:r>
      <w:r>
        <w:t xml:space="preserve">a période de congé obligatoire de 4 jours est prolongée, à la demande du salarié, </w:t>
      </w:r>
      <w:r w:rsidRPr="00D83458">
        <w:t xml:space="preserve">pendant la période d'hospitalisation, dans la limite d'une durée maximale déterminée par </w:t>
      </w:r>
      <w:r>
        <w:t>D</w:t>
      </w:r>
      <w:r w:rsidRPr="00D83458">
        <w:t>écret</w:t>
      </w:r>
      <w:r>
        <w:t xml:space="preserve"> (fixée actuellement 30 jours consécutifs)</w:t>
      </w:r>
      <w:r w:rsidRPr="00D83458">
        <w:t>.</w:t>
      </w:r>
    </w:p>
    <w:p w14:paraId="0AF98AA1" w14:textId="77777777" w:rsidR="00E65DD5" w:rsidRPr="003F4481" w:rsidRDefault="00E65DD5" w:rsidP="00EE0687">
      <w:pPr>
        <w:pStyle w:val="Paragraphedeliste"/>
        <w:numPr>
          <w:ilvl w:val="0"/>
          <w:numId w:val="246"/>
        </w:numPr>
        <w:rPr>
          <w:b/>
          <w:bCs/>
          <w:i/>
          <w:iCs/>
          <w:u w:val="single"/>
        </w:rPr>
      </w:pPr>
      <w:r w:rsidRPr="003F4481">
        <w:rPr>
          <w:b/>
          <w:bCs/>
          <w:i/>
          <w:iCs/>
          <w:u w:val="single"/>
        </w:rPr>
        <w:lastRenderedPageBreak/>
        <w:t>Congé d’adoption</w:t>
      </w:r>
    </w:p>
    <w:p w14:paraId="224801F4" w14:textId="77777777" w:rsidR="00E65DD5" w:rsidRDefault="00E65DD5" w:rsidP="00E65DD5">
      <w:r>
        <w:t>A compter du 1</w:t>
      </w:r>
      <w:r w:rsidRPr="003F4481">
        <w:rPr>
          <w:vertAlign w:val="superscript"/>
        </w:rPr>
        <w:t>er</w:t>
      </w:r>
      <w:r>
        <w:t xml:space="preserve"> juillet 2021, le congé d'adoption passera de 10 à 16 semaines ou, lorsqu'il est réparti entre les 2 parents, donnera droit à 25 jours supplémentaires (ou 32 en cas d'adoptions multiples). </w:t>
      </w:r>
    </w:p>
    <w:p w14:paraId="3F7FC1B6" w14:textId="77777777" w:rsidR="00E65DD5" w:rsidRDefault="00E65DD5" w:rsidP="00E65DD5">
      <w:r>
        <w:t>En cas de fractionnement du congé d'adoption, la période la plus courte du congé ne pourra pas être inférieure à 25 jours.</w:t>
      </w:r>
    </w:p>
    <w:p w14:paraId="23373551" w14:textId="77777777" w:rsidR="00E65DD5" w:rsidRPr="00C81715" w:rsidRDefault="00E65DD5" w:rsidP="00EE0687">
      <w:pPr>
        <w:pStyle w:val="Paragraphedeliste"/>
        <w:numPr>
          <w:ilvl w:val="0"/>
          <w:numId w:val="246"/>
        </w:numPr>
        <w:rPr>
          <w:b/>
          <w:bCs/>
          <w:i/>
          <w:iCs/>
          <w:u w:val="single"/>
        </w:rPr>
      </w:pPr>
      <w:r w:rsidRPr="00C81715">
        <w:rPr>
          <w:b/>
          <w:bCs/>
          <w:i/>
          <w:iCs/>
          <w:u w:val="single"/>
        </w:rPr>
        <w:t>Congé de naissance</w:t>
      </w:r>
    </w:p>
    <w:p w14:paraId="180521DF" w14:textId="77777777" w:rsidR="00E65DD5" w:rsidRDefault="00E65DD5" w:rsidP="00E65DD5">
      <w:r>
        <w:t>Par principe, le salarié a droit, sur justification, à un congé pour chaque naissance survenue à son foyer ou pour l'arrivée d'un enfant placé en vue de son adoption.</w:t>
      </w:r>
    </w:p>
    <w:p w14:paraId="17F11964" w14:textId="77777777" w:rsidR="00E65DD5" w:rsidRDefault="00E65DD5" w:rsidP="00E65DD5">
      <w:r>
        <w:t>Toutefois, cette formulation pouvant théoriquement exclure le père de l’enfant séparé de la mère, il est désormais précisé, pour les naissances ou adoption intervenant à compter du 1</w:t>
      </w:r>
      <w:r w:rsidRPr="00E75320">
        <w:rPr>
          <w:vertAlign w:val="superscript"/>
        </w:rPr>
        <w:t>er</w:t>
      </w:r>
      <w:r>
        <w:t xml:space="preserve"> juillet 2021 ou pour les naissances intervenues plus tôt mais supposées intervenir à compter de cette date, que le congé de naissance bénéficiera au père et, le cas échéant, au conjoint, au partenaire de Pacs ou au concubin de la mère.</w:t>
      </w:r>
    </w:p>
    <w:p w14:paraId="1767DFB5" w14:textId="77777777" w:rsidR="00E65DD5" w:rsidRDefault="00E65DD5" w:rsidP="00E65DD5">
      <w:r>
        <w:t>Sauf disposition conventionnelles plus favorables, ce congé est de 3 jours pour chaque naissance. Il est désormais précisé que cette période de congé commence à courir, au choix du salarié, le jour de la naissance de l’enfant ou le premier jour ouvrable qui suit, ce qui permet de pérenniser cette règle qui était jusqu’alors appliquée.</w:t>
      </w:r>
    </w:p>
    <w:p w14:paraId="06FDD615" w14:textId="77777777" w:rsidR="00E65DD5" w:rsidRPr="00F048D5" w:rsidRDefault="00E65DD5" w:rsidP="00E65DD5"/>
    <w:p w14:paraId="3EA21AB2" w14:textId="55479483" w:rsidR="00E65DD5" w:rsidRPr="00A847B7" w:rsidRDefault="00E65DD5" w:rsidP="00E65DD5">
      <w:pPr>
        <w:pStyle w:val="Titre3"/>
      </w:pPr>
      <w:bookmarkStart w:id="116" w:name="_Toc60781034"/>
      <w:r w:rsidRPr="00A847B7">
        <w:t xml:space="preserve">Slide </w:t>
      </w:r>
      <w:r w:rsidR="007633DA">
        <w:t>74</w:t>
      </w:r>
      <w:r w:rsidRPr="00A847B7">
        <w:t> : Forfait « mobilités durables »</w:t>
      </w:r>
      <w:bookmarkEnd w:id="116"/>
    </w:p>
    <w:p w14:paraId="6BE6EDDC" w14:textId="028686C6" w:rsidR="00E65DD5" w:rsidRPr="00A847B7" w:rsidRDefault="00FB0D22" w:rsidP="00E65DD5">
      <w:r w:rsidRPr="004F587E">
        <w:rPr>
          <w:u w:val="single"/>
        </w:rPr>
        <w:t xml:space="preserve">Source </w:t>
      </w:r>
      <w:r w:rsidRPr="00A847B7">
        <w:t>:</w:t>
      </w:r>
      <w:r w:rsidR="00E65DD5" w:rsidRPr="00A847B7">
        <w:t xml:space="preserve"> Loi de Finances pour </w:t>
      </w:r>
      <w:r w:rsidR="00E65DD5" w:rsidRPr="00BB2A31">
        <w:t>2021 article</w:t>
      </w:r>
      <w:r w:rsidR="00E65DD5">
        <w:t>s</w:t>
      </w:r>
      <w:r w:rsidR="00E65DD5" w:rsidRPr="00BB2A31">
        <w:t xml:space="preserve"> 57</w:t>
      </w:r>
      <w:r w:rsidR="00E65DD5">
        <w:t xml:space="preserve"> et 119</w:t>
      </w:r>
    </w:p>
    <w:p w14:paraId="154010E7" w14:textId="77777777" w:rsidR="00E65DD5" w:rsidRPr="00A847B7" w:rsidRDefault="00E65DD5" w:rsidP="00E65DD5">
      <w:r w:rsidRPr="00A847B7">
        <w:t>L’employeur peut décider prendre en charge une partie des frais de carburant, des frais d’alimentation des véhicules électriques hybrides rechargeables ou à hydrogène de ses salariés</w:t>
      </w:r>
      <w:r>
        <w:t>,</w:t>
      </w:r>
      <w:r w:rsidRPr="00A847B7">
        <w:t xml:space="preserve"> sur la base d’une décision unilatérale ou d’un accord collectif de travail. On parle, en pratique, de « prime transport ».</w:t>
      </w:r>
    </w:p>
    <w:p w14:paraId="55D52AAF" w14:textId="77777777" w:rsidR="00E65DD5" w:rsidRPr="00A847B7" w:rsidRDefault="00E65DD5" w:rsidP="00E65DD5">
      <w:r w:rsidRPr="00A847B7">
        <w:t>Depuis le 1</w:t>
      </w:r>
      <w:r w:rsidRPr="00A847B7">
        <w:rPr>
          <w:vertAlign w:val="superscript"/>
        </w:rPr>
        <w:t>er</w:t>
      </w:r>
      <w:r w:rsidRPr="00A847B7">
        <w:t xml:space="preserve"> janvier 2020, il peut également prendre en charge dans le cadre du « forfait mobilités durables » tout ou partie des frais engagés par les salariés pour </w:t>
      </w:r>
      <w:r>
        <w:t>se</w:t>
      </w:r>
      <w:r w:rsidRPr="00A847B7">
        <w:t xml:space="preserve"> rendre de leur résidence habituelle à leur lieu de travail :</w:t>
      </w:r>
    </w:p>
    <w:p w14:paraId="6DD36153" w14:textId="77777777" w:rsidR="00E65DD5" w:rsidRPr="00A847B7" w:rsidRDefault="00E65DD5" w:rsidP="00EE0687">
      <w:pPr>
        <w:pStyle w:val="Paragraphedeliste"/>
        <w:numPr>
          <w:ilvl w:val="0"/>
          <w:numId w:val="31"/>
        </w:numPr>
      </w:pPr>
      <w:r w:rsidRPr="00A847B7">
        <w:t>avec leur cycle personnel (mécanique ou à assistance) ou, à compter du 1</w:t>
      </w:r>
      <w:r w:rsidRPr="00A847B7">
        <w:rPr>
          <w:vertAlign w:val="superscript"/>
        </w:rPr>
        <w:t>er</w:t>
      </w:r>
      <w:r w:rsidRPr="00A847B7">
        <w:t xml:space="preserve"> janvier 2022, avec leur engin de déplacement personnel motorisé (EDPM) ;</w:t>
      </w:r>
    </w:p>
    <w:p w14:paraId="6149A09D" w14:textId="77777777" w:rsidR="00E65DD5" w:rsidRPr="00A847B7" w:rsidRDefault="00E65DD5" w:rsidP="00EE0687">
      <w:pPr>
        <w:pStyle w:val="Paragraphedeliste"/>
        <w:numPr>
          <w:ilvl w:val="0"/>
          <w:numId w:val="31"/>
        </w:numPr>
      </w:pPr>
      <w:r w:rsidRPr="00A847B7">
        <w:t>ou en covoiturage (en qualité de conducteur ou de passager) ;</w:t>
      </w:r>
    </w:p>
    <w:p w14:paraId="60A3A3CA" w14:textId="77777777" w:rsidR="00E65DD5" w:rsidRPr="00A847B7" w:rsidRDefault="00E65DD5" w:rsidP="00EE0687">
      <w:pPr>
        <w:pStyle w:val="Paragraphedeliste"/>
        <w:numPr>
          <w:ilvl w:val="0"/>
          <w:numId w:val="31"/>
        </w:numPr>
      </w:pPr>
      <w:r w:rsidRPr="00A847B7">
        <w:t>ou à l’aide d’autres services de mobilité partagée, à savoir la location ou la mise à disposition en libre-service de cyclomoteurs, de motocyclettes, de vélos électriques, de trottinettes électriques ou non, etc., avec ou sans station d'attache et accessibles sur la voie publique (à condition qu'ils soient équipés d'un moteur non thermique ou d'une assistance non thermique lorsqu'ils sont motorisés), ainsi que les services d’autopartage de véhicules à moteur à faibles émissions (véhicules électriques, hybrides rechargeables ou à hydrogène) ;</w:t>
      </w:r>
    </w:p>
    <w:p w14:paraId="00CF66C9" w14:textId="77777777" w:rsidR="00E65DD5" w:rsidRPr="00A847B7" w:rsidRDefault="00E65DD5" w:rsidP="00EE0687">
      <w:pPr>
        <w:pStyle w:val="Paragraphedeliste"/>
        <w:numPr>
          <w:ilvl w:val="0"/>
          <w:numId w:val="31"/>
        </w:numPr>
      </w:pPr>
      <w:r w:rsidRPr="00A847B7">
        <w:t>ou en transports publics de personnes, notamment de manière occasionnelle (n’est pas compris dans ce forfait la prise en charge obligatoire de 50 % des frais d’abonnement) ;</w:t>
      </w:r>
    </w:p>
    <w:p w14:paraId="2FA6DDCD" w14:textId="77777777" w:rsidR="00E65DD5" w:rsidRPr="00A847B7" w:rsidRDefault="00E65DD5" w:rsidP="00EE0687">
      <w:pPr>
        <w:pStyle w:val="Paragraphedeliste"/>
        <w:numPr>
          <w:ilvl w:val="0"/>
          <w:numId w:val="31"/>
        </w:numPr>
      </w:pPr>
      <w:r w:rsidRPr="00A847B7">
        <w:t>ou à l’aide d’autres services de mobilité partagée.</w:t>
      </w:r>
    </w:p>
    <w:p w14:paraId="2F97BE77" w14:textId="77777777" w:rsidR="00E65DD5" w:rsidRPr="00A847B7" w:rsidRDefault="00E65DD5" w:rsidP="00E65DD5">
      <w:r w:rsidRPr="00A847B7">
        <w:t xml:space="preserve">La prise en charge du forfait mobilités durables et/ou de </w:t>
      </w:r>
      <w:proofErr w:type="gramStart"/>
      <w:r w:rsidRPr="00A847B7">
        <w:t>la prime transport</w:t>
      </w:r>
      <w:proofErr w:type="gramEnd"/>
      <w:r w:rsidRPr="00A847B7">
        <w:t xml:space="preserve"> peut être exonérée d’impôt sur le revenu, de cotisations et de CSG/CRDS à hauteur de 400 € maximum par salarié et par an, les frais de carburant ne pouvant être, à eux seuls, exonérés qu’à hauteur de 200 € par an.</w:t>
      </w:r>
    </w:p>
    <w:p w14:paraId="6B72BB06" w14:textId="77777777" w:rsidR="00E65DD5" w:rsidRPr="00A847B7" w:rsidRDefault="00E65DD5" w:rsidP="00E65DD5">
      <w:r w:rsidRPr="00A847B7">
        <w:lastRenderedPageBreak/>
        <w:t>Pour le calcul de l’impôt sur le revenu 2020, le plafond d’exonération est porté à 500 € maximum par salarié et par an, au lieu de 400 €.</w:t>
      </w:r>
      <w:r>
        <w:t xml:space="preserve"> Cette disposition s’applique également à l’exonération de cotisations et de contributions sociales.</w:t>
      </w:r>
    </w:p>
    <w:p w14:paraId="2B7DCAEE" w14:textId="77777777" w:rsidR="00E65DD5" w:rsidRPr="00A847B7" w:rsidRDefault="00E65DD5" w:rsidP="00E65DD5"/>
    <w:p w14:paraId="61E7D89A" w14:textId="02D40BB9" w:rsidR="00E65DD5" w:rsidRPr="00F048D5" w:rsidRDefault="00E65DD5" w:rsidP="00E65DD5">
      <w:pPr>
        <w:pStyle w:val="Titre3"/>
      </w:pPr>
      <w:bookmarkStart w:id="117" w:name="_Toc60781035"/>
      <w:r w:rsidRPr="00F048D5">
        <w:t xml:space="preserve">Slide </w:t>
      </w:r>
      <w:r w:rsidR="00607D3E">
        <w:t>75</w:t>
      </w:r>
      <w:r w:rsidRPr="00F048D5">
        <w:t xml:space="preserve"> : </w:t>
      </w:r>
      <w:r w:rsidRPr="001D0BC8">
        <w:t>Activité partielle</w:t>
      </w:r>
      <w:bookmarkEnd w:id="117"/>
    </w:p>
    <w:p w14:paraId="166D7F56" w14:textId="7BBD6317" w:rsidR="00E65DD5" w:rsidRDefault="00FB0D22" w:rsidP="00FB0D22">
      <w:r w:rsidRPr="004F587E">
        <w:rPr>
          <w:u w:val="single"/>
        </w:rPr>
        <w:t>Source</w:t>
      </w:r>
      <w:r>
        <w:rPr>
          <w:u w:val="single"/>
        </w:rPr>
        <w:t>s</w:t>
      </w:r>
      <w:r w:rsidRPr="004F587E">
        <w:rPr>
          <w:u w:val="single"/>
        </w:rPr>
        <w:t xml:space="preserve"> </w:t>
      </w:r>
      <w:r w:rsidRPr="00A847B7">
        <w:t>:</w:t>
      </w:r>
      <w:r w:rsidR="00E65DD5" w:rsidRPr="00A847B7">
        <w:t xml:space="preserve"> </w:t>
      </w:r>
    </w:p>
    <w:p w14:paraId="01BAD598" w14:textId="77777777" w:rsidR="00E65DD5" w:rsidRPr="00A847B7" w:rsidRDefault="00E65DD5" w:rsidP="00EE0687">
      <w:pPr>
        <w:pStyle w:val="Paragraphedeliste"/>
        <w:numPr>
          <w:ilvl w:val="0"/>
          <w:numId w:val="307"/>
        </w:numPr>
      </w:pPr>
      <w:r w:rsidRPr="00A847B7">
        <w:t xml:space="preserve">Loi de </w:t>
      </w:r>
      <w:r w:rsidRPr="00CE34CE">
        <w:t xml:space="preserve">Finances pour 2021, </w:t>
      </w:r>
      <w:r w:rsidRPr="002A7529">
        <w:t xml:space="preserve">article </w:t>
      </w:r>
      <w:r w:rsidRPr="00CE34CE">
        <w:t>210</w:t>
      </w:r>
    </w:p>
    <w:p w14:paraId="5C5D765D" w14:textId="15D7E5C0" w:rsidR="00FB0D22" w:rsidRDefault="00E65DD5" w:rsidP="00EE0687">
      <w:pPr>
        <w:pStyle w:val="Paragraphedeliste"/>
        <w:numPr>
          <w:ilvl w:val="0"/>
          <w:numId w:val="307"/>
        </w:numPr>
      </w:pPr>
      <w:r w:rsidRPr="000260AE">
        <w:t>Loi de Financement de la sécurité sociale pour 2021, art</w:t>
      </w:r>
      <w:r w:rsidR="00F13F94">
        <w:t>icle</w:t>
      </w:r>
      <w:r>
        <w:t xml:space="preserve"> </w:t>
      </w:r>
      <w:r w:rsidRPr="000260AE">
        <w:t>8</w:t>
      </w:r>
    </w:p>
    <w:p w14:paraId="1695BAF0" w14:textId="77777777" w:rsidR="00FB0D22" w:rsidRPr="00FB0D22" w:rsidRDefault="00FB0D22" w:rsidP="00FB0D22">
      <w:pPr>
        <w:pStyle w:val="Paragraphedeliste"/>
      </w:pPr>
    </w:p>
    <w:p w14:paraId="3D773EA0" w14:textId="49C9C37D" w:rsidR="00E65DD5" w:rsidRPr="000260AE" w:rsidRDefault="00E65DD5" w:rsidP="00EE0687">
      <w:pPr>
        <w:pStyle w:val="Paragraphedeliste"/>
        <w:numPr>
          <w:ilvl w:val="0"/>
          <w:numId w:val="9"/>
        </w:numPr>
        <w:rPr>
          <w:b/>
          <w:bCs/>
          <w:i/>
          <w:iCs/>
          <w:u w:val="single"/>
        </w:rPr>
      </w:pPr>
      <w:r w:rsidRPr="000260AE">
        <w:rPr>
          <w:b/>
          <w:bCs/>
          <w:i/>
          <w:iCs/>
          <w:u w:val="single"/>
        </w:rPr>
        <w:t xml:space="preserve">Demande d’allocation partielle : réduction du délai des demandes </w:t>
      </w:r>
    </w:p>
    <w:p w14:paraId="22AA638F" w14:textId="77777777" w:rsidR="00E65DD5" w:rsidRDefault="00E65DD5" w:rsidP="00E65DD5">
      <w:r>
        <w:t>Les salariés, placés en situation d’activité partielle, perçoivent une indemnité horaire, versée par leur employeur, qui correspond à une fraction de leur rémunération antérieure.</w:t>
      </w:r>
    </w:p>
    <w:p w14:paraId="7DBA19D8" w14:textId="77777777" w:rsidR="00E65DD5" w:rsidRDefault="00E65DD5" w:rsidP="00E65DD5">
      <w:r>
        <w:t>Corrélativement, l’employeur perçoit une allocation d’activité partielle, financée conjointement par l’Etat et l’organisme gestionnaire du régime d’assurance chômage.</w:t>
      </w:r>
    </w:p>
    <w:p w14:paraId="677E7CCF" w14:textId="77777777" w:rsidR="00E65DD5" w:rsidRDefault="00E65DD5" w:rsidP="00E65DD5">
      <w:r>
        <w:t>Les demandes de versement de l’allocation d’activité partielle doivent être formulées par l’employeur dans un délai de 12 mois à compter du terme de la période couverte par l’autorisation de recours à l’activité partielle.</w:t>
      </w:r>
    </w:p>
    <w:p w14:paraId="7A870F73" w14:textId="77777777" w:rsidR="00E65DD5" w:rsidRDefault="00E65DD5" w:rsidP="00E65DD5">
      <w:r>
        <w:t>La Loi de Finances pour 2021 réduit ce délai de 12 mois à 6 mois.</w:t>
      </w:r>
    </w:p>
    <w:p w14:paraId="2A68B174" w14:textId="77777777" w:rsidR="00E65DD5" w:rsidRPr="005D310E" w:rsidRDefault="00E65DD5" w:rsidP="00E65DD5">
      <w:r>
        <w:t>Elle prévoit également que les employeurs qui mettent en place un dispositif d’aménagement du temps de travail supérieur à 6 mois peuvent régulariser leur demande d’indemnisation dans les 6 mois qui suivent cette période.</w:t>
      </w:r>
    </w:p>
    <w:p w14:paraId="0D6C8097" w14:textId="77777777" w:rsidR="00E65DD5" w:rsidRPr="00FB0D22" w:rsidRDefault="00E65DD5" w:rsidP="00EE0687">
      <w:pPr>
        <w:pStyle w:val="Paragraphedeliste"/>
        <w:numPr>
          <w:ilvl w:val="0"/>
          <w:numId w:val="246"/>
        </w:numPr>
        <w:spacing w:beforeAutospacing="1" w:after="100" w:afterAutospacing="1"/>
        <w:rPr>
          <w:rFonts w:cstheme="minorHAnsi"/>
          <w:b/>
          <w:bCs/>
          <w:i/>
          <w:iCs/>
          <w:u w:val="single"/>
        </w:rPr>
      </w:pPr>
      <w:r w:rsidRPr="00FB0D22">
        <w:rPr>
          <w:rFonts w:cstheme="minorHAnsi"/>
          <w:b/>
          <w:bCs/>
          <w:i/>
          <w:iCs/>
          <w:u w:val="single"/>
        </w:rPr>
        <w:t xml:space="preserve">Régime social des indemnités d’activité partielle </w:t>
      </w:r>
      <w:r w:rsidRPr="00FB0D22">
        <w:rPr>
          <w:b/>
          <w:bCs/>
          <w:i/>
          <w:iCs/>
          <w:u w:val="single"/>
        </w:rPr>
        <w:t>(Loi de Financement de la Sécurité sociale)</w:t>
      </w:r>
    </w:p>
    <w:p w14:paraId="168DE558" w14:textId="77777777" w:rsidR="00E65DD5" w:rsidRDefault="00E65DD5" w:rsidP="00E65DD5">
      <w:pPr>
        <w:spacing w:beforeAutospacing="1" w:after="100" w:afterAutospacing="1"/>
        <w:rPr>
          <w:rFonts w:cstheme="minorHAnsi"/>
        </w:rPr>
      </w:pPr>
      <w:r w:rsidRPr="0013737E">
        <w:rPr>
          <w:rFonts w:cstheme="minorHAnsi"/>
        </w:rPr>
        <w:t xml:space="preserve">Les indemnités </w:t>
      </w:r>
      <w:r>
        <w:rPr>
          <w:rFonts w:cstheme="minorHAnsi"/>
        </w:rPr>
        <w:t xml:space="preserve">légales </w:t>
      </w:r>
      <w:r w:rsidRPr="0013737E">
        <w:rPr>
          <w:rFonts w:cstheme="minorHAnsi"/>
        </w:rPr>
        <w:t>d’activité partielle sont exonérées de cotisations sociales</w:t>
      </w:r>
      <w:r>
        <w:rPr>
          <w:rFonts w:cstheme="minorHAnsi"/>
        </w:rPr>
        <w:t>. Toutefois e</w:t>
      </w:r>
      <w:r w:rsidRPr="00704F87">
        <w:rPr>
          <w:rFonts w:cstheme="minorHAnsi"/>
        </w:rPr>
        <w:t>lles sont soumises</w:t>
      </w:r>
      <w:r>
        <w:rPr>
          <w:rFonts w:cstheme="minorHAnsi"/>
        </w:rPr>
        <w:t xml:space="preserve"> aux prélèvements sociaux (CSG/CRDS), calculés sur la base de 98,25 % des indemnités horaires versées. Concrètement, on applique à ces indemnités un abattement de 1,75 % puis on prélève la CSG au taux de 6,2 % et la CRDS au taux de 0,50 %.</w:t>
      </w:r>
    </w:p>
    <w:p w14:paraId="5CA41531" w14:textId="77777777" w:rsidR="00E65DD5" w:rsidRDefault="00E65DD5" w:rsidP="00E65DD5">
      <w:pPr>
        <w:spacing w:beforeAutospacing="1" w:after="100" w:afterAutospacing="1"/>
        <w:rPr>
          <w:rFonts w:cstheme="minorHAnsi"/>
        </w:rPr>
      </w:pPr>
      <w:r>
        <w:rPr>
          <w:rFonts w:cstheme="minorHAnsi"/>
        </w:rPr>
        <w:t>Pour éviter que la rémunération perçue au titre de l’activité partielle ne passe en deçà du Smic brut (calculé sur la durée légale), on va pratiquer un mécanisme d’écrêtement. Concrètement, la rémunération perçue doit au moins être égale au Smic.</w:t>
      </w:r>
    </w:p>
    <w:p w14:paraId="1DCDE9CC" w14:textId="77777777" w:rsidR="00E65DD5" w:rsidRPr="006B1E0D" w:rsidRDefault="00E65DD5" w:rsidP="00E65DD5">
      <w:pPr>
        <w:spacing w:beforeAutospacing="1" w:after="100" w:afterAutospacing="1"/>
        <w:rPr>
          <w:rFonts w:cstheme="minorHAnsi"/>
        </w:rPr>
      </w:pPr>
      <w:r>
        <w:rPr>
          <w:rFonts w:cstheme="minorHAnsi"/>
        </w:rPr>
        <w:t>Par conséquent,</w:t>
      </w:r>
      <w:r w:rsidRPr="005D310E">
        <w:rPr>
          <w:rFonts w:cstheme="minorHAnsi"/>
        </w:rPr>
        <w:t xml:space="preserve"> </w:t>
      </w:r>
      <w:r>
        <w:rPr>
          <w:rFonts w:cstheme="minorHAnsi"/>
        </w:rPr>
        <w:t>il sera possible de ne prélever que partiellement, voire de ne pas prélever, la CSG et la CRDS dès lors que c</w:t>
      </w:r>
      <w:r w:rsidRPr="005D310E">
        <w:rPr>
          <w:rFonts w:cstheme="minorHAnsi"/>
        </w:rPr>
        <w:t>e</w:t>
      </w:r>
      <w:r>
        <w:rPr>
          <w:rFonts w:cstheme="minorHAnsi"/>
        </w:rPr>
        <w:t>s</w:t>
      </w:r>
      <w:r w:rsidRPr="005D310E">
        <w:rPr>
          <w:rFonts w:cstheme="minorHAnsi"/>
        </w:rPr>
        <w:t xml:space="preserve"> prélèvement</w:t>
      </w:r>
      <w:r>
        <w:rPr>
          <w:rFonts w:cstheme="minorHAnsi"/>
        </w:rPr>
        <w:t>s</w:t>
      </w:r>
      <w:r w:rsidRPr="005D310E">
        <w:rPr>
          <w:rFonts w:cstheme="minorHAnsi"/>
        </w:rPr>
        <w:t xml:space="preserve"> de la CSG/CRDS </w:t>
      </w:r>
      <w:r>
        <w:rPr>
          <w:rFonts w:cstheme="minorHAnsi"/>
        </w:rPr>
        <w:t>auraient pour effet d’abaisser</w:t>
      </w:r>
      <w:r w:rsidRPr="005D310E">
        <w:rPr>
          <w:rFonts w:cstheme="minorHAnsi"/>
        </w:rPr>
        <w:t xml:space="preserve"> le montant net cumulé des indemnités d’activité partielle en dessous du S</w:t>
      </w:r>
      <w:r>
        <w:rPr>
          <w:rFonts w:cstheme="minorHAnsi"/>
        </w:rPr>
        <w:t>mic.</w:t>
      </w:r>
      <w:r w:rsidRPr="005D310E">
        <w:rPr>
          <w:rFonts w:cstheme="minorHAnsi"/>
        </w:rPr>
        <w:t xml:space="preserve"> </w:t>
      </w:r>
    </w:p>
    <w:p w14:paraId="7F8EE749" w14:textId="77777777" w:rsidR="00E65DD5" w:rsidRPr="00C60517" w:rsidRDefault="00E65DD5" w:rsidP="00EE0687">
      <w:pPr>
        <w:pStyle w:val="Paragraphedeliste"/>
        <w:numPr>
          <w:ilvl w:val="0"/>
          <w:numId w:val="246"/>
        </w:numPr>
      </w:pPr>
      <w:r w:rsidRPr="00FB0D22">
        <w:rPr>
          <w:b/>
          <w:bCs/>
          <w:i/>
          <w:iCs/>
          <w:u w:val="single"/>
        </w:rPr>
        <w:t>Régime social des indemnités complémentaires d’activité partielle (Loi de Financement de la Sécurité sociale)</w:t>
      </w:r>
    </w:p>
    <w:p w14:paraId="284BD3DB" w14:textId="77777777" w:rsidR="00E65DD5" w:rsidRDefault="00E65DD5" w:rsidP="00E65DD5">
      <w:r w:rsidRPr="005B75BC">
        <w:t>Pour 2021, les indemnités complémentaires d’activité partielle suivent le même régime dans la limite de 3,</w:t>
      </w:r>
      <w:r>
        <w:t>1</w:t>
      </w:r>
      <w:r w:rsidRPr="005B75BC">
        <w:t>5 Smic (les sommes excédant ce montant étant soumises aux cotisations et contributions applicables sur les salaires)</w:t>
      </w:r>
      <w:r>
        <w:t>.</w:t>
      </w:r>
    </w:p>
    <w:p w14:paraId="000B479D" w14:textId="77777777" w:rsidR="00E65DD5" w:rsidRDefault="00E65DD5" w:rsidP="00E65DD5">
      <w:r>
        <w:lastRenderedPageBreak/>
        <w:t>Concrètement, elles sont, elles aussi, exonérées de cotisations sociales, mais soumises à CSG/CRDS dans les mêmes conditions.</w:t>
      </w:r>
    </w:p>
    <w:p w14:paraId="4BC6F759" w14:textId="77777777" w:rsidR="00E65DD5" w:rsidRDefault="00E65DD5" w:rsidP="00E65DD5">
      <w:r>
        <w:t xml:space="preserve">Cependant, dans le cas où la somme cumulée des indemnités légales et complémentaires d’activité partielle, versée par l’employeur, est supérieure à 3,15 Smic, la part de l’indemnité complémentaire versée au-delà de ce montant est soumise aux contributions et cotisations sociales au même titre que le salaire. </w:t>
      </w:r>
    </w:p>
    <w:p w14:paraId="2B0BFCB5" w14:textId="77777777" w:rsidR="00E65DD5" w:rsidRDefault="00E65DD5" w:rsidP="00E65DD5">
      <w:r>
        <w:t>Ce sera également le cas pour les sommes versées par l’employeur pour des heures non travaillées mais non indemnisables au titre de l’activité partielle.</w:t>
      </w:r>
    </w:p>
    <w:p w14:paraId="05EA7809" w14:textId="77777777" w:rsidR="00E65DD5" w:rsidRDefault="00E65DD5" w:rsidP="00E65DD5">
      <w:pPr>
        <w:spacing w:beforeAutospacing="1" w:after="100" w:afterAutospacing="1"/>
        <w:rPr>
          <w:rFonts w:cstheme="minorHAnsi"/>
        </w:rPr>
      </w:pPr>
    </w:p>
    <w:p w14:paraId="29555610" w14:textId="14E48BA4" w:rsidR="00E65DD5" w:rsidRPr="00F048D5" w:rsidRDefault="00E65DD5" w:rsidP="00E65DD5">
      <w:pPr>
        <w:pStyle w:val="Titre3"/>
      </w:pPr>
      <w:bookmarkStart w:id="118" w:name="_Toc60781036"/>
      <w:r w:rsidRPr="00F048D5">
        <w:t xml:space="preserve">Slide </w:t>
      </w:r>
      <w:r w:rsidR="008763A6">
        <w:t>76</w:t>
      </w:r>
      <w:r w:rsidRPr="00F048D5">
        <w:t xml:space="preserve"> : </w:t>
      </w:r>
      <w:r>
        <w:t>Congés de mobilite et congé de reclassement</w:t>
      </w:r>
      <w:bookmarkEnd w:id="118"/>
      <w:r>
        <w:t xml:space="preserve"> </w:t>
      </w:r>
    </w:p>
    <w:p w14:paraId="49D372F0" w14:textId="5FEFD91E" w:rsidR="00E65DD5" w:rsidRDefault="00E65DD5" w:rsidP="00E65DD5">
      <w:r w:rsidRPr="00B654CB">
        <w:rPr>
          <w:u w:val="single"/>
        </w:rPr>
        <w:t>Source</w:t>
      </w:r>
      <w:r w:rsidRPr="00327CBB">
        <w:t xml:space="preserve"> : Loi de Financement de la sécurité sociale pour 2021, art</w:t>
      </w:r>
      <w:r w:rsidR="00F13F94">
        <w:t xml:space="preserve">icle </w:t>
      </w:r>
      <w:r w:rsidR="0072766E">
        <w:t>8</w:t>
      </w:r>
      <w:r w:rsidR="006927BA">
        <w:t>, III</w:t>
      </w:r>
    </w:p>
    <w:p w14:paraId="4FED33D5" w14:textId="77777777" w:rsidR="00E65DD5" w:rsidRPr="00FB0D22" w:rsidRDefault="00E65DD5" w:rsidP="00EE0687">
      <w:pPr>
        <w:pStyle w:val="Paragraphedeliste"/>
        <w:numPr>
          <w:ilvl w:val="0"/>
          <w:numId w:val="246"/>
        </w:numPr>
        <w:rPr>
          <w:b/>
          <w:bCs/>
          <w:i/>
          <w:iCs/>
          <w:u w:val="single"/>
        </w:rPr>
      </w:pPr>
      <w:r w:rsidRPr="00FB0D22">
        <w:rPr>
          <w:b/>
          <w:bCs/>
          <w:i/>
          <w:iCs/>
          <w:u w:val="single"/>
        </w:rPr>
        <w:t xml:space="preserve">Allongement de la durée du congé de reclassement et du congé de mobilité </w:t>
      </w:r>
    </w:p>
    <w:p w14:paraId="59EA59A1" w14:textId="77777777" w:rsidR="00E65DD5" w:rsidRDefault="00E65DD5" w:rsidP="00E65DD5">
      <w:r>
        <w:t>A partir du 1</w:t>
      </w:r>
      <w:r w:rsidRPr="00771869">
        <w:rPr>
          <w:vertAlign w:val="superscript"/>
        </w:rPr>
        <w:t>er</w:t>
      </w:r>
      <w:r>
        <w:t xml:space="preserve"> janvier 2021, le congé de reclassement, proposé par les employeurs des entreprises de plus de 1 000 salariés lorsqu’est envisagé un licenciement pour motif économique, dont l’objet est de permettre au salarié de bénéficier d'actions de formation et des prestations d'une cellule d'accompagnement des démarches de recherche d'emploi, pourra être portée à 24 mois (au lieu de 12) en cas de formation de reconversion professionnelle. </w:t>
      </w:r>
    </w:p>
    <w:p w14:paraId="0E7D5ADF" w14:textId="77777777" w:rsidR="00E65DD5" w:rsidRDefault="00E65DD5" w:rsidP="00E65DD5">
      <w:r>
        <w:t xml:space="preserve">Le congé de mobilité pourra également être porté à 24 mois dans les mêmes conditions. </w:t>
      </w:r>
    </w:p>
    <w:p w14:paraId="7A13C745" w14:textId="77777777" w:rsidR="00E65DD5" w:rsidRPr="00FB0D22" w:rsidRDefault="00E65DD5" w:rsidP="00EE0687">
      <w:pPr>
        <w:pStyle w:val="Paragraphedeliste"/>
        <w:numPr>
          <w:ilvl w:val="0"/>
          <w:numId w:val="246"/>
        </w:numPr>
        <w:rPr>
          <w:b/>
          <w:bCs/>
          <w:i/>
          <w:iCs/>
          <w:u w:val="single"/>
        </w:rPr>
      </w:pPr>
      <w:r w:rsidRPr="00FB0D22">
        <w:rPr>
          <w:b/>
          <w:bCs/>
          <w:i/>
          <w:iCs/>
          <w:u w:val="single"/>
        </w:rPr>
        <w:t xml:space="preserve">Alignement du congé de mobilité et du congé de reclassement sur le régime de l’activité partielle </w:t>
      </w:r>
    </w:p>
    <w:p w14:paraId="63D08CFD" w14:textId="77777777" w:rsidR="00E65DD5" w:rsidRDefault="00E65DD5" w:rsidP="00E65DD5">
      <w:r>
        <w:t>A partir du 1</w:t>
      </w:r>
      <w:r w:rsidRPr="00E66C5E">
        <w:rPr>
          <w:vertAlign w:val="superscript"/>
        </w:rPr>
        <w:t>er</w:t>
      </w:r>
      <w:r>
        <w:t xml:space="preserve"> janvier 2021, la rémunération versée à un salarié au titre d’un congé de reclassement ou d’un congé de mobilité bénéficiera du même régime social que les indemnités d’activité partielle. </w:t>
      </w:r>
    </w:p>
    <w:p w14:paraId="52BDA78A" w14:textId="77777777" w:rsidR="00E65DD5" w:rsidRDefault="00E65DD5" w:rsidP="00E65DD5">
      <w:r>
        <w:t>Pour information, l</w:t>
      </w:r>
      <w:r w:rsidRPr="00142060">
        <w:t>es indemnités légales d’activité partielle sont exonérées de cotisations sociales. Toutefois elles sont soumises aux prélèvements sociaux (CSG/CRDS), calculés sur la base de 98,25 % des indemnités horaires versées. Concrètement, on applique à ces indemnités un abattement de 1,75 % puis on prélève la CSG au taux de 6,2 % et la CRDS au taux de 0,50 %.</w:t>
      </w:r>
      <w:r>
        <w:t xml:space="preserve"> </w:t>
      </w:r>
    </w:p>
    <w:p w14:paraId="50D14CF9" w14:textId="77777777" w:rsidR="00E65DD5" w:rsidRDefault="00E65DD5" w:rsidP="00E65DD5">
      <w:r>
        <w:t xml:space="preserve">De cette manière, les taux de prélèvement actuellement en vigueur restent inchangés. La seule différence notable liée à ce changement de régime sera désormais l’impossibilité de se voir appliquer un taux réduit de CSG (3,80 %) au titre d’une de ces rémunérations. </w:t>
      </w:r>
    </w:p>
    <w:p w14:paraId="0882BF42" w14:textId="77777777" w:rsidR="00E65DD5" w:rsidRDefault="00E65DD5" w:rsidP="00E65DD5">
      <w:pPr>
        <w:spacing w:beforeAutospacing="1" w:after="100" w:afterAutospacing="1"/>
        <w:rPr>
          <w:rFonts w:cstheme="minorHAnsi"/>
        </w:rPr>
      </w:pPr>
    </w:p>
    <w:p w14:paraId="11454BB7" w14:textId="5CFA6BF1" w:rsidR="0080047B" w:rsidRPr="00A847B7" w:rsidRDefault="0080047B" w:rsidP="0080047B">
      <w:pPr>
        <w:pStyle w:val="Titre3"/>
      </w:pPr>
      <w:bookmarkStart w:id="119" w:name="_Toc60781037"/>
      <w:r w:rsidRPr="00A847B7">
        <w:t xml:space="preserve">Slide </w:t>
      </w:r>
      <w:r w:rsidR="00EB5EB5">
        <w:t>77</w:t>
      </w:r>
      <w:r w:rsidRPr="00A847B7">
        <w:t xml:space="preserve"> : </w:t>
      </w:r>
      <w:r w:rsidR="000F31CE" w:rsidRPr="00A847B7">
        <w:t>Contribution</w:t>
      </w:r>
      <w:r w:rsidR="00276E81" w:rsidRPr="00A847B7">
        <w:t xml:space="preserve"> patronale pour les attributions gratuites d’action</w:t>
      </w:r>
      <w:bookmarkEnd w:id="119"/>
    </w:p>
    <w:p w14:paraId="609074E6" w14:textId="31A47A7C" w:rsidR="00276E81" w:rsidRPr="00A847B7" w:rsidRDefault="001B1263" w:rsidP="001B1263">
      <w:r w:rsidRPr="004F587E">
        <w:rPr>
          <w:u w:val="single"/>
        </w:rPr>
        <w:t xml:space="preserve">Source </w:t>
      </w:r>
      <w:r w:rsidRPr="00A847B7">
        <w:t>:</w:t>
      </w:r>
      <w:r w:rsidR="00276E81" w:rsidRPr="00A847B7">
        <w:t xml:space="preserve"> Loi de Finances pour 2021, </w:t>
      </w:r>
      <w:r w:rsidR="00276E81" w:rsidRPr="00A92E0D">
        <w:t xml:space="preserve">article </w:t>
      </w:r>
      <w:r w:rsidR="008066D4" w:rsidRPr="00BB2A31">
        <w:t>206</w:t>
      </w:r>
    </w:p>
    <w:p w14:paraId="37256F6C" w14:textId="66A4C8DA" w:rsidR="009B74BB" w:rsidRPr="00A847B7" w:rsidRDefault="009B74BB" w:rsidP="009B74BB">
      <w:pPr>
        <w:rPr>
          <w:rFonts w:cstheme="minorHAnsi"/>
        </w:rPr>
      </w:pPr>
      <w:r w:rsidRPr="00A847B7">
        <w:rPr>
          <w:rFonts w:cstheme="minorHAnsi"/>
        </w:rPr>
        <w:t xml:space="preserve">Les sociétés par actions (sociétés anonymes, sociétés en commandite par actions ou sociétés par actions simplifiées) peuvent permettre à leurs salariés de posséder une partie du capital de leur entreprise, de se constituer </w:t>
      </w:r>
      <w:r w:rsidR="002D1EFE">
        <w:rPr>
          <w:rFonts w:cstheme="minorHAnsi"/>
        </w:rPr>
        <w:t xml:space="preserve">ainsi </w:t>
      </w:r>
      <w:r w:rsidRPr="00A847B7">
        <w:rPr>
          <w:rFonts w:cstheme="minorHAnsi"/>
        </w:rPr>
        <w:t>une épargne et de participer davantage aux performances économiques de leur entreprise en acquérant des actions.</w:t>
      </w:r>
    </w:p>
    <w:p w14:paraId="323048E5" w14:textId="3094112E" w:rsidR="009B74BB" w:rsidRPr="00A847B7" w:rsidRDefault="009B74BB" w:rsidP="009B74BB">
      <w:pPr>
        <w:rPr>
          <w:rFonts w:cstheme="minorHAnsi"/>
        </w:rPr>
      </w:pPr>
      <w:r w:rsidRPr="00A847B7">
        <w:rPr>
          <w:rFonts w:cstheme="minorHAnsi"/>
        </w:rPr>
        <w:lastRenderedPageBreak/>
        <w:t>Le conseil d’administration ou le directoire de ces sociétés, après autorisation de l’assemblée générale extraordinaire des actionnaires</w:t>
      </w:r>
      <w:r w:rsidR="00693B55">
        <w:rPr>
          <w:rFonts w:cstheme="minorHAnsi"/>
        </w:rPr>
        <w:t>,</w:t>
      </w:r>
      <w:r w:rsidRPr="00A847B7">
        <w:rPr>
          <w:rFonts w:cstheme="minorHAnsi"/>
        </w:rPr>
        <w:t xml:space="preserve"> peut même décider d’attribuer gratuitement des actions qui se révèlent intéressantes à la fois :</w:t>
      </w:r>
    </w:p>
    <w:p w14:paraId="016937B0" w14:textId="2DAEEECC" w:rsidR="009B74BB" w:rsidRPr="00A847B7" w:rsidRDefault="009B74BB" w:rsidP="00EE0687">
      <w:pPr>
        <w:pStyle w:val="Paragraphedeliste"/>
        <w:numPr>
          <w:ilvl w:val="0"/>
          <w:numId w:val="55"/>
        </w:numPr>
        <w:rPr>
          <w:rFonts w:cstheme="minorHAnsi"/>
        </w:rPr>
      </w:pPr>
      <w:r w:rsidRPr="00A847B7">
        <w:rPr>
          <w:rFonts w:cstheme="minorHAnsi"/>
        </w:rPr>
        <w:t>sur un plan fiscal</w:t>
      </w:r>
      <w:r w:rsidR="00693B55">
        <w:rPr>
          <w:rFonts w:cstheme="minorHAnsi"/>
        </w:rPr>
        <w:t xml:space="preserve">, </w:t>
      </w:r>
      <w:r w:rsidRPr="00A847B7">
        <w:rPr>
          <w:rFonts w:cstheme="minorHAnsi"/>
        </w:rPr>
        <w:t>puisque les sociétés qui ont cédé des actions à leurs salariés peuvent déduire de leur résultat imposable les charges liées à l’attribution des options</w:t>
      </w:r>
      <w:r w:rsidR="00AB79B5">
        <w:rPr>
          <w:rFonts w:cstheme="minorHAnsi"/>
        </w:rPr>
        <w:t>,</w:t>
      </w:r>
      <w:r w:rsidRPr="00A847B7">
        <w:rPr>
          <w:rFonts w:cstheme="minorHAnsi"/>
        </w:rPr>
        <w:t xml:space="preserve"> ainsi que les éventuelles moins-values réalisées dans le cadre de ces cessions ;</w:t>
      </w:r>
    </w:p>
    <w:p w14:paraId="3C89FAC8" w14:textId="41AB7C2B" w:rsidR="009B74BB" w:rsidRPr="00A847B7" w:rsidRDefault="009B74BB" w:rsidP="00EE0687">
      <w:pPr>
        <w:pStyle w:val="Paragraphedeliste"/>
        <w:numPr>
          <w:ilvl w:val="0"/>
          <w:numId w:val="55"/>
        </w:numPr>
        <w:rPr>
          <w:rFonts w:cstheme="minorHAnsi"/>
        </w:rPr>
      </w:pPr>
      <w:r w:rsidRPr="00A847B7">
        <w:rPr>
          <w:rFonts w:cstheme="minorHAnsi"/>
        </w:rPr>
        <w:t xml:space="preserve">sur un plan social, puisque les actions cédées ne sont pas soumises aux cotisations sociales mais à une contribution sociale spécifique. </w:t>
      </w:r>
    </w:p>
    <w:p w14:paraId="1466AC11" w14:textId="77777777" w:rsidR="009B74BB" w:rsidRPr="00A847B7" w:rsidRDefault="009B74BB" w:rsidP="009B74BB">
      <w:pPr>
        <w:rPr>
          <w:rFonts w:cstheme="minorHAnsi"/>
        </w:rPr>
      </w:pPr>
      <w:r w:rsidRPr="00A847B7">
        <w:rPr>
          <w:rFonts w:cstheme="minorHAnsi"/>
        </w:rPr>
        <w:t xml:space="preserve">Le montant de cette contribution sociale spécifique est assis sur la valeur de l’option à la date de consolidation des comptes (pour les sociétés qui appliquent les normes comptables internationales) ou sur le quart de la valeur des actions au moment de la décision d’attribution. </w:t>
      </w:r>
    </w:p>
    <w:p w14:paraId="095F3C20" w14:textId="0AAA9D51" w:rsidR="00994C71" w:rsidRPr="00A847B7" w:rsidRDefault="009B74BB" w:rsidP="009B74BB">
      <w:pPr>
        <w:rPr>
          <w:rFonts w:cstheme="minorHAnsi"/>
        </w:rPr>
      </w:pPr>
      <w:r w:rsidRPr="00A847B7">
        <w:rPr>
          <w:rFonts w:cstheme="minorHAnsi"/>
        </w:rPr>
        <w:t>Son taux est fixé à 20 % pour les attributions gratuites d'actions décidées par une assemblée générale extraordinaire depuis le 1</w:t>
      </w:r>
      <w:r w:rsidRPr="00A847B7">
        <w:rPr>
          <w:rFonts w:cstheme="minorHAnsi"/>
          <w:vertAlign w:val="superscript"/>
        </w:rPr>
        <w:t xml:space="preserve">er </w:t>
      </w:r>
      <w:r w:rsidRPr="00A847B7">
        <w:rPr>
          <w:rFonts w:cstheme="minorHAnsi"/>
        </w:rPr>
        <w:t>janvier 2018.</w:t>
      </w:r>
    </w:p>
    <w:p w14:paraId="4E61D317" w14:textId="4A36A976" w:rsidR="009B74BB" w:rsidRPr="00A847B7" w:rsidRDefault="00FE4172" w:rsidP="009B74BB">
      <w:pPr>
        <w:rPr>
          <w:rFonts w:cstheme="minorHAnsi"/>
        </w:rPr>
      </w:pPr>
      <w:r w:rsidRPr="00A847B7">
        <w:rPr>
          <w:rFonts w:cstheme="minorHAnsi"/>
        </w:rPr>
        <w:t>Cette contribution ne s'applique pas aux attributions d'actions gratuites décidées par les sociétés qui n'ont procédé à aucune distribution de dividendes depuis leur création et qui répondent à la définition des petites et moyennes entreprises (PME) au sens communautaire.</w:t>
      </w:r>
    </w:p>
    <w:p w14:paraId="2E0FFA85" w14:textId="7E0B2172" w:rsidR="00FE4172" w:rsidRPr="00A847B7" w:rsidRDefault="00594CE1" w:rsidP="009B74BB">
      <w:pPr>
        <w:rPr>
          <w:rFonts w:cstheme="minorHAnsi"/>
        </w:rPr>
      </w:pPr>
      <w:r w:rsidRPr="00A847B7">
        <w:rPr>
          <w:rFonts w:cstheme="minorHAnsi"/>
        </w:rPr>
        <w:t>Pour mémoire, une PME au sens communautaire est une entreprise :</w:t>
      </w:r>
    </w:p>
    <w:p w14:paraId="0C0F0BCD" w14:textId="0F1F1EE8" w:rsidR="00594CE1" w:rsidRPr="00A847B7" w:rsidRDefault="00594CE1" w:rsidP="00EE0687">
      <w:pPr>
        <w:pStyle w:val="Paragraphedeliste"/>
        <w:numPr>
          <w:ilvl w:val="0"/>
          <w:numId w:val="56"/>
        </w:numPr>
        <w:rPr>
          <w:rFonts w:cstheme="minorHAnsi"/>
        </w:rPr>
      </w:pPr>
      <w:r w:rsidRPr="00A847B7">
        <w:rPr>
          <w:rFonts w:cstheme="minorHAnsi"/>
        </w:rPr>
        <w:t>dont l’effectif est in</w:t>
      </w:r>
      <w:r w:rsidR="00DD04A6" w:rsidRPr="00A847B7">
        <w:rPr>
          <w:rFonts w:cstheme="minorHAnsi"/>
        </w:rPr>
        <w:t>férieur à 250 salariés ;</w:t>
      </w:r>
    </w:p>
    <w:p w14:paraId="37F1652D" w14:textId="03E72BC1" w:rsidR="00DD04A6" w:rsidRPr="00A847B7" w:rsidRDefault="00DD04A6" w:rsidP="00EE0687">
      <w:pPr>
        <w:pStyle w:val="Paragraphedeliste"/>
        <w:numPr>
          <w:ilvl w:val="0"/>
          <w:numId w:val="56"/>
        </w:numPr>
        <w:rPr>
          <w:rFonts w:cstheme="minorHAnsi"/>
        </w:rPr>
      </w:pPr>
      <w:r w:rsidRPr="00A847B7">
        <w:rPr>
          <w:rFonts w:cstheme="minorHAnsi"/>
        </w:rPr>
        <w:t xml:space="preserve">et dont le chiffre d’affaires n’excède pas 50 M€ ou dont le total </w:t>
      </w:r>
      <w:r w:rsidR="005E039D" w:rsidRPr="00A847B7">
        <w:rPr>
          <w:rFonts w:cstheme="minorHAnsi"/>
        </w:rPr>
        <w:t>de bilan n’excède pas 43 M€.</w:t>
      </w:r>
    </w:p>
    <w:p w14:paraId="568638BE" w14:textId="22545401" w:rsidR="005E039D" w:rsidRPr="00A847B7" w:rsidRDefault="005E039D" w:rsidP="005E039D">
      <w:pPr>
        <w:rPr>
          <w:rFonts w:cstheme="minorHAnsi"/>
        </w:rPr>
      </w:pPr>
      <w:r w:rsidRPr="00A847B7">
        <w:rPr>
          <w:rFonts w:cstheme="minorHAnsi"/>
        </w:rPr>
        <w:t xml:space="preserve">Pour les attributions d’actions gratuites </w:t>
      </w:r>
      <w:r w:rsidR="00A46BEF" w:rsidRPr="00A847B7">
        <w:rPr>
          <w:rFonts w:cstheme="minorHAnsi"/>
        </w:rPr>
        <w:t>autorisée</w:t>
      </w:r>
      <w:r w:rsidR="00351998">
        <w:rPr>
          <w:rFonts w:cstheme="minorHAnsi"/>
        </w:rPr>
        <w:t>s</w:t>
      </w:r>
      <w:r w:rsidR="00A46BEF" w:rsidRPr="00A847B7">
        <w:rPr>
          <w:rFonts w:cstheme="minorHAnsi"/>
        </w:rPr>
        <w:t xml:space="preserve"> par une décision de l’assemblée générale extraordinaire à compter du </w:t>
      </w:r>
      <w:r w:rsidR="0070606C" w:rsidRPr="00A847B7">
        <w:rPr>
          <w:rFonts w:cstheme="minorHAnsi"/>
        </w:rPr>
        <w:t>1</w:t>
      </w:r>
      <w:r w:rsidR="0070606C" w:rsidRPr="00A847B7">
        <w:rPr>
          <w:rFonts w:cstheme="minorHAnsi"/>
          <w:vertAlign w:val="superscript"/>
        </w:rPr>
        <w:t>er</w:t>
      </w:r>
      <w:r w:rsidR="0070606C" w:rsidRPr="00A847B7">
        <w:rPr>
          <w:rFonts w:cstheme="minorHAnsi"/>
        </w:rPr>
        <w:t xml:space="preserve"> janvier 2021, cette exonération de contribution spécifique profitera également aux entreprises de taille intermédiaire (ETI) au sens communautaire.</w:t>
      </w:r>
    </w:p>
    <w:p w14:paraId="66B6E2EC" w14:textId="3BCAE51F" w:rsidR="0070606C" w:rsidRPr="00A847B7" w:rsidRDefault="0070606C" w:rsidP="005E039D">
      <w:pPr>
        <w:rPr>
          <w:rFonts w:cstheme="minorHAnsi"/>
        </w:rPr>
      </w:pPr>
      <w:r w:rsidRPr="00A847B7">
        <w:rPr>
          <w:rFonts w:cstheme="minorHAnsi"/>
        </w:rPr>
        <w:t>Pour mémoire, une ETI au sens communautaire est une entreprise :</w:t>
      </w:r>
    </w:p>
    <w:p w14:paraId="71C4A1A3" w14:textId="543F0670" w:rsidR="003D1E22" w:rsidRPr="00A847B7" w:rsidRDefault="00274664" w:rsidP="00EE0687">
      <w:pPr>
        <w:pStyle w:val="Paragraphedeliste"/>
        <w:numPr>
          <w:ilvl w:val="0"/>
          <w:numId w:val="57"/>
        </w:numPr>
        <w:rPr>
          <w:rFonts w:cstheme="minorHAnsi"/>
        </w:rPr>
      </w:pPr>
      <w:r w:rsidRPr="00A847B7">
        <w:rPr>
          <w:rFonts w:cstheme="minorHAnsi"/>
        </w:rPr>
        <w:t xml:space="preserve">dont l’effectif est compris entre 250 et </w:t>
      </w:r>
      <w:r w:rsidR="00B74D79" w:rsidRPr="00A847B7">
        <w:rPr>
          <w:rFonts w:cstheme="minorHAnsi"/>
        </w:rPr>
        <w:t>5 000 salariés ;</w:t>
      </w:r>
    </w:p>
    <w:p w14:paraId="10E6CDFB" w14:textId="2B0BDEF4" w:rsidR="00B74D79" w:rsidRPr="00A847B7" w:rsidRDefault="00B74D79" w:rsidP="00EE0687">
      <w:pPr>
        <w:pStyle w:val="Paragraphedeliste"/>
        <w:numPr>
          <w:ilvl w:val="0"/>
          <w:numId w:val="57"/>
        </w:numPr>
        <w:rPr>
          <w:rFonts w:cstheme="minorHAnsi"/>
        </w:rPr>
      </w:pPr>
      <w:r w:rsidRPr="00A847B7">
        <w:rPr>
          <w:rFonts w:cstheme="minorHAnsi"/>
        </w:rPr>
        <w:t xml:space="preserve">et dont le chiffre d’affaires est inférieur à 1,5 Md € ou dont le total de bilan n’excède pas </w:t>
      </w:r>
      <w:r w:rsidR="00294E95" w:rsidRPr="00A847B7">
        <w:rPr>
          <w:rFonts w:cstheme="minorHAnsi"/>
        </w:rPr>
        <w:t>2 Mds€.</w:t>
      </w:r>
    </w:p>
    <w:p w14:paraId="697E944A" w14:textId="0B89C36A" w:rsidR="00EB0657" w:rsidRPr="00A847B7" w:rsidRDefault="00EB0657" w:rsidP="003D1E22"/>
    <w:p w14:paraId="4C8EA3BB" w14:textId="4712584A" w:rsidR="0080047B" w:rsidRPr="00A847B7" w:rsidRDefault="0080047B" w:rsidP="0080047B">
      <w:pPr>
        <w:pStyle w:val="Titre3"/>
      </w:pPr>
      <w:bookmarkStart w:id="120" w:name="_Toc60781038"/>
      <w:r w:rsidRPr="00A847B7">
        <w:t xml:space="preserve">Slide </w:t>
      </w:r>
      <w:r w:rsidR="00334892">
        <w:t>78</w:t>
      </w:r>
      <w:r w:rsidRPr="00A847B7">
        <w:t xml:space="preserve"> : </w:t>
      </w:r>
      <w:r w:rsidR="00FB2CC6" w:rsidRPr="00A847B7">
        <w:t xml:space="preserve">Forfait social sur les abondements </w:t>
      </w:r>
      <w:r w:rsidR="00A15B59" w:rsidRPr="00A847B7">
        <w:t>au plan d’épargne entreprise</w:t>
      </w:r>
      <w:bookmarkEnd w:id="120"/>
    </w:p>
    <w:p w14:paraId="67501FBE" w14:textId="28B7848D" w:rsidR="00730A60" w:rsidRPr="00A847B7" w:rsidRDefault="001B1263" w:rsidP="001B1263">
      <w:r w:rsidRPr="004F587E">
        <w:rPr>
          <w:u w:val="single"/>
        </w:rPr>
        <w:t xml:space="preserve">Source </w:t>
      </w:r>
      <w:r w:rsidRPr="00A847B7">
        <w:t>:</w:t>
      </w:r>
      <w:r w:rsidR="00730A60" w:rsidRPr="00A847B7">
        <w:t xml:space="preserve"> Loi </w:t>
      </w:r>
      <w:r w:rsidR="00730A60" w:rsidRPr="00BB2A31">
        <w:t xml:space="preserve">de Finances pour 2021, </w:t>
      </w:r>
      <w:r w:rsidR="00730A60" w:rsidRPr="007D1ACA">
        <w:t xml:space="preserve">article </w:t>
      </w:r>
      <w:r w:rsidR="00BB2A31" w:rsidRPr="00BB2A31">
        <w:t>207</w:t>
      </w:r>
    </w:p>
    <w:p w14:paraId="18B8B9B5" w14:textId="499F1DE5" w:rsidR="001B0AD5" w:rsidRPr="00A847B7" w:rsidRDefault="001B0AD5" w:rsidP="001B0AD5">
      <w:pPr>
        <w:spacing w:beforeAutospacing="1" w:after="100" w:afterAutospacing="1"/>
        <w:rPr>
          <w:rFonts w:cstheme="minorHAnsi"/>
        </w:rPr>
      </w:pPr>
      <w:r w:rsidRPr="00A847B7">
        <w:rPr>
          <w:rFonts w:cstheme="minorHAnsi"/>
        </w:rPr>
        <w:t xml:space="preserve">Le plan d’épargne entreprise est un système d'épargne collectif, initié par l’entreprise, qui permet aux salariés de se constituer une épargne avec l’aide de l’entreprise. </w:t>
      </w:r>
    </w:p>
    <w:p w14:paraId="784AB30E" w14:textId="40DBFB53" w:rsidR="00A16310" w:rsidRPr="00A847B7" w:rsidRDefault="00A16310" w:rsidP="001B0AD5">
      <w:pPr>
        <w:spacing w:beforeAutospacing="1" w:after="100" w:afterAutospacing="1"/>
        <w:rPr>
          <w:rFonts w:cstheme="minorHAnsi"/>
        </w:rPr>
      </w:pPr>
      <w:r w:rsidRPr="00A847B7">
        <w:rPr>
          <w:rFonts w:cstheme="minorHAnsi"/>
        </w:rPr>
        <w:t>Toutes les entreprises, quels que soient leur forme juridique, leur activité et leur effectif (pour autant qu’elles comptent au moins 1 salarié) peuvent mettre en place un plan d'épargne d'entreprise.</w:t>
      </w:r>
    </w:p>
    <w:p w14:paraId="01B91BA4" w14:textId="77777777" w:rsidR="001B0AD5" w:rsidRPr="00A847B7" w:rsidRDefault="001B0AD5" w:rsidP="001B0AD5">
      <w:pPr>
        <w:spacing w:beforeAutospacing="1" w:after="100" w:afterAutospacing="1"/>
        <w:rPr>
          <w:rFonts w:cstheme="minorHAnsi"/>
        </w:rPr>
      </w:pPr>
      <w:r w:rsidRPr="00A847B7">
        <w:rPr>
          <w:rFonts w:cstheme="minorHAnsi"/>
        </w:rPr>
        <w:t>Il s’agit pour les salariés d’effectuer des versements sur ce plan d’épargne entreprise, éventuellement majorés par l’entreprise elle-même (on parle d’abondements), tout en bénéficiant d’avantages fiscaux et sociaux sur les sommes ainsi placées.</w:t>
      </w:r>
    </w:p>
    <w:p w14:paraId="6117FE5E" w14:textId="77777777" w:rsidR="00A16310" w:rsidRPr="00A847B7" w:rsidRDefault="00A16310" w:rsidP="00A16310">
      <w:pPr>
        <w:spacing w:beforeAutospacing="1" w:after="100" w:afterAutospacing="1"/>
        <w:rPr>
          <w:rFonts w:cstheme="minorHAnsi"/>
        </w:rPr>
      </w:pPr>
      <w:r w:rsidRPr="00A847B7">
        <w:rPr>
          <w:rFonts w:cstheme="minorHAnsi"/>
        </w:rPr>
        <w:t>Le plan d’épargne entreprise est, en effet, alimenté par :</w:t>
      </w:r>
    </w:p>
    <w:p w14:paraId="70863815" w14:textId="663A14C0" w:rsidR="00A16310" w:rsidRPr="00A847B7" w:rsidRDefault="00A16310" w:rsidP="00EE0687">
      <w:pPr>
        <w:pStyle w:val="Paragraphedeliste"/>
        <w:numPr>
          <w:ilvl w:val="0"/>
          <w:numId w:val="58"/>
        </w:numPr>
        <w:spacing w:beforeAutospacing="1" w:after="100" w:afterAutospacing="1"/>
        <w:rPr>
          <w:rFonts w:cstheme="minorHAnsi"/>
        </w:rPr>
      </w:pPr>
      <w:r w:rsidRPr="00A847B7">
        <w:rPr>
          <w:rFonts w:cstheme="minorHAnsi"/>
        </w:rPr>
        <w:lastRenderedPageBreak/>
        <w:t>des versements volontaires des bénéficiaires adhérents au plan ;</w:t>
      </w:r>
    </w:p>
    <w:p w14:paraId="682278F5" w14:textId="3A5EC551" w:rsidR="00A16310" w:rsidRPr="00A847B7" w:rsidRDefault="00A16310" w:rsidP="00EE0687">
      <w:pPr>
        <w:pStyle w:val="Paragraphedeliste"/>
        <w:numPr>
          <w:ilvl w:val="0"/>
          <w:numId w:val="58"/>
        </w:numPr>
        <w:spacing w:beforeAutospacing="1" w:after="100" w:afterAutospacing="1"/>
        <w:rPr>
          <w:rFonts w:cstheme="minorHAnsi"/>
        </w:rPr>
      </w:pPr>
      <w:r w:rsidRPr="00A847B7">
        <w:rPr>
          <w:rFonts w:cstheme="minorHAnsi"/>
        </w:rPr>
        <w:t>des abondements de l’entreprise qui s’apparentent à des versements complémentaires à ceux des bénéficiaires ;</w:t>
      </w:r>
    </w:p>
    <w:p w14:paraId="75037180" w14:textId="15456D4C" w:rsidR="00867200" w:rsidRPr="00A847B7" w:rsidRDefault="00A16310" w:rsidP="00EE0687">
      <w:pPr>
        <w:pStyle w:val="Paragraphedeliste"/>
        <w:numPr>
          <w:ilvl w:val="0"/>
          <w:numId w:val="58"/>
        </w:numPr>
        <w:spacing w:beforeAutospacing="1" w:after="100" w:afterAutospacing="1"/>
        <w:rPr>
          <w:rFonts w:cstheme="minorHAnsi"/>
        </w:rPr>
      </w:pPr>
      <w:r w:rsidRPr="00A847B7">
        <w:rPr>
          <w:rFonts w:cstheme="minorHAnsi"/>
        </w:rPr>
        <w:t>l’affectation des sommes issues de l’intéressement, la participation des salariés aux résultats de l’entreprise, le transfert d’épargne salariale.</w:t>
      </w:r>
    </w:p>
    <w:p w14:paraId="584247AE" w14:textId="77777777" w:rsidR="00D25DD4" w:rsidRPr="00A847B7" w:rsidRDefault="00D25DD4" w:rsidP="00D25DD4">
      <w:pPr>
        <w:spacing w:beforeAutospacing="1" w:after="100" w:afterAutospacing="1"/>
        <w:rPr>
          <w:rFonts w:cstheme="minorHAnsi"/>
        </w:rPr>
      </w:pPr>
      <w:r w:rsidRPr="00A847B7">
        <w:rPr>
          <w:rFonts w:cstheme="minorHAnsi"/>
        </w:rPr>
        <w:t>Les abondements versés par l'entreprise en complément des versements des adhérents ne sont pas soumis aux cotisations sociales. Il en va autant pour les salariés que pour les dirigeants et chefs d’entreprises qui relèvent du régime de protection sociale des non-salariés.</w:t>
      </w:r>
    </w:p>
    <w:p w14:paraId="01C4C0BF" w14:textId="77777777" w:rsidR="00D25DD4" w:rsidRPr="00A847B7" w:rsidRDefault="00D25DD4" w:rsidP="00D25DD4">
      <w:pPr>
        <w:spacing w:beforeAutospacing="1" w:after="100" w:afterAutospacing="1"/>
        <w:rPr>
          <w:rFonts w:cstheme="minorHAnsi"/>
        </w:rPr>
      </w:pPr>
      <w:r w:rsidRPr="00A847B7">
        <w:rPr>
          <w:rFonts w:cstheme="minorHAnsi"/>
        </w:rPr>
        <w:t>Les exonérations de cotisations de sécurité sociale sont conditionnées au respect des dispositions régissant le plan d’épargne entreprise, et notamment :</w:t>
      </w:r>
    </w:p>
    <w:p w14:paraId="74230D64" w14:textId="5E775580" w:rsidR="00D25DD4" w:rsidRPr="00A847B7" w:rsidRDefault="00D25DD4" w:rsidP="00EE0687">
      <w:pPr>
        <w:pStyle w:val="Paragraphedeliste"/>
        <w:numPr>
          <w:ilvl w:val="0"/>
          <w:numId w:val="59"/>
        </w:numPr>
        <w:spacing w:beforeAutospacing="1" w:after="100" w:afterAutospacing="1"/>
        <w:rPr>
          <w:rFonts w:cstheme="minorHAnsi"/>
        </w:rPr>
      </w:pPr>
      <w:r w:rsidRPr="00A847B7">
        <w:rPr>
          <w:rFonts w:cstheme="minorHAnsi"/>
        </w:rPr>
        <w:t xml:space="preserve">le dépôt du règlement via </w:t>
      </w:r>
      <w:proofErr w:type="spellStart"/>
      <w:r w:rsidRPr="00A847B7">
        <w:rPr>
          <w:rFonts w:cstheme="minorHAnsi"/>
        </w:rPr>
        <w:t>TéléAccords</w:t>
      </w:r>
      <w:proofErr w:type="spellEnd"/>
      <w:r w:rsidRPr="00A847B7">
        <w:rPr>
          <w:rFonts w:cstheme="minorHAnsi"/>
        </w:rPr>
        <w:t xml:space="preserve"> : l'abondement versé avant le dépôt du règlement ne bénéficie pas des exonérations sociales ;</w:t>
      </w:r>
    </w:p>
    <w:p w14:paraId="7FC5A366" w14:textId="21795C6C" w:rsidR="00D25DD4" w:rsidRPr="00A847B7" w:rsidRDefault="00D25DD4" w:rsidP="00EE0687">
      <w:pPr>
        <w:pStyle w:val="Paragraphedeliste"/>
        <w:numPr>
          <w:ilvl w:val="0"/>
          <w:numId w:val="59"/>
        </w:numPr>
        <w:spacing w:beforeAutospacing="1" w:after="100" w:afterAutospacing="1"/>
        <w:rPr>
          <w:rFonts w:cstheme="minorHAnsi"/>
        </w:rPr>
      </w:pPr>
      <w:r w:rsidRPr="00A847B7">
        <w:rPr>
          <w:rFonts w:cstheme="minorHAnsi"/>
        </w:rPr>
        <w:t>le respect du caractère collectif du plan mis en place : l'abondement est requalifié en salaire lorsque le caractère collectif du plan d'épargne d'entreprise n'est pas respecté (toutefois, dans l'hypothèse où la mise en œuvre de l'accord ou du règlement est contraire au caractère collectif, mais que ses termes sont réguliers, les abondements de l'employeur ne sont pas soumis aux cotisations sociales si le nombre de salariés exclu</w:t>
      </w:r>
      <w:r w:rsidR="003E25F4">
        <w:rPr>
          <w:rFonts w:cstheme="minorHAnsi"/>
        </w:rPr>
        <w:t>s</w:t>
      </w:r>
      <w:r w:rsidRPr="00A847B7">
        <w:rPr>
          <w:rFonts w:cstheme="minorHAnsi"/>
        </w:rPr>
        <w:t xml:space="preserve"> est très réduit – moins de 5 % des salariés – et s’il s'agit du premier contrôle révélant cette irrégularité et sous réserve que l’employeur soit de bonne foi) ;</w:t>
      </w:r>
    </w:p>
    <w:p w14:paraId="5C1A6A60" w14:textId="63096E18" w:rsidR="00D25DD4" w:rsidRPr="00A847B7" w:rsidRDefault="00D25DD4" w:rsidP="00EE0687">
      <w:pPr>
        <w:pStyle w:val="Paragraphedeliste"/>
        <w:numPr>
          <w:ilvl w:val="0"/>
          <w:numId w:val="59"/>
        </w:numPr>
        <w:spacing w:beforeAutospacing="1" w:after="100" w:afterAutospacing="1"/>
        <w:rPr>
          <w:rFonts w:cstheme="minorHAnsi"/>
        </w:rPr>
      </w:pPr>
      <w:r w:rsidRPr="00A847B7">
        <w:rPr>
          <w:rFonts w:cstheme="minorHAnsi"/>
        </w:rPr>
        <w:t>le respect des règles liées au plafonnement : la fraction excédentaire sera soumise aux cotisations sociales ;</w:t>
      </w:r>
    </w:p>
    <w:p w14:paraId="7C6FDB7C" w14:textId="30455257" w:rsidR="00D25DD4" w:rsidRPr="00A847B7" w:rsidRDefault="00D25DD4" w:rsidP="00EE0687">
      <w:pPr>
        <w:pStyle w:val="Paragraphedeliste"/>
        <w:numPr>
          <w:ilvl w:val="0"/>
          <w:numId w:val="59"/>
        </w:numPr>
        <w:spacing w:beforeAutospacing="1" w:after="100" w:afterAutospacing="1"/>
        <w:rPr>
          <w:rFonts w:cstheme="minorHAnsi"/>
        </w:rPr>
      </w:pPr>
      <w:r w:rsidRPr="00A847B7">
        <w:rPr>
          <w:rFonts w:cstheme="minorHAnsi"/>
        </w:rPr>
        <w:t>le principe de non-substitution au salaire de l'abondement : les sommes versées par l'employeur au PEE en violation de ce principe ne peuvent, en principe, pas bénéficier des exonérations de cotisations de sécurité sociale prévues ; mais l’assujettissement aux cotisations de sécurité sociale ne se fera qu’à hauteur de l'élément de rémunération supprimé ;</w:t>
      </w:r>
    </w:p>
    <w:p w14:paraId="6A44127D" w14:textId="0BA7D1AE" w:rsidR="00D25DD4" w:rsidRPr="00A847B7" w:rsidRDefault="00D25DD4" w:rsidP="00EE0687">
      <w:pPr>
        <w:pStyle w:val="Paragraphedeliste"/>
        <w:numPr>
          <w:ilvl w:val="0"/>
          <w:numId w:val="59"/>
        </w:numPr>
        <w:spacing w:beforeAutospacing="1" w:after="100" w:afterAutospacing="1"/>
        <w:rPr>
          <w:rFonts w:cstheme="minorHAnsi"/>
        </w:rPr>
      </w:pPr>
      <w:r w:rsidRPr="00A847B7">
        <w:rPr>
          <w:rFonts w:cstheme="minorHAnsi"/>
        </w:rPr>
        <w:t>l’indisponibilité des sommes.</w:t>
      </w:r>
    </w:p>
    <w:p w14:paraId="4C203263" w14:textId="1BED248A" w:rsidR="00A16310" w:rsidRPr="00A847B7" w:rsidRDefault="00D25DD4" w:rsidP="00D25DD4">
      <w:pPr>
        <w:spacing w:beforeAutospacing="1" w:after="100" w:afterAutospacing="1"/>
        <w:rPr>
          <w:rFonts w:cstheme="minorHAnsi"/>
        </w:rPr>
      </w:pPr>
      <w:r w:rsidRPr="00A847B7">
        <w:rPr>
          <w:rFonts w:cstheme="minorHAnsi"/>
        </w:rPr>
        <w:t>L'abondement est en principe soumis au forfait social au taux de droit commun de 20 %. Mais il en est exonéré dans les entreprises non assujetties à la participation, c’est-à-dire les entreprises de moins de 50 salariés. Et il est fixé au taux de 10 % si l'entreprise abonde la contribution</w:t>
      </w:r>
      <w:r w:rsidR="00F504B7" w:rsidRPr="00A847B7">
        <w:rPr>
          <w:rFonts w:cstheme="minorHAnsi"/>
        </w:rPr>
        <w:t xml:space="preserve"> volontaire</w:t>
      </w:r>
      <w:r w:rsidRPr="00A847B7">
        <w:rPr>
          <w:rFonts w:cstheme="minorHAnsi"/>
        </w:rPr>
        <w:t xml:space="preserve"> des bénéficiaires du plan </w:t>
      </w:r>
      <w:r w:rsidR="004B4ECC" w:rsidRPr="00A847B7">
        <w:rPr>
          <w:rFonts w:cstheme="minorHAnsi"/>
        </w:rPr>
        <w:t>pour</w:t>
      </w:r>
      <w:r w:rsidRPr="00A847B7">
        <w:rPr>
          <w:rFonts w:cstheme="minorHAnsi"/>
        </w:rPr>
        <w:t xml:space="preserve"> l'acquisition d'actions ou de certificats d'investissement émis par elle (ou par une entreprise incluse dans le même périmètre de consolidation).</w:t>
      </w:r>
    </w:p>
    <w:p w14:paraId="28744B5C" w14:textId="77777777" w:rsidR="00B87378" w:rsidRPr="00A847B7" w:rsidRDefault="00236956" w:rsidP="00D25DD4">
      <w:pPr>
        <w:spacing w:beforeAutospacing="1" w:after="100" w:afterAutospacing="1"/>
        <w:rPr>
          <w:rFonts w:cstheme="minorHAnsi"/>
        </w:rPr>
      </w:pPr>
      <w:r w:rsidRPr="00A847B7">
        <w:rPr>
          <w:rFonts w:cstheme="minorHAnsi"/>
        </w:rPr>
        <w:t>A titre dérogatoire, et pour les années 2021 et 2022, le forfait social au taux de 10 % ne s’appliquera p</w:t>
      </w:r>
      <w:r w:rsidR="00F504B7" w:rsidRPr="00A847B7">
        <w:rPr>
          <w:rFonts w:cstheme="minorHAnsi"/>
        </w:rPr>
        <w:t xml:space="preserve">as aux abondements complémentaires </w:t>
      </w:r>
      <w:r w:rsidR="001E329F" w:rsidRPr="00A847B7">
        <w:rPr>
          <w:rFonts w:cstheme="minorHAnsi"/>
        </w:rPr>
        <w:t>aux versements volontaires des salariés pour l’acquisition de titres de l’entreprise</w:t>
      </w:r>
      <w:r w:rsidR="00F504B7" w:rsidRPr="00A847B7">
        <w:rPr>
          <w:rFonts w:cstheme="minorHAnsi"/>
        </w:rPr>
        <w:t xml:space="preserve"> (ou </w:t>
      </w:r>
      <w:r w:rsidR="001E329F" w:rsidRPr="00A847B7">
        <w:rPr>
          <w:rFonts w:cstheme="minorHAnsi"/>
        </w:rPr>
        <w:t>d’</w:t>
      </w:r>
      <w:r w:rsidR="00F504B7" w:rsidRPr="00A847B7">
        <w:rPr>
          <w:rFonts w:cstheme="minorHAnsi"/>
        </w:rPr>
        <w:t>une entreprise incluse dans le même périmètre de consolidation).</w:t>
      </w:r>
    </w:p>
    <w:p w14:paraId="310B1B63" w14:textId="07C763B2" w:rsidR="00BE5F86" w:rsidRPr="00A847B7" w:rsidRDefault="00B87378" w:rsidP="00D25DD4">
      <w:pPr>
        <w:spacing w:beforeAutospacing="1" w:after="100" w:afterAutospacing="1"/>
        <w:rPr>
          <w:rFonts w:cstheme="minorHAnsi"/>
        </w:rPr>
      </w:pPr>
      <w:r w:rsidRPr="00A847B7">
        <w:rPr>
          <w:rFonts w:cstheme="minorHAnsi"/>
        </w:rPr>
        <w:t>En revanche, c</w:t>
      </w:r>
      <w:r w:rsidR="00EB1B59" w:rsidRPr="00A847B7">
        <w:rPr>
          <w:rFonts w:cstheme="minorHAnsi"/>
        </w:rPr>
        <w:t>e forfait social au taux de 10 % s’appliquera aux abondements unilatéraux de l’employeur pour l’achat de titre</w:t>
      </w:r>
      <w:r w:rsidR="005B5321" w:rsidRPr="00A847B7">
        <w:rPr>
          <w:rFonts w:cstheme="minorHAnsi"/>
        </w:rPr>
        <w:t>s</w:t>
      </w:r>
      <w:r w:rsidR="00EB1B59" w:rsidRPr="00A847B7">
        <w:rPr>
          <w:rFonts w:cstheme="minorHAnsi"/>
        </w:rPr>
        <w:t xml:space="preserve"> de l’entreprise </w:t>
      </w:r>
      <w:r w:rsidR="0098719D">
        <w:rPr>
          <w:rFonts w:cstheme="minorHAnsi"/>
        </w:rPr>
        <w:t xml:space="preserve">par </w:t>
      </w:r>
      <w:r w:rsidR="00EB1B59" w:rsidRPr="00A847B7">
        <w:rPr>
          <w:rFonts w:cstheme="minorHAnsi"/>
        </w:rPr>
        <w:t>elle-même (ou d’une entreprise incluse dans le même périmètre de consolidation).</w:t>
      </w:r>
    </w:p>
    <w:p w14:paraId="53AC1AD6" w14:textId="77777777" w:rsidR="00A16310" w:rsidRPr="00A847B7" w:rsidRDefault="00A16310" w:rsidP="00A16310">
      <w:pPr>
        <w:spacing w:beforeAutospacing="1" w:after="100" w:afterAutospacing="1"/>
        <w:rPr>
          <w:rFonts w:cstheme="minorHAnsi"/>
        </w:rPr>
      </w:pPr>
    </w:p>
    <w:p w14:paraId="67077626" w14:textId="705F240D" w:rsidR="00E65DD5" w:rsidRPr="00F048D5" w:rsidRDefault="00E65DD5" w:rsidP="00E65DD5">
      <w:pPr>
        <w:pStyle w:val="Titre3"/>
      </w:pPr>
      <w:bookmarkStart w:id="121" w:name="_Toc60781039"/>
      <w:r w:rsidRPr="00F048D5">
        <w:t xml:space="preserve">Slide </w:t>
      </w:r>
      <w:r w:rsidR="00EC7808">
        <w:t>79</w:t>
      </w:r>
      <w:r w:rsidRPr="00F048D5">
        <w:t> :</w:t>
      </w:r>
      <w:r>
        <w:t xml:space="preserve"> </w:t>
      </w:r>
      <w:r w:rsidRPr="00EB19CA">
        <w:t xml:space="preserve">Maintien du mode de calcul avantageux de la CSG / CRDS en cas de transfert </w:t>
      </w:r>
      <w:r>
        <w:t>des plans d’epargne retraite</w:t>
      </w:r>
      <w:bookmarkEnd w:id="121"/>
    </w:p>
    <w:p w14:paraId="244C8EE3" w14:textId="0F694F3C" w:rsidR="00E65DD5" w:rsidRDefault="00E65DD5" w:rsidP="001B1263">
      <w:pPr>
        <w:rPr>
          <w:rFonts w:cstheme="minorHAnsi"/>
        </w:rPr>
      </w:pPr>
      <w:r w:rsidRPr="00B654CB">
        <w:rPr>
          <w:rFonts w:cstheme="minorHAnsi"/>
          <w:u w:val="single"/>
        </w:rPr>
        <w:t>Source</w:t>
      </w:r>
      <w:r w:rsidRPr="00806409">
        <w:rPr>
          <w:rFonts w:cstheme="minorHAnsi"/>
        </w:rPr>
        <w:t xml:space="preserve"> : Loi de Financement de la sécurité sociale pour 2021, art</w:t>
      </w:r>
      <w:r w:rsidR="00F06A5F">
        <w:rPr>
          <w:rFonts w:cstheme="minorHAnsi"/>
        </w:rPr>
        <w:t>icle</w:t>
      </w:r>
      <w:r w:rsidRPr="00806409">
        <w:rPr>
          <w:rFonts w:cstheme="minorHAnsi"/>
        </w:rPr>
        <w:t xml:space="preserve"> </w:t>
      </w:r>
      <w:r>
        <w:rPr>
          <w:rFonts w:cstheme="minorHAnsi"/>
        </w:rPr>
        <w:t>21</w:t>
      </w:r>
    </w:p>
    <w:p w14:paraId="28125057" w14:textId="77777777" w:rsidR="00E65DD5" w:rsidRDefault="00E65DD5" w:rsidP="00E65DD5">
      <w:r>
        <w:lastRenderedPageBreak/>
        <w:t>Par principe, les produits de placement sont soumis aux prélèvements sociaux aux taux en vigueur à la date de leur encaissement (la date de dénouement)</w:t>
      </w:r>
    </w:p>
    <w:p w14:paraId="61A0E415" w14:textId="77777777" w:rsidR="00E65DD5" w:rsidRDefault="00E65DD5" w:rsidP="00E65DD5">
      <w:r>
        <w:t>Par exception, lors du dénouement du contrat, les sommes qui ont été versées dans un plan d’épargne pour la retraite collectif (Perco) avant le 1er janvier 2018 bénéficie du taux de CSG / CRDS en vigueur au moment du placement des sommes.</w:t>
      </w:r>
    </w:p>
    <w:p w14:paraId="745AE898" w14:textId="77777777" w:rsidR="00E65DD5" w:rsidRDefault="00E65DD5" w:rsidP="00E65DD5">
      <w:r>
        <w:t xml:space="preserve">Ce dispositif appelé « taux historique » s’appliquera : </w:t>
      </w:r>
    </w:p>
    <w:p w14:paraId="5E9A0FCB" w14:textId="77777777" w:rsidR="00E65DD5" w:rsidRDefault="00E65DD5" w:rsidP="00EE0687">
      <w:pPr>
        <w:pStyle w:val="Paragraphedeliste"/>
        <w:numPr>
          <w:ilvl w:val="0"/>
          <w:numId w:val="300"/>
        </w:numPr>
      </w:pPr>
      <w:r>
        <w:t>en cas de transfert avant le 1er janvier 2023</w:t>
      </w:r>
      <w:r w:rsidRPr="00BB2950">
        <w:t xml:space="preserve"> </w:t>
      </w:r>
      <w:r>
        <w:t>vers un plan d’épargne retraite d’entreprise collectif (</w:t>
      </w:r>
      <w:proofErr w:type="spellStart"/>
      <w:r>
        <w:t>Pereco</w:t>
      </w:r>
      <w:proofErr w:type="spellEnd"/>
      <w:r>
        <w:t>) des droits inscrits avant le 1</w:t>
      </w:r>
      <w:r w:rsidRPr="00DB40BF">
        <w:rPr>
          <w:vertAlign w:val="superscript"/>
        </w:rPr>
        <w:t>er</w:t>
      </w:r>
      <w:r>
        <w:t xml:space="preserve"> janvier 2018 dans un plan d’épargne pour la retraite collectif (Perco) ;</w:t>
      </w:r>
    </w:p>
    <w:p w14:paraId="575CD342" w14:textId="77777777" w:rsidR="00E65DD5" w:rsidRDefault="00E65DD5" w:rsidP="00EE0687">
      <w:pPr>
        <w:pStyle w:val="Paragraphedeliste"/>
        <w:numPr>
          <w:ilvl w:val="0"/>
          <w:numId w:val="300"/>
        </w:numPr>
      </w:pPr>
      <w:r>
        <w:t xml:space="preserve">ou en cas de transformation avant cette même date d’un Perco en </w:t>
      </w:r>
      <w:proofErr w:type="spellStart"/>
      <w:r>
        <w:t>Pereco</w:t>
      </w:r>
      <w:proofErr w:type="spellEnd"/>
      <w:r>
        <w:t xml:space="preserve"> pour les mêmes sommes. </w:t>
      </w:r>
    </w:p>
    <w:p w14:paraId="1F217620" w14:textId="77777777" w:rsidR="00E65DD5" w:rsidRDefault="00E65DD5" w:rsidP="00E65DD5">
      <w:r>
        <w:t>Cette règle s’applique pour la fraction de ces revenus acquise ou constatée à raison des sommes versées avant le 1</w:t>
      </w:r>
      <w:r w:rsidRPr="00DB40BF">
        <w:rPr>
          <w:vertAlign w:val="superscript"/>
        </w:rPr>
        <w:t>er</w:t>
      </w:r>
      <w:r>
        <w:t xml:space="preserve"> janvier 2018 jusqu’à la date du transfert ou de la transformation. </w:t>
      </w:r>
    </w:p>
    <w:p w14:paraId="61BD79B9" w14:textId="77777777" w:rsidR="00E65DD5" w:rsidRDefault="00E65DD5" w:rsidP="00E65DD5">
      <w:r>
        <w:t>Le gestionnaire du contrat doit impérativement consigner la fraction de revenus acquise ou constatée avant la date du transfert ou de la transformation, ainsi que les sommes versées auxquelles elles se rattachent, les années de leur constatation et les montants des prélèvements sociaux sur les revenus du capital qui s’y attachent. En cas de changement, c</w:t>
      </w:r>
      <w:r w:rsidRPr="00FA46E3">
        <w:t>es informations doivent être communiquée</w:t>
      </w:r>
      <w:r>
        <w:t>s par l’assureur ou le gestionnaire d’origine à l’assureur ou le gestionnaire destinataire.</w:t>
      </w:r>
    </w:p>
    <w:p w14:paraId="40D77DC7" w14:textId="77777777" w:rsidR="00E65DD5" w:rsidRPr="00F048D5" w:rsidRDefault="00E65DD5" w:rsidP="00E65DD5"/>
    <w:p w14:paraId="26010B3E" w14:textId="2EBBE0E8" w:rsidR="00D62F8C" w:rsidRPr="00F048D5" w:rsidRDefault="00D62F8C" w:rsidP="00D62F8C">
      <w:pPr>
        <w:pStyle w:val="Titre3"/>
      </w:pPr>
      <w:bookmarkStart w:id="122" w:name="_Toc60781040"/>
      <w:r w:rsidRPr="00F048D5">
        <w:t xml:space="preserve">Slide </w:t>
      </w:r>
      <w:r w:rsidR="0094100C">
        <w:t>80</w:t>
      </w:r>
      <w:r w:rsidRPr="00F048D5">
        <w:t xml:space="preserve"> : </w:t>
      </w:r>
      <w:r>
        <w:t>Accidents du travail</w:t>
      </w:r>
      <w:bookmarkEnd w:id="122"/>
    </w:p>
    <w:p w14:paraId="11191C19" w14:textId="2CE5D7A3" w:rsidR="00D62F8C" w:rsidRPr="00F048D5" w:rsidRDefault="001B1263" w:rsidP="00D62F8C">
      <w:pPr>
        <w:rPr>
          <w:u w:val="single"/>
        </w:rPr>
      </w:pPr>
      <w:r w:rsidRPr="004F587E">
        <w:rPr>
          <w:u w:val="single"/>
        </w:rPr>
        <w:t xml:space="preserve">Source </w:t>
      </w:r>
      <w:r w:rsidRPr="00A847B7">
        <w:t>:</w:t>
      </w:r>
      <w:r w:rsidR="00D62F8C" w:rsidRPr="00F048D5">
        <w:t xml:space="preserve"> Loi de Financement de la sécurité sociale pour 2021</w:t>
      </w:r>
      <w:r w:rsidR="00D62F8C">
        <w:t>, art</w:t>
      </w:r>
      <w:r w:rsidR="00F06A5F">
        <w:t>icle</w:t>
      </w:r>
      <w:r w:rsidR="00412BD0">
        <w:t xml:space="preserve"> </w:t>
      </w:r>
      <w:r w:rsidR="00D62F8C">
        <w:t>100</w:t>
      </w:r>
    </w:p>
    <w:p w14:paraId="0B57A501" w14:textId="77777777" w:rsidR="00D62F8C" w:rsidRPr="00D27F76" w:rsidRDefault="00D62F8C" w:rsidP="00EE0687">
      <w:pPr>
        <w:pStyle w:val="Paragraphedeliste"/>
        <w:numPr>
          <w:ilvl w:val="0"/>
          <w:numId w:val="246"/>
        </w:numPr>
        <w:spacing w:beforeAutospacing="1" w:after="100" w:afterAutospacing="1"/>
        <w:rPr>
          <w:rFonts w:cstheme="minorHAnsi"/>
          <w:b/>
          <w:bCs/>
          <w:i/>
          <w:iCs/>
          <w:u w:val="single"/>
        </w:rPr>
      </w:pPr>
      <w:r w:rsidRPr="00D27F76">
        <w:rPr>
          <w:rFonts w:cstheme="minorHAnsi"/>
          <w:b/>
          <w:bCs/>
          <w:i/>
          <w:iCs/>
          <w:u w:val="single"/>
        </w:rPr>
        <w:t>Registre des accidents bénins</w:t>
      </w:r>
    </w:p>
    <w:p w14:paraId="3C61DA80" w14:textId="77777777" w:rsidR="00D62F8C" w:rsidRDefault="00D62F8C" w:rsidP="00D62F8C">
      <w:pPr>
        <w:spacing w:beforeAutospacing="1" w:after="100" w:afterAutospacing="1"/>
        <w:rPr>
          <w:rFonts w:cstheme="minorHAnsi"/>
        </w:rPr>
      </w:pPr>
      <w:r w:rsidRPr="009916F9">
        <w:rPr>
          <w:rFonts w:cstheme="minorHAnsi"/>
        </w:rPr>
        <w:t>Actuellement, la caisse (MSA ou Carsat) peut autoriser un employeur à remplacer la déclaration des accidents n'entraînant ni arrêt de travail ni soins médicaux par une inscription sur un registre ouvert à cet effet.</w:t>
      </w:r>
    </w:p>
    <w:p w14:paraId="110830C0" w14:textId="77777777" w:rsidR="00D62F8C" w:rsidRDefault="00D62F8C" w:rsidP="00D62F8C">
      <w:pPr>
        <w:spacing w:beforeAutospacing="1" w:after="100" w:afterAutospacing="1"/>
        <w:rPr>
          <w:rFonts w:cstheme="minorHAnsi"/>
        </w:rPr>
      </w:pPr>
      <w:r>
        <w:rPr>
          <w:rFonts w:cstheme="minorHAnsi"/>
        </w:rPr>
        <w:t>Actuellement, l’autorisation de tenir un registre d’accidents bénins est accordée sur demande de l’employeur quand il remplit notamment les conditions suivantes :</w:t>
      </w:r>
    </w:p>
    <w:p w14:paraId="0242FDD6" w14:textId="77777777" w:rsidR="00D62F8C" w:rsidRPr="00B21071" w:rsidRDefault="00D62F8C" w:rsidP="00EE0687">
      <w:pPr>
        <w:pStyle w:val="Paragraphedeliste"/>
        <w:numPr>
          <w:ilvl w:val="0"/>
          <w:numId w:val="245"/>
        </w:numPr>
        <w:spacing w:beforeAutospacing="1" w:after="100" w:afterAutospacing="1"/>
        <w:rPr>
          <w:rFonts w:cstheme="minorHAnsi"/>
        </w:rPr>
      </w:pPr>
      <w:r w:rsidRPr="00B21071">
        <w:rPr>
          <w:rFonts w:cstheme="minorHAnsi"/>
        </w:rPr>
        <w:t>présence permanente d'un médecin, ou d'un pharmacien, ou d'un infirmier diplômé d'Etat, ou d'une personne chargée d'une mission d'hygiène et de sécurité dans l'entreprise détentrice d'un diplôme national de secouriste complété par le diplôme de sauveteur secouriste du travail délivré par l'Institut national de recherche et de sécurité ou les caisses d'assurance retraite et de la santé au travail</w:t>
      </w:r>
      <w:r>
        <w:rPr>
          <w:rFonts w:cstheme="minorHAnsi"/>
        </w:rPr>
        <w:t> </w:t>
      </w:r>
      <w:r w:rsidRPr="00B21071">
        <w:rPr>
          <w:rFonts w:cstheme="minorHAnsi"/>
        </w:rPr>
        <w:t>;</w:t>
      </w:r>
    </w:p>
    <w:p w14:paraId="5F10A42D" w14:textId="77777777" w:rsidR="00D62F8C" w:rsidRPr="00A96E69" w:rsidRDefault="00D62F8C" w:rsidP="00EE0687">
      <w:pPr>
        <w:pStyle w:val="Paragraphedeliste"/>
        <w:numPr>
          <w:ilvl w:val="0"/>
          <w:numId w:val="245"/>
        </w:numPr>
        <w:spacing w:beforeAutospacing="1" w:after="100" w:afterAutospacing="1"/>
        <w:rPr>
          <w:rFonts w:cstheme="minorHAnsi"/>
        </w:rPr>
      </w:pPr>
      <w:r w:rsidRPr="00A96E69">
        <w:rPr>
          <w:rFonts w:cstheme="minorHAnsi"/>
        </w:rPr>
        <w:t>existence d'un poste de secours d'urgence.</w:t>
      </w:r>
    </w:p>
    <w:p w14:paraId="1C773D5A" w14:textId="77777777" w:rsidR="00D62F8C" w:rsidRPr="009916F9" w:rsidRDefault="00D62F8C" w:rsidP="00D62F8C">
      <w:pPr>
        <w:spacing w:beforeAutospacing="1" w:after="100" w:afterAutospacing="1"/>
        <w:rPr>
          <w:rFonts w:cstheme="minorHAnsi"/>
        </w:rPr>
      </w:pPr>
      <w:r>
        <w:rPr>
          <w:rFonts w:cstheme="minorHAnsi"/>
        </w:rPr>
        <w:t>Il est prévu que l’employeur puisse s’affranchir de l’autorisation préalable de la Carsat ou de la MSA : u</w:t>
      </w:r>
      <w:r w:rsidRPr="009916F9">
        <w:rPr>
          <w:rFonts w:cstheme="minorHAnsi"/>
        </w:rPr>
        <w:t xml:space="preserve">n décret fixera les conditions pour </w:t>
      </w:r>
      <w:r>
        <w:rPr>
          <w:rFonts w:cstheme="minorHAnsi"/>
        </w:rPr>
        <w:t xml:space="preserve">lui </w:t>
      </w:r>
      <w:r w:rsidRPr="009916F9">
        <w:rPr>
          <w:rFonts w:cstheme="minorHAnsi"/>
        </w:rPr>
        <w:t>permettre de remplacer la déclaration d'accident pas une inscription sur le registre des accidents bénins.</w:t>
      </w:r>
    </w:p>
    <w:p w14:paraId="25795880" w14:textId="77777777" w:rsidR="00D62F8C" w:rsidRPr="009916F9" w:rsidRDefault="00D62F8C" w:rsidP="00D62F8C">
      <w:pPr>
        <w:spacing w:beforeAutospacing="1" w:after="100" w:afterAutospacing="1"/>
        <w:rPr>
          <w:rFonts w:cstheme="minorHAnsi"/>
        </w:rPr>
      </w:pPr>
      <w:r>
        <w:rPr>
          <w:rFonts w:cstheme="minorHAnsi"/>
        </w:rPr>
        <w:t>Dès lors qu’il procède à ce remplacement, l</w:t>
      </w:r>
      <w:r w:rsidRPr="009916F9">
        <w:rPr>
          <w:rFonts w:cstheme="minorHAnsi"/>
        </w:rPr>
        <w:t>'employeur doit en informer le CSE.</w:t>
      </w:r>
    </w:p>
    <w:p w14:paraId="3B44DFD2" w14:textId="77777777" w:rsidR="00D62F8C" w:rsidRPr="009916F9" w:rsidRDefault="00D62F8C" w:rsidP="00D62F8C">
      <w:pPr>
        <w:spacing w:beforeAutospacing="1" w:after="100" w:afterAutospacing="1"/>
        <w:rPr>
          <w:rFonts w:cstheme="minorHAnsi"/>
        </w:rPr>
      </w:pPr>
      <w:r w:rsidRPr="009916F9">
        <w:rPr>
          <w:rFonts w:cstheme="minorHAnsi"/>
        </w:rPr>
        <w:lastRenderedPageBreak/>
        <w:t>Ce registre est tenu à disposition des organismes chargés de la gestion des accidents du travail et des maladies professionnelles, ainsi que des ingénieurs conseils et contrôleurs de sécurité dûment habilités auprès des caisses d’assurance retraite et de la santé au travail.</w:t>
      </w:r>
    </w:p>
    <w:p w14:paraId="5C4B5367" w14:textId="77777777" w:rsidR="00D62F8C" w:rsidRPr="00FF69F1" w:rsidRDefault="00D62F8C" w:rsidP="00EE0687">
      <w:pPr>
        <w:pStyle w:val="Paragraphedeliste"/>
        <w:numPr>
          <w:ilvl w:val="0"/>
          <w:numId w:val="246"/>
        </w:numPr>
        <w:spacing w:beforeAutospacing="1" w:after="100" w:afterAutospacing="1"/>
        <w:rPr>
          <w:rFonts w:cstheme="minorHAnsi"/>
          <w:b/>
          <w:bCs/>
          <w:i/>
          <w:iCs/>
          <w:u w:val="single"/>
        </w:rPr>
      </w:pPr>
      <w:r w:rsidRPr="00FF69F1">
        <w:rPr>
          <w:rFonts w:cstheme="minorHAnsi"/>
          <w:b/>
          <w:bCs/>
          <w:i/>
          <w:iCs/>
          <w:u w:val="single"/>
        </w:rPr>
        <w:t>Prescription des arrêts de travail en cas d’accident du travail</w:t>
      </w:r>
    </w:p>
    <w:p w14:paraId="50CB87A2" w14:textId="77777777" w:rsidR="00D62F8C" w:rsidRDefault="00D62F8C" w:rsidP="00D62F8C">
      <w:pPr>
        <w:spacing w:beforeAutospacing="1" w:after="100" w:afterAutospacing="1"/>
        <w:rPr>
          <w:rFonts w:cstheme="minorHAnsi"/>
        </w:rPr>
      </w:pPr>
      <w:r w:rsidRPr="009916F9">
        <w:rPr>
          <w:rFonts w:cstheme="minorHAnsi"/>
        </w:rPr>
        <w:t xml:space="preserve">Actuellement, en cas d'accident du travail, le médecin établit un certificat médical </w:t>
      </w:r>
      <w:r>
        <w:rPr>
          <w:rFonts w:cstheme="minorHAnsi"/>
        </w:rPr>
        <w:t xml:space="preserve">spécifique dans lequel il </w:t>
      </w:r>
      <w:r w:rsidRPr="009916F9">
        <w:rPr>
          <w:rFonts w:cstheme="minorHAnsi"/>
        </w:rPr>
        <w:t>indiqu</w:t>
      </w:r>
      <w:r>
        <w:rPr>
          <w:rFonts w:cstheme="minorHAnsi"/>
        </w:rPr>
        <w:t>e</w:t>
      </w:r>
      <w:r w:rsidRPr="009916F9">
        <w:rPr>
          <w:rFonts w:cstheme="minorHAnsi"/>
        </w:rPr>
        <w:t xml:space="preserve"> l'état de la victime et les conséquences de l'accident ou les suites éventuelles, </w:t>
      </w:r>
      <w:r w:rsidRPr="00D37127">
        <w:rPr>
          <w:rFonts w:cstheme="minorHAnsi"/>
        </w:rPr>
        <w:t>en particulier la durée probable de l'incapacité de travail, si les conséquences ne sont pas exactement connues</w:t>
      </w:r>
      <w:r w:rsidRPr="009916F9">
        <w:rPr>
          <w:rFonts w:cstheme="minorHAnsi"/>
        </w:rPr>
        <w:t>.</w:t>
      </w:r>
    </w:p>
    <w:p w14:paraId="2B1F3D4D" w14:textId="77202D04" w:rsidR="00D62F8C" w:rsidRPr="009916F9" w:rsidRDefault="00D62F8C" w:rsidP="00D62F8C">
      <w:pPr>
        <w:spacing w:beforeAutospacing="1" w:after="100" w:afterAutospacing="1"/>
        <w:rPr>
          <w:rFonts w:cstheme="minorHAnsi"/>
        </w:rPr>
      </w:pPr>
      <w:r>
        <w:rPr>
          <w:rFonts w:cstheme="minorHAnsi"/>
        </w:rPr>
        <w:t>A compter du 1</w:t>
      </w:r>
      <w:r w:rsidRPr="00D37127">
        <w:rPr>
          <w:rFonts w:cstheme="minorHAnsi"/>
          <w:vertAlign w:val="superscript"/>
        </w:rPr>
        <w:t>er</w:t>
      </w:r>
      <w:r>
        <w:rPr>
          <w:rFonts w:cstheme="minorHAnsi"/>
        </w:rPr>
        <w:t xml:space="preserve"> novembre 2021, </w:t>
      </w:r>
      <w:r w:rsidR="00996189">
        <w:rPr>
          <w:rFonts w:cstheme="minorHAnsi"/>
        </w:rPr>
        <w:t>e</w:t>
      </w:r>
      <w:r w:rsidR="00996189" w:rsidRPr="009916F9">
        <w:rPr>
          <w:rFonts w:cstheme="minorHAnsi"/>
        </w:rPr>
        <w:t>n cas d'arrêt de travail</w:t>
      </w:r>
      <w:r w:rsidR="00996189">
        <w:rPr>
          <w:rFonts w:cstheme="minorHAnsi"/>
        </w:rPr>
        <w:t xml:space="preserve">, </w:t>
      </w:r>
      <w:r>
        <w:rPr>
          <w:rFonts w:cstheme="minorHAnsi"/>
        </w:rPr>
        <w:t>la Loi permettra</w:t>
      </w:r>
      <w:r w:rsidDel="00996189">
        <w:rPr>
          <w:rFonts w:cstheme="minorHAnsi"/>
        </w:rPr>
        <w:t xml:space="preserve"> </w:t>
      </w:r>
      <w:r>
        <w:rPr>
          <w:rFonts w:cstheme="minorHAnsi"/>
        </w:rPr>
        <w:t xml:space="preserve">au </w:t>
      </w:r>
      <w:r w:rsidRPr="009916F9">
        <w:rPr>
          <w:rFonts w:cstheme="minorHAnsi"/>
        </w:rPr>
        <w:t xml:space="preserve">médecin </w:t>
      </w:r>
      <w:r>
        <w:rPr>
          <w:rFonts w:cstheme="minorHAnsi"/>
        </w:rPr>
        <w:t xml:space="preserve">de </w:t>
      </w:r>
      <w:r w:rsidRPr="009916F9">
        <w:rPr>
          <w:rFonts w:cstheme="minorHAnsi"/>
        </w:rPr>
        <w:t>remettr</w:t>
      </w:r>
      <w:r>
        <w:rPr>
          <w:rFonts w:cstheme="minorHAnsi"/>
        </w:rPr>
        <w:t>e</w:t>
      </w:r>
      <w:r w:rsidRPr="009916F9">
        <w:rPr>
          <w:rFonts w:cstheme="minorHAnsi"/>
        </w:rPr>
        <w:t xml:space="preserve"> un avis d'arrêt de travail</w:t>
      </w:r>
      <w:r>
        <w:rPr>
          <w:rFonts w:cstheme="minorHAnsi"/>
        </w:rPr>
        <w:t xml:space="preserve">, </w:t>
      </w:r>
      <w:r w:rsidR="003B5703">
        <w:rPr>
          <w:rFonts w:cstheme="minorHAnsi"/>
        </w:rPr>
        <w:t xml:space="preserve">vraisemblablement </w:t>
      </w:r>
      <w:r>
        <w:rPr>
          <w:rFonts w:cstheme="minorHAnsi"/>
        </w:rPr>
        <w:t>sur le même modèle que l’arrêt de travail pour maladie « ordinaire »</w:t>
      </w:r>
      <w:r w:rsidRPr="009916F9">
        <w:rPr>
          <w:rFonts w:cstheme="minorHAnsi"/>
        </w:rPr>
        <w:t>.</w:t>
      </w:r>
    </w:p>
    <w:p w14:paraId="687F7894" w14:textId="5C7F4E21" w:rsidR="00D62F8C" w:rsidRDefault="00D62F8C" w:rsidP="00D62F8C"/>
    <w:p w14:paraId="240CD405" w14:textId="40279A00" w:rsidR="006C505F" w:rsidRPr="00F048D5" w:rsidRDefault="006C505F" w:rsidP="006C505F">
      <w:pPr>
        <w:pStyle w:val="Titre3"/>
      </w:pPr>
      <w:bookmarkStart w:id="123" w:name="_Toc60781041"/>
      <w:r w:rsidRPr="00F048D5">
        <w:t xml:space="preserve">Slide </w:t>
      </w:r>
      <w:r w:rsidR="00DE5F6F">
        <w:t>81</w:t>
      </w:r>
      <w:r w:rsidRPr="00F048D5">
        <w:t xml:space="preserve"> : </w:t>
      </w:r>
      <w:r w:rsidR="00554B26">
        <w:t>S</w:t>
      </w:r>
      <w:r w:rsidR="00D3722A">
        <w:t>écurisation du Plafond annuel de sécurité social</w:t>
      </w:r>
      <w:r w:rsidR="00F062E6">
        <w:t>e</w:t>
      </w:r>
      <w:bookmarkEnd w:id="123"/>
      <w:r w:rsidR="00D3722A">
        <w:t xml:space="preserve"> </w:t>
      </w:r>
    </w:p>
    <w:p w14:paraId="1B2E9989" w14:textId="286BEBB0" w:rsidR="006C505F" w:rsidRDefault="006C505F" w:rsidP="006C505F">
      <w:r w:rsidRPr="00B654CB">
        <w:rPr>
          <w:u w:val="single"/>
        </w:rPr>
        <w:t>Source</w:t>
      </w:r>
      <w:r w:rsidRPr="00327CBB">
        <w:t xml:space="preserve"> : Loi de Financement de la sécurité sociale pour 2021, art</w:t>
      </w:r>
      <w:r w:rsidR="00C200EF">
        <w:t>icle</w:t>
      </w:r>
      <w:r>
        <w:t xml:space="preserve"> 15</w:t>
      </w:r>
    </w:p>
    <w:p w14:paraId="7F753C0E" w14:textId="21DB9144" w:rsidR="0060747C" w:rsidRDefault="0060747C" w:rsidP="006C505F">
      <w:pPr>
        <w:rPr>
          <w:rFonts w:ascii="Calibri" w:eastAsia="Times New Roman" w:hAnsi="Calibri" w:cs="Times New Roman"/>
          <w:color w:val="000000"/>
          <w:lang w:eastAsia="fr-FR"/>
        </w:rPr>
      </w:pPr>
      <w:r w:rsidRPr="0060747C">
        <w:rPr>
          <w:rFonts w:ascii="Calibri" w:eastAsia="Times New Roman" w:hAnsi="Calibri" w:cs="Times New Roman"/>
          <w:color w:val="000000"/>
          <w:lang w:eastAsia="fr-FR"/>
        </w:rPr>
        <w:t>Le plafond de Sécurité sociale est le montant maximum des rémunérations à prendre en compte pour le calcul de certaines cotisations. Ce plafond est calculé de différente manière : mensuelle, trimestrielle, annuelle…</w:t>
      </w:r>
    </w:p>
    <w:p w14:paraId="65C4EED0" w14:textId="66DE7682" w:rsidR="006C505F" w:rsidRDefault="006C505F" w:rsidP="006C505F">
      <w:pPr>
        <w:rPr>
          <w:rFonts w:ascii="Calibri" w:eastAsia="Times New Roman" w:hAnsi="Calibri" w:cs="Times New Roman"/>
          <w:color w:val="000000"/>
          <w:lang w:eastAsia="fr-FR"/>
        </w:rPr>
      </w:pPr>
      <w:r>
        <w:rPr>
          <w:rFonts w:ascii="Calibri" w:eastAsia="Times New Roman" w:hAnsi="Calibri" w:cs="Times New Roman"/>
          <w:color w:val="000000"/>
          <w:lang w:eastAsia="fr-FR"/>
        </w:rPr>
        <w:t>Les modalités de calcul du montant du Plafond annuel de Sécurité social</w:t>
      </w:r>
      <w:r w:rsidR="00033F46">
        <w:rPr>
          <w:rFonts w:ascii="Calibri" w:eastAsia="Times New Roman" w:hAnsi="Calibri" w:cs="Times New Roman"/>
          <w:color w:val="000000"/>
          <w:lang w:eastAsia="fr-FR"/>
        </w:rPr>
        <w:t>e</w:t>
      </w:r>
      <w:r>
        <w:rPr>
          <w:rFonts w:ascii="Calibri" w:eastAsia="Times New Roman" w:hAnsi="Calibri" w:cs="Times New Roman"/>
          <w:color w:val="000000"/>
          <w:lang w:eastAsia="fr-FR"/>
        </w:rPr>
        <w:t xml:space="preserve"> (PASS) sont modifiées : </w:t>
      </w:r>
    </w:p>
    <w:p w14:paraId="4F0A9DCB" w14:textId="77777777" w:rsidR="006C505F" w:rsidRDefault="006C505F" w:rsidP="00EE0687">
      <w:pPr>
        <w:pStyle w:val="Paragraphedeliste"/>
        <w:numPr>
          <w:ilvl w:val="0"/>
          <w:numId w:val="256"/>
        </w:num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il doit être annuel ; </w:t>
      </w:r>
    </w:p>
    <w:p w14:paraId="655454BA" w14:textId="77777777" w:rsidR="006C505F" w:rsidRDefault="006C505F" w:rsidP="00EE0687">
      <w:pPr>
        <w:pStyle w:val="Paragraphedeliste"/>
        <w:numPr>
          <w:ilvl w:val="0"/>
          <w:numId w:val="256"/>
        </w:numPr>
        <w:rPr>
          <w:rFonts w:ascii="Calibri" w:eastAsia="Times New Roman" w:hAnsi="Calibri" w:cs="Times New Roman"/>
          <w:color w:val="000000"/>
          <w:lang w:eastAsia="fr-FR"/>
        </w:rPr>
      </w:pPr>
      <w:r>
        <w:rPr>
          <w:rFonts w:ascii="Calibri" w:eastAsia="Times New Roman" w:hAnsi="Calibri" w:cs="Times New Roman"/>
          <w:color w:val="000000"/>
          <w:lang w:eastAsia="fr-FR"/>
        </w:rPr>
        <w:t>il doit être est systématiquement revalorisé ;</w:t>
      </w:r>
    </w:p>
    <w:p w14:paraId="6F43578F" w14:textId="77777777" w:rsidR="006C505F" w:rsidRDefault="006C505F" w:rsidP="00EE0687">
      <w:pPr>
        <w:pStyle w:val="Paragraphedeliste"/>
        <w:numPr>
          <w:ilvl w:val="0"/>
          <w:numId w:val="256"/>
        </w:num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il ne peut pas être inférieur à celui de l’année précédente. </w:t>
      </w:r>
    </w:p>
    <w:p w14:paraId="0582E9AF" w14:textId="22EBDFBE" w:rsidR="006C505F" w:rsidRDefault="006C505F" w:rsidP="006C505F">
      <w:pPr>
        <w:rPr>
          <w:rFonts w:ascii="Calibri" w:eastAsia="Times New Roman" w:hAnsi="Calibri" w:cs="Times New Roman"/>
          <w:color w:val="000000"/>
          <w:lang w:eastAsia="fr-FR"/>
        </w:rPr>
      </w:pPr>
      <w:r>
        <w:rPr>
          <w:rFonts w:ascii="Calibri" w:eastAsia="Times New Roman" w:hAnsi="Calibri" w:cs="Times New Roman"/>
          <w:color w:val="000000"/>
          <w:lang w:eastAsia="fr-FR"/>
        </w:rPr>
        <w:t>Ces changements interviennent pour prévenir l’impact négatif de la crise sanitaire sur le montant du PASS, qui aurait dû baisser en raison de la diminution du salaire moyen par tête. Le PASS pourra donc être en principe mainten</w:t>
      </w:r>
      <w:r w:rsidR="004F5905">
        <w:rPr>
          <w:rFonts w:ascii="Calibri" w:eastAsia="Times New Roman" w:hAnsi="Calibri" w:cs="Times New Roman"/>
          <w:color w:val="000000"/>
          <w:lang w:eastAsia="fr-FR"/>
        </w:rPr>
        <w:t>u</w:t>
      </w:r>
      <w:r>
        <w:rPr>
          <w:rFonts w:ascii="Calibri" w:eastAsia="Times New Roman" w:hAnsi="Calibri" w:cs="Times New Roman"/>
          <w:color w:val="000000"/>
          <w:lang w:eastAsia="fr-FR"/>
        </w:rPr>
        <w:t xml:space="preserve"> à 41 136 € par an, sous réserve d’un arrêté à paraître. </w:t>
      </w:r>
    </w:p>
    <w:p w14:paraId="1AE5341D" w14:textId="5BDC4D09" w:rsidR="004A4DCE" w:rsidRDefault="004A4DCE" w:rsidP="00D62F8C"/>
    <w:p w14:paraId="7D41BC26" w14:textId="6ADFFDD4" w:rsidR="00D62F8C" w:rsidRPr="00F048D5" w:rsidRDefault="00D62F8C" w:rsidP="00D62F8C">
      <w:pPr>
        <w:pStyle w:val="Titre3"/>
      </w:pPr>
      <w:bookmarkStart w:id="124" w:name="_Toc60781042"/>
      <w:r w:rsidRPr="00F048D5">
        <w:t xml:space="preserve">Slide </w:t>
      </w:r>
      <w:r w:rsidR="00547549">
        <w:t>82</w:t>
      </w:r>
      <w:r w:rsidRPr="00F048D5">
        <w:t xml:space="preserve"> : </w:t>
      </w:r>
      <w:r>
        <w:t>Mesures diverses</w:t>
      </w:r>
      <w:bookmarkEnd w:id="124"/>
    </w:p>
    <w:p w14:paraId="5DDBFDB5" w14:textId="4559E066" w:rsidR="00D62F8C" w:rsidRDefault="001B1263" w:rsidP="00D62F8C">
      <w:r w:rsidRPr="004F587E">
        <w:rPr>
          <w:u w:val="single"/>
        </w:rPr>
        <w:t xml:space="preserve">Source </w:t>
      </w:r>
      <w:r w:rsidRPr="00A847B7">
        <w:t>:</w:t>
      </w:r>
      <w:r w:rsidR="00D62F8C" w:rsidRPr="00F048D5">
        <w:t xml:space="preserve"> Loi de Financement de la sécurité sociale pour 2021</w:t>
      </w:r>
      <w:r w:rsidR="00D62F8C">
        <w:t>, art</w:t>
      </w:r>
      <w:r w:rsidR="00C200EF">
        <w:t xml:space="preserve">icles </w:t>
      </w:r>
      <w:r w:rsidR="00B95750">
        <w:t xml:space="preserve">18, </w:t>
      </w:r>
      <w:r w:rsidR="00BA5CBB">
        <w:t>23</w:t>
      </w:r>
      <w:r w:rsidR="00B95750">
        <w:t xml:space="preserve">, </w:t>
      </w:r>
      <w:r w:rsidR="00D62F8C">
        <w:t>65, 76</w:t>
      </w:r>
    </w:p>
    <w:p w14:paraId="5BA0E4FD" w14:textId="77777777" w:rsidR="00D62F8C" w:rsidRPr="00DA1F0F" w:rsidRDefault="00D62F8C" w:rsidP="00EE0687">
      <w:pPr>
        <w:pStyle w:val="Paragraphedeliste"/>
        <w:numPr>
          <w:ilvl w:val="0"/>
          <w:numId w:val="244"/>
        </w:numPr>
        <w:rPr>
          <w:b/>
          <w:bCs/>
          <w:i/>
          <w:iCs/>
          <w:u w:val="single"/>
        </w:rPr>
      </w:pPr>
      <w:r>
        <w:rPr>
          <w:b/>
          <w:bCs/>
          <w:i/>
          <w:iCs/>
          <w:u w:val="single"/>
        </w:rPr>
        <w:t xml:space="preserve">Concernant les </w:t>
      </w:r>
      <w:r w:rsidRPr="00DA1F0F">
        <w:rPr>
          <w:b/>
          <w:bCs/>
          <w:i/>
          <w:iCs/>
          <w:u w:val="single"/>
        </w:rPr>
        <w:t>contrats responsables</w:t>
      </w:r>
    </w:p>
    <w:p w14:paraId="467DAEC1" w14:textId="18CB0214" w:rsidR="00D62F8C" w:rsidRDefault="00D62F8C" w:rsidP="00D62F8C">
      <w:r>
        <w:t xml:space="preserve">Pour rappel, </w:t>
      </w:r>
      <w:r w:rsidR="00BD7708">
        <w:t xml:space="preserve">pour </w:t>
      </w:r>
      <w:r w:rsidRPr="00576486">
        <w:t>bénéficier des exonérations fiscales et sociales</w:t>
      </w:r>
      <w:r>
        <w:t xml:space="preserve"> liées à la mise en place de la mutuelle dans l’entreprise</w:t>
      </w:r>
      <w:r w:rsidRPr="00576486">
        <w:t xml:space="preserve">, </w:t>
      </w:r>
      <w:r>
        <w:t xml:space="preserve">le </w:t>
      </w:r>
      <w:r w:rsidRPr="00576486">
        <w:t>contrat doit respecter le cahier des charges des contrats de santé dits « responsables », prévoyant un socle minimal de garanties et des plafonds de garanties applicables à certains soins (intégrant notamment le dispositif « 100 % santé » pour les frais d'optique, d'audition et dentaires).</w:t>
      </w:r>
    </w:p>
    <w:p w14:paraId="5EA5EAB8" w14:textId="6CA11AD2" w:rsidR="00D62F8C" w:rsidRDefault="00D62F8C" w:rsidP="00D62F8C">
      <w:r w:rsidRPr="00DA1F0F">
        <w:t xml:space="preserve">La pratique du tiers payant sera obligatoire dans </w:t>
      </w:r>
      <w:r>
        <w:t>c</w:t>
      </w:r>
      <w:r w:rsidRPr="00DA1F0F">
        <w:t xml:space="preserve">es </w:t>
      </w:r>
      <w:r>
        <w:t>« </w:t>
      </w:r>
      <w:r w:rsidRPr="00DA1F0F">
        <w:t>contrats responsables</w:t>
      </w:r>
      <w:r>
        <w:t> »</w:t>
      </w:r>
      <w:r w:rsidRPr="00DA1F0F">
        <w:t xml:space="preserve"> sur les prestations du </w:t>
      </w:r>
      <w:r>
        <w:t xml:space="preserve">dispositif </w:t>
      </w:r>
      <w:r w:rsidRPr="00DA1F0F">
        <w:t>100 % santé</w:t>
      </w:r>
      <w:r>
        <w:t>, pour les c</w:t>
      </w:r>
      <w:r w:rsidRPr="00DA1F0F">
        <w:t>ontrats conclus ou renouvelés à compter du 1</w:t>
      </w:r>
      <w:r w:rsidRPr="00DA1F0F">
        <w:rPr>
          <w:vertAlign w:val="superscript"/>
        </w:rPr>
        <w:t>er</w:t>
      </w:r>
      <w:r w:rsidRPr="00DA1F0F">
        <w:t xml:space="preserve"> janvier 2022</w:t>
      </w:r>
      <w:r>
        <w:t>.</w:t>
      </w:r>
    </w:p>
    <w:p w14:paraId="1E2A6F0F" w14:textId="5FACB1AF" w:rsidR="00D62F8C" w:rsidRPr="00DB21FD" w:rsidRDefault="00D62F8C" w:rsidP="00EE0687">
      <w:pPr>
        <w:pStyle w:val="Paragraphedeliste"/>
        <w:numPr>
          <w:ilvl w:val="0"/>
          <w:numId w:val="244"/>
        </w:numPr>
        <w:rPr>
          <w:b/>
          <w:bCs/>
          <w:i/>
          <w:iCs/>
          <w:u w:val="single"/>
        </w:rPr>
      </w:pPr>
      <w:r w:rsidRPr="00DB21FD">
        <w:rPr>
          <w:b/>
          <w:bCs/>
          <w:i/>
          <w:iCs/>
          <w:u w:val="single"/>
        </w:rPr>
        <w:t>Adaptation des prises en charge en cas de risque sanitaire grave et exceptionnel</w:t>
      </w:r>
    </w:p>
    <w:p w14:paraId="5FB494C4" w14:textId="77777777" w:rsidR="00FD4E68" w:rsidRDefault="00D62F8C" w:rsidP="00813BC0">
      <w:r>
        <w:t xml:space="preserve">En cas de risque sanitaire grave et exceptionnel, notamment d’épidémie, </w:t>
      </w:r>
      <w:r w:rsidR="001B22EA">
        <w:t xml:space="preserve">la Loi permet </w:t>
      </w:r>
      <w:r w:rsidR="0026298A">
        <w:t>de prévoir des règles dérogatoires</w:t>
      </w:r>
      <w:r w:rsidR="006072E1">
        <w:t xml:space="preserve"> notamment </w:t>
      </w:r>
      <w:r w:rsidR="0026298A">
        <w:t xml:space="preserve">à </w:t>
      </w:r>
      <w:r w:rsidR="006072E1">
        <w:t>l’indemnisation des arrêts maladie</w:t>
      </w:r>
      <w:r w:rsidR="00F028EF">
        <w:t>.</w:t>
      </w:r>
    </w:p>
    <w:p w14:paraId="1130B7BB" w14:textId="3C2E63EA" w:rsidR="00AA597C" w:rsidRDefault="00FD4E68" w:rsidP="00AA597C">
      <w:r>
        <w:lastRenderedPageBreak/>
        <w:t xml:space="preserve">Ainsi, par exemple, </w:t>
      </w:r>
      <w:r w:rsidR="00AA597C">
        <w:t xml:space="preserve">à titre dérogatoire et temporaire, pour faire face à l’épidémie de covid-19, l'employeur a été tenu de verser l’indemnité complémentaire aux indemnités journalières de sécurité sociale aux salariés (y compris travailleurs à domicile, saisonniers, intermittents et intérimaires), </w:t>
      </w:r>
      <w:r w:rsidR="00C52AE7">
        <w:t xml:space="preserve">sans </w:t>
      </w:r>
      <w:r w:rsidR="008B5FB8">
        <w:t xml:space="preserve">avoir à respecter les conditions habituelles ouvrant droit </w:t>
      </w:r>
      <w:r w:rsidR="003C2D51">
        <w:t>à cette indemnisation complémentaire, à savoir sans </w:t>
      </w:r>
      <w:r w:rsidR="00AA597C">
        <w:t>:</w:t>
      </w:r>
    </w:p>
    <w:p w14:paraId="02D55C0A" w14:textId="61FD0B2D" w:rsidR="00AA597C" w:rsidRDefault="00AA597C" w:rsidP="00EE0687">
      <w:pPr>
        <w:pStyle w:val="Paragraphedeliste"/>
        <w:numPr>
          <w:ilvl w:val="0"/>
          <w:numId w:val="301"/>
        </w:numPr>
      </w:pPr>
      <w:r>
        <w:t>condition d’ancienneté,</w:t>
      </w:r>
    </w:p>
    <w:p w14:paraId="4E388AF4" w14:textId="1D9D8EF7" w:rsidR="00AA597C" w:rsidRDefault="00AA597C" w:rsidP="00EE0687">
      <w:pPr>
        <w:pStyle w:val="Paragraphedeliste"/>
        <w:numPr>
          <w:ilvl w:val="0"/>
          <w:numId w:val="301"/>
        </w:numPr>
      </w:pPr>
      <w:r>
        <w:t>qu</w:t>
      </w:r>
      <w:r w:rsidR="003C2D51">
        <w:t>e le salarié</w:t>
      </w:r>
      <w:r>
        <w:t xml:space="preserve"> ait à justifier dans les 48 heures de son arrêt de travail,</w:t>
      </w:r>
    </w:p>
    <w:p w14:paraId="73C980AF" w14:textId="64187531" w:rsidR="00D62F8C" w:rsidRDefault="00AA597C" w:rsidP="00EE0687">
      <w:pPr>
        <w:pStyle w:val="Paragraphedeliste"/>
        <w:numPr>
          <w:ilvl w:val="0"/>
          <w:numId w:val="301"/>
        </w:numPr>
      </w:pPr>
      <w:r>
        <w:t>condition de soins</w:t>
      </w:r>
      <w:r w:rsidR="00D50EA9">
        <w:t>.</w:t>
      </w:r>
    </w:p>
    <w:p w14:paraId="145AB895" w14:textId="65835F24" w:rsidR="00D62F8C" w:rsidRDefault="00064971" w:rsidP="00D62F8C">
      <w:r>
        <w:t>Plus généralement, l</w:t>
      </w:r>
      <w:r w:rsidR="00A65B25">
        <w:t>a Loi de Financement de la Sécurité sociale pour 202</w:t>
      </w:r>
      <w:r w:rsidR="00412BD0">
        <w:t>1</w:t>
      </w:r>
      <w:r w:rsidR="00A65B25">
        <w:t xml:space="preserve"> permet ainsi à</w:t>
      </w:r>
      <w:r w:rsidR="00D62F8C">
        <w:t xml:space="preserve"> un Décret</w:t>
      </w:r>
      <w:r w:rsidR="00D62F8C" w:rsidDel="00A65B25">
        <w:t xml:space="preserve"> </w:t>
      </w:r>
      <w:r w:rsidR="00A65B25">
        <w:t>de</w:t>
      </w:r>
      <w:r w:rsidR="00D62F8C">
        <w:t xml:space="preserve"> prévoir, lorsque la protection de la santé publique le justifie, en cas de risque sanitaire grave et exceptionnel, des dérogations en matière d’indemnité complémentaire de l’employeur aux indemnités journalières de Sécurité sociale (comme cela a pu être mis en œuvre dans le cadre de l’épidémie de covid-19), pour une durée limitée qui ne pourra pas excéder un an.</w:t>
      </w:r>
    </w:p>
    <w:p w14:paraId="7767DB1B" w14:textId="77777777" w:rsidR="00D62F8C" w:rsidRDefault="00D62F8C" w:rsidP="00D62F8C">
      <w:r>
        <w:t>Ce Décret fixera les conditions et limites des dérogations qu’il prévoira et qui peuvent porter sur :</w:t>
      </w:r>
    </w:p>
    <w:p w14:paraId="664D96BD" w14:textId="77777777" w:rsidR="00D62F8C" w:rsidRDefault="00D62F8C" w:rsidP="00EE0687">
      <w:pPr>
        <w:pStyle w:val="Paragraphedeliste"/>
        <w:numPr>
          <w:ilvl w:val="0"/>
          <w:numId w:val="245"/>
        </w:numPr>
      </w:pPr>
      <w:r>
        <w:t>la condition d’ancienneté pour bénéficier de l’indemnisation complémentaire de l’employeur ;</w:t>
      </w:r>
    </w:p>
    <w:p w14:paraId="499CBB48" w14:textId="77777777" w:rsidR="00D62F8C" w:rsidRDefault="00D62F8C" w:rsidP="00EE0687">
      <w:pPr>
        <w:pStyle w:val="Paragraphedeliste"/>
        <w:numPr>
          <w:ilvl w:val="0"/>
          <w:numId w:val="245"/>
        </w:numPr>
      </w:pPr>
      <w:r>
        <w:t>le motif d’absence au travail justifiant le bénéfice de cette indemnisation complémentaire (concrètement, cela pourrait permettre aux personnes en isolement ou en quarantaine de bénéficier de l’indemnisation complémentaire de l’employeur) ;</w:t>
      </w:r>
    </w:p>
    <w:p w14:paraId="1CC9A535" w14:textId="77777777" w:rsidR="00D62F8C" w:rsidRDefault="00D62F8C" w:rsidP="00EE0687">
      <w:pPr>
        <w:pStyle w:val="Paragraphedeliste"/>
        <w:numPr>
          <w:ilvl w:val="0"/>
          <w:numId w:val="245"/>
        </w:numPr>
      </w:pPr>
      <w:r>
        <w:t>les conditions justifiant le versement de l’indemnisation complémentaire ;</w:t>
      </w:r>
    </w:p>
    <w:p w14:paraId="7ED392E1" w14:textId="77777777" w:rsidR="00D62F8C" w:rsidRDefault="00D62F8C" w:rsidP="00EE0687">
      <w:pPr>
        <w:pStyle w:val="Paragraphedeliste"/>
        <w:numPr>
          <w:ilvl w:val="0"/>
          <w:numId w:val="245"/>
        </w:numPr>
      </w:pPr>
      <w:r>
        <w:t xml:space="preserve">l’exclusion des catégories de salariés (en principe, les </w:t>
      </w:r>
      <w:r w:rsidRPr="006F256A">
        <w:t xml:space="preserve">salariés travaillant à domicile, </w:t>
      </w:r>
      <w:r>
        <w:t>les</w:t>
      </w:r>
      <w:r w:rsidRPr="006F256A">
        <w:t xml:space="preserve"> salariés saisonniers, </w:t>
      </w:r>
      <w:r>
        <w:t xml:space="preserve">les </w:t>
      </w:r>
      <w:r w:rsidRPr="006F256A">
        <w:t>salariés intermittents et salariés temporaires</w:t>
      </w:r>
      <w:r>
        <w:t>) ;</w:t>
      </w:r>
    </w:p>
    <w:p w14:paraId="15B6BD86" w14:textId="77777777" w:rsidR="00D62F8C" w:rsidRDefault="00D62F8C" w:rsidP="00EE0687">
      <w:pPr>
        <w:pStyle w:val="Paragraphedeliste"/>
        <w:numPr>
          <w:ilvl w:val="0"/>
          <w:numId w:val="245"/>
        </w:numPr>
      </w:pPr>
      <w:r>
        <w:t>les taux de l’indemnité complémentaire et les délais y afférant ;</w:t>
      </w:r>
    </w:p>
    <w:p w14:paraId="1E9173DB" w14:textId="77777777" w:rsidR="00D62F8C" w:rsidRDefault="00D62F8C" w:rsidP="00EE0687">
      <w:pPr>
        <w:pStyle w:val="Paragraphedeliste"/>
        <w:numPr>
          <w:ilvl w:val="0"/>
          <w:numId w:val="245"/>
        </w:numPr>
      </w:pPr>
      <w:r>
        <w:t>les modalités de calcul de l’indemnité complémentaire.</w:t>
      </w:r>
    </w:p>
    <w:p w14:paraId="4D16588C" w14:textId="3875643C" w:rsidR="00D62F8C" w:rsidRDefault="00195175" w:rsidP="00D62F8C">
      <w:r>
        <w:t>C</w:t>
      </w:r>
      <w:r w:rsidR="00D62F8C">
        <w:t>e Décret pourra prévoir que ses dispositions seront rétroactives, dans la limite d’un mois avant la date de sa publication.</w:t>
      </w:r>
    </w:p>
    <w:p w14:paraId="3A30C8F8" w14:textId="3C34B070" w:rsidR="009328BE" w:rsidRDefault="00D62F8C">
      <w:r>
        <w:t xml:space="preserve">Par ailleurs, pour faire face </w:t>
      </w:r>
      <w:r w:rsidR="007C748C">
        <w:t>spécifiquement</w:t>
      </w:r>
      <w:r>
        <w:t xml:space="preserve"> à l’épidémie de covid-19, le Gouvernement pourra prévoir par Décret des règles de prise en charge renforcée des frais de santé ainsi que des conditions adaptées pour le bénéfice des indemnités journalières. Cette faculté pourra être mise en œuvre jusqu’à une date qui sera précisée par Décret, et au plus tard jusqu’au 31 décembre 2021.</w:t>
      </w:r>
    </w:p>
    <w:p w14:paraId="53072B40" w14:textId="2CB0C991" w:rsidR="008C0062" w:rsidRPr="008C0062" w:rsidRDefault="008C0062" w:rsidP="00EE0687">
      <w:pPr>
        <w:pStyle w:val="Paragraphedeliste"/>
        <w:numPr>
          <w:ilvl w:val="0"/>
          <w:numId w:val="244"/>
        </w:numPr>
        <w:rPr>
          <w:b/>
          <w:bCs/>
          <w:i/>
          <w:iCs/>
          <w:u w:val="single"/>
        </w:rPr>
      </w:pPr>
      <w:r w:rsidRPr="008C0062">
        <w:rPr>
          <w:b/>
          <w:bCs/>
          <w:i/>
          <w:iCs/>
          <w:u w:val="single"/>
        </w:rPr>
        <w:t>Recouvrement de la contribution annuelle due au titre de l’obligation d’emploi des travailleurs handicapés (OETH) : retour dans le contentieux général de la Sécurité sociale</w:t>
      </w:r>
    </w:p>
    <w:p w14:paraId="4C5C897B" w14:textId="77777777" w:rsidR="008C6A84" w:rsidRDefault="008C0062" w:rsidP="008C0062">
      <w:r>
        <w:t>Le législateur vient effectuer une correction et replacer le recouvrement de la contribution annuelle due au titre de l’obligation d’emploi des travailleurs handicapés (OETH) dans le contentieux général de la sécurité sociale. Le contentieux sur le recouvrement de cette contribution y avait été exclu à la suite d’une erreur du législateur en 2019.</w:t>
      </w:r>
    </w:p>
    <w:p w14:paraId="22303F7D" w14:textId="77777777" w:rsidR="003A7D22" w:rsidRPr="001C6793" w:rsidRDefault="003A7D22" w:rsidP="00EE0687">
      <w:pPr>
        <w:pStyle w:val="Paragraphedeliste"/>
        <w:numPr>
          <w:ilvl w:val="0"/>
          <w:numId w:val="244"/>
        </w:numPr>
        <w:rPr>
          <w:rFonts w:cstheme="minorHAnsi"/>
        </w:rPr>
      </w:pPr>
      <w:r w:rsidRPr="001C6793">
        <w:rPr>
          <w:rFonts w:cstheme="minorHAnsi"/>
          <w:b/>
          <w:bCs/>
          <w:i/>
          <w:iCs/>
          <w:u w:val="single"/>
        </w:rPr>
        <w:t xml:space="preserve">Avantages favorisant </w:t>
      </w:r>
      <w:r w:rsidRPr="0071337D">
        <w:rPr>
          <w:rFonts w:cstheme="minorHAnsi"/>
          <w:b/>
          <w:i/>
          <w:u w:val="single"/>
        </w:rPr>
        <w:t xml:space="preserve">le sport en entreprise </w:t>
      </w:r>
    </w:p>
    <w:p w14:paraId="1E972DA5" w14:textId="03196BDB" w:rsidR="002773D3" w:rsidRPr="00732CE1" w:rsidRDefault="00F062E6" w:rsidP="002773D3">
      <w:pPr>
        <w:spacing w:beforeAutospacing="1" w:after="100" w:afterAutospacing="1"/>
        <w:rPr>
          <w:rFonts w:cstheme="minorHAnsi"/>
        </w:rPr>
      </w:pPr>
      <w:r>
        <w:rPr>
          <w:rFonts w:cstheme="minorHAnsi"/>
        </w:rPr>
        <w:t xml:space="preserve">Une </w:t>
      </w:r>
      <w:r w:rsidR="002773D3" w:rsidRPr="003A7D22">
        <w:rPr>
          <w:rFonts w:cstheme="minorHAnsi"/>
        </w:rPr>
        <w:t>exonération des avantages concernant le sport en entreprise</w:t>
      </w:r>
      <w:r>
        <w:rPr>
          <w:rFonts w:cstheme="minorHAnsi"/>
        </w:rPr>
        <w:t xml:space="preserve"> est mise en place</w:t>
      </w:r>
      <w:r w:rsidR="002773D3" w:rsidRPr="003A7D22">
        <w:rPr>
          <w:rFonts w:cstheme="minorHAnsi"/>
        </w:rPr>
        <w:t xml:space="preserve">, faisant déjà l’objet d’une tolérance de la part de l’Urssaf. </w:t>
      </w:r>
      <w:r w:rsidR="002773D3" w:rsidRPr="00732CE1">
        <w:rPr>
          <w:rFonts w:cstheme="minorHAnsi"/>
        </w:rPr>
        <w:t xml:space="preserve">Les avantages suivants seront dorénavant exclus de la base de calcul des cotisations sociales : </w:t>
      </w:r>
    </w:p>
    <w:p w14:paraId="28BED4CE" w14:textId="77777777" w:rsidR="002773D3" w:rsidRDefault="002773D3" w:rsidP="00EE0687">
      <w:pPr>
        <w:pStyle w:val="Paragraphedeliste"/>
        <w:numPr>
          <w:ilvl w:val="0"/>
          <w:numId w:val="263"/>
        </w:numPr>
        <w:spacing w:beforeAutospacing="1" w:after="100" w:afterAutospacing="1"/>
        <w:rPr>
          <w:rFonts w:cstheme="minorHAnsi"/>
        </w:rPr>
      </w:pPr>
      <w:r w:rsidRPr="004D0F5A">
        <w:rPr>
          <w:rFonts w:cstheme="minorHAnsi"/>
        </w:rPr>
        <w:t>la mise à disposition par l’employeur d’équipements sportifs à usage collectif ;</w:t>
      </w:r>
    </w:p>
    <w:p w14:paraId="3BF6AFB7" w14:textId="77777777" w:rsidR="002773D3" w:rsidRPr="004D0F5A" w:rsidRDefault="002773D3" w:rsidP="00EE0687">
      <w:pPr>
        <w:pStyle w:val="Paragraphedeliste"/>
        <w:numPr>
          <w:ilvl w:val="0"/>
          <w:numId w:val="263"/>
        </w:numPr>
        <w:spacing w:beforeAutospacing="1" w:after="100" w:afterAutospacing="1"/>
        <w:rPr>
          <w:rFonts w:cstheme="minorHAnsi"/>
        </w:rPr>
      </w:pPr>
      <w:r w:rsidRPr="004D0F5A">
        <w:rPr>
          <w:rFonts w:cstheme="minorHAnsi"/>
        </w:rPr>
        <w:t xml:space="preserve">le financement de prestations sportives à destination de l’ensemble des salariés. </w:t>
      </w:r>
    </w:p>
    <w:p w14:paraId="01BFC0E6" w14:textId="451B2F27" w:rsidR="002773D3" w:rsidRDefault="002773D3" w:rsidP="002773D3">
      <w:pPr>
        <w:spacing w:beforeAutospacing="1" w:after="100" w:afterAutospacing="1"/>
        <w:rPr>
          <w:rFonts w:cstheme="minorHAnsi"/>
        </w:rPr>
      </w:pPr>
      <w:r w:rsidRPr="00732CE1">
        <w:rPr>
          <w:rFonts w:cstheme="minorHAnsi"/>
        </w:rPr>
        <w:lastRenderedPageBreak/>
        <w:t xml:space="preserve">La date de ce rétablissement sera fixée par </w:t>
      </w:r>
      <w:r w:rsidR="00165BE0">
        <w:rPr>
          <w:rFonts w:cstheme="minorHAnsi"/>
        </w:rPr>
        <w:t>D</w:t>
      </w:r>
      <w:r w:rsidRPr="00732CE1">
        <w:rPr>
          <w:rFonts w:cstheme="minorHAnsi"/>
        </w:rPr>
        <w:t>écret et interviendra au plus tard le 1er mars 2021.</w:t>
      </w:r>
    </w:p>
    <w:p w14:paraId="712FA13D" w14:textId="77777777" w:rsidR="009328BE" w:rsidRDefault="009328BE"/>
    <w:p w14:paraId="3CD95972" w14:textId="0F6357E5" w:rsidR="009E161F" w:rsidRPr="00A847B7" w:rsidRDefault="009E161F">
      <w:pPr>
        <w:rPr>
          <w:rFonts w:cstheme="minorHAnsi"/>
        </w:rPr>
      </w:pPr>
      <w:r w:rsidRPr="00A847B7">
        <w:rPr>
          <w:rFonts w:cstheme="minorHAnsi"/>
        </w:rPr>
        <w:br w:type="page"/>
      </w:r>
    </w:p>
    <w:p w14:paraId="2D93D2FA" w14:textId="089B4C2D" w:rsidR="009E161F" w:rsidRDefault="009E161F" w:rsidP="00FB2CC6">
      <w:pPr>
        <w:spacing w:beforeAutospacing="1" w:after="100" w:afterAutospacing="1"/>
        <w:rPr>
          <w:rFonts w:cstheme="minorHAnsi"/>
        </w:rPr>
      </w:pPr>
    </w:p>
    <w:p w14:paraId="48C61CCF" w14:textId="734C0F75" w:rsidR="00BF5AF7" w:rsidRDefault="00BF5AF7" w:rsidP="00FB2CC6">
      <w:pPr>
        <w:spacing w:beforeAutospacing="1" w:after="100" w:afterAutospacing="1"/>
        <w:rPr>
          <w:rFonts w:cstheme="minorHAnsi"/>
        </w:rPr>
      </w:pPr>
    </w:p>
    <w:p w14:paraId="47F9E8AD" w14:textId="25726486" w:rsidR="00BF5AF7" w:rsidRDefault="00BF5AF7" w:rsidP="00FB2CC6">
      <w:pPr>
        <w:spacing w:beforeAutospacing="1" w:after="100" w:afterAutospacing="1"/>
        <w:rPr>
          <w:rFonts w:cstheme="minorHAnsi"/>
        </w:rPr>
      </w:pPr>
    </w:p>
    <w:p w14:paraId="308740F2" w14:textId="3F25DBF1" w:rsidR="00BF5AF7" w:rsidRDefault="00BF5AF7" w:rsidP="00FB2CC6">
      <w:pPr>
        <w:spacing w:beforeAutospacing="1" w:after="100" w:afterAutospacing="1"/>
        <w:rPr>
          <w:rFonts w:cstheme="minorHAnsi"/>
        </w:rPr>
      </w:pPr>
    </w:p>
    <w:p w14:paraId="2A73759C" w14:textId="7D12CE21" w:rsidR="00BF5AF7" w:rsidRDefault="00BF5AF7" w:rsidP="00FB2CC6">
      <w:pPr>
        <w:spacing w:beforeAutospacing="1" w:after="100" w:afterAutospacing="1"/>
        <w:rPr>
          <w:rFonts w:cstheme="minorHAnsi"/>
        </w:rPr>
      </w:pPr>
    </w:p>
    <w:p w14:paraId="557ACFAF" w14:textId="72722AB9" w:rsidR="00BF5AF7" w:rsidRDefault="00BF5AF7" w:rsidP="00FB2CC6">
      <w:pPr>
        <w:spacing w:beforeAutospacing="1" w:after="100" w:afterAutospacing="1"/>
        <w:rPr>
          <w:rFonts w:cstheme="minorHAnsi"/>
        </w:rPr>
      </w:pPr>
    </w:p>
    <w:p w14:paraId="20DDE6E2" w14:textId="7110BEFB" w:rsidR="00BF5AF7" w:rsidRDefault="00BF5AF7" w:rsidP="00FB2CC6">
      <w:pPr>
        <w:spacing w:beforeAutospacing="1" w:after="100" w:afterAutospacing="1"/>
        <w:rPr>
          <w:rFonts w:cstheme="minorHAnsi"/>
        </w:rPr>
      </w:pPr>
    </w:p>
    <w:p w14:paraId="2A7B9B85" w14:textId="1315B307" w:rsidR="00BF5AF7" w:rsidRDefault="00BF5AF7" w:rsidP="00FB2CC6">
      <w:pPr>
        <w:spacing w:beforeAutospacing="1" w:after="100" w:afterAutospacing="1"/>
        <w:rPr>
          <w:rFonts w:cstheme="minorHAnsi"/>
        </w:rPr>
      </w:pPr>
    </w:p>
    <w:p w14:paraId="4281D22F" w14:textId="77777777" w:rsidR="00BF5AF7" w:rsidRPr="00A847B7" w:rsidRDefault="00BF5AF7" w:rsidP="00FB2CC6">
      <w:pPr>
        <w:spacing w:beforeAutospacing="1" w:after="100" w:afterAutospacing="1"/>
        <w:rPr>
          <w:rFonts w:cstheme="minorHAnsi"/>
        </w:rPr>
      </w:pPr>
    </w:p>
    <w:p w14:paraId="20ADF8FD" w14:textId="794951F6" w:rsidR="001B41A7" w:rsidRPr="00A847B7" w:rsidRDefault="001B41A7" w:rsidP="001B41A7">
      <w:pPr>
        <w:pStyle w:val="Titre1"/>
        <w:rPr>
          <w:caps/>
        </w:rPr>
      </w:pPr>
      <w:bookmarkStart w:id="125" w:name="_Toc60781043"/>
      <w:r w:rsidRPr="00A847B7">
        <w:rPr>
          <w:caps/>
        </w:rPr>
        <w:t xml:space="preserve">Focus sur les </w:t>
      </w:r>
      <w:r w:rsidR="003815F5" w:rsidRPr="00A847B7">
        <w:rPr>
          <w:caps/>
        </w:rPr>
        <w:t>mesures en lien avec le coronavirus</w:t>
      </w:r>
      <w:bookmarkEnd w:id="125"/>
    </w:p>
    <w:p w14:paraId="4D35D023" w14:textId="77777777" w:rsidR="001B41A7" w:rsidRPr="00A847B7" w:rsidRDefault="001B41A7" w:rsidP="001B41A7"/>
    <w:p w14:paraId="247E9A78" w14:textId="77777777" w:rsidR="001B41A7" w:rsidRPr="00A847B7" w:rsidRDefault="001B41A7" w:rsidP="001B41A7">
      <w:r w:rsidRPr="00A847B7">
        <w:br w:type="page"/>
      </w:r>
    </w:p>
    <w:p w14:paraId="27F8B993" w14:textId="77777777" w:rsidR="001B41A7" w:rsidRPr="00A847B7" w:rsidRDefault="001B41A7" w:rsidP="001B41A7">
      <w:pPr>
        <w:jc w:val="center"/>
        <w:rPr>
          <w:b/>
        </w:rPr>
      </w:pPr>
    </w:p>
    <w:p w14:paraId="0BF3F6ED" w14:textId="5B29CB03" w:rsidR="001B41A7" w:rsidRDefault="003815F5" w:rsidP="001B41A7">
      <w:pPr>
        <w:pStyle w:val="Titre2"/>
      </w:pPr>
      <w:bookmarkStart w:id="126" w:name="_Toc60781044"/>
      <w:r w:rsidRPr="00A847B7">
        <w:t xml:space="preserve">Mesures </w:t>
      </w:r>
      <w:r w:rsidR="0080341F" w:rsidRPr="00A847B7">
        <w:t>générales</w:t>
      </w:r>
      <w:bookmarkEnd w:id="126"/>
    </w:p>
    <w:p w14:paraId="6D5E1837" w14:textId="77777777" w:rsidR="002E64E5" w:rsidRPr="002E64E5" w:rsidRDefault="002E64E5" w:rsidP="002E64E5"/>
    <w:p w14:paraId="28BE412D" w14:textId="7ABFC6AC" w:rsidR="003815F5" w:rsidRPr="00A847B7" w:rsidRDefault="003815F5" w:rsidP="003815F5">
      <w:pPr>
        <w:pStyle w:val="Titre3"/>
      </w:pPr>
      <w:bookmarkStart w:id="127" w:name="_Toc60781045"/>
      <w:r w:rsidRPr="00A847B7">
        <w:t xml:space="preserve">Slide </w:t>
      </w:r>
      <w:r w:rsidR="003516B7">
        <w:t>84</w:t>
      </w:r>
      <w:r w:rsidRPr="00A847B7">
        <w:t xml:space="preserve"> : </w:t>
      </w:r>
      <w:r w:rsidR="00533FB4">
        <w:t>A</w:t>
      </w:r>
      <w:r w:rsidRPr="00A847B7">
        <w:t>bandons de loyers dans le cadre de la crise sanitaire</w:t>
      </w:r>
      <w:bookmarkEnd w:id="127"/>
    </w:p>
    <w:p w14:paraId="25D72980" w14:textId="5A4519C1" w:rsidR="003815F5" w:rsidRPr="00A847B7" w:rsidRDefault="00FF2AA4" w:rsidP="00FF2AA4">
      <w:r w:rsidRPr="004F587E">
        <w:rPr>
          <w:u w:val="single"/>
        </w:rPr>
        <w:t xml:space="preserve">Source </w:t>
      </w:r>
      <w:r w:rsidRPr="00A847B7">
        <w:t>:</w:t>
      </w:r>
      <w:r w:rsidR="003815F5" w:rsidRPr="00A847B7">
        <w:t xml:space="preserve"> Loi de Finances pour 2021, </w:t>
      </w:r>
      <w:r w:rsidR="003815F5" w:rsidRPr="00E43388">
        <w:t xml:space="preserve">article </w:t>
      </w:r>
      <w:r w:rsidR="004C297F" w:rsidRPr="004C297F">
        <w:t>20</w:t>
      </w:r>
    </w:p>
    <w:p w14:paraId="715152D5" w14:textId="422FBD7D" w:rsidR="002E64E5" w:rsidRPr="002E64E5" w:rsidRDefault="002E64E5" w:rsidP="00EE0687">
      <w:pPr>
        <w:pStyle w:val="Paragraphedeliste"/>
        <w:numPr>
          <w:ilvl w:val="0"/>
          <w:numId w:val="315"/>
        </w:numPr>
        <w:spacing w:beforeAutospacing="1" w:after="100" w:afterAutospacing="1"/>
        <w:rPr>
          <w:b/>
          <w:bCs/>
          <w:i/>
          <w:iCs/>
          <w:u w:val="single"/>
        </w:rPr>
      </w:pPr>
      <w:bookmarkStart w:id="128" w:name="_Hlk60739292"/>
      <w:r w:rsidRPr="002E64E5">
        <w:rPr>
          <w:b/>
          <w:bCs/>
          <w:i/>
          <w:iCs/>
          <w:u w:val="single"/>
        </w:rPr>
        <w:t>Un nouveau crédit d’impôt</w:t>
      </w:r>
    </w:p>
    <w:p w14:paraId="4A5FE3C9" w14:textId="762B2C59" w:rsidR="003815F5" w:rsidRPr="00A847B7" w:rsidRDefault="003815F5" w:rsidP="003815F5">
      <w:pPr>
        <w:spacing w:beforeAutospacing="1" w:after="100" w:afterAutospacing="1"/>
      </w:pPr>
      <w:r w:rsidRPr="00A847B7">
        <w:t xml:space="preserve">Les bailleurs, particuliers ou personnes morales de droit privé, peuvent bénéficier d’un crédit d’impôt pour les abandons ou renonciations définitifs de loyers (hors accessoires) </w:t>
      </w:r>
      <w:r w:rsidR="002161A7">
        <w:t xml:space="preserve">échus </w:t>
      </w:r>
      <w:r w:rsidR="003562A5">
        <w:t>au titre du mois de novembre</w:t>
      </w:r>
      <w:r w:rsidR="00696897">
        <w:t xml:space="preserve"> 2020</w:t>
      </w:r>
      <w:r w:rsidRPr="00A847B7">
        <w:t xml:space="preserve">, consentis </w:t>
      </w:r>
      <w:r w:rsidR="003562A5">
        <w:t xml:space="preserve">au plus tard </w:t>
      </w:r>
      <w:r w:rsidR="00E13DC2">
        <w:t xml:space="preserve">le </w:t>
      </w:r>
      <w:r w:rsidR="005321AB">
        <w:t>31 décembre 2021</w:t>
      </w:r>
      <w:r w:rsidRPr="00A847B7">
        <w:t xml:space="preserve">, au profit d’entreprises locataires </w:t>
      </w:r>
      <w:bookmarkEnd w:id="128"/>
      <w:r w:rsidRPr="00A847B7">
        <w:t>qui remplissent les conditions suivantes :</w:t>
      </w:r>
    </w:p>
    <w:p w14:paraId="5BB274C4" w14:textId="6BE494B2" w:rsidR="003815F5" w:rsidRPr="00A847B7" w:rsidRDefault="003815F5" w:rsidP="00EE0687">
      <w:pPr>
        <w:pStyle w:val="Paragraphedeliste"/>
        <w:numPr>
          <w:ilvl w:val="0"/>
          <w:numId w:val="48"/>
        </w:numPr>
        <w:spacing w:beforeAutospacing="1" w:after="100" w:afterAutospacing="1"/>
      </w:pPr>
      <w:r w:rsidRPr="00A847B7">
        <w:t>louer des locaux qui font l’objet d’une interdiction d’accueil du public au cours de la période de confinement courant du 30 octobre au 15 décembre 2020, ou exercer son activité principale dans les secteurs de l’hôtellerie, des cafés, de la restauration, de la culture ou de l’évènementiel</w:t>
      </w:r>
      <w:r w:rsidR="00056803">
        <w:t xml:space="preserve"> </w:t>
      </w:r>
      <w:r w:rsidRPr="00A847B7">
        <w:t>particulièrement touchés par les conséquences économiques, financières et sociales de la propagation de l’épidémie de Covid-19 ;</w:t>
      </w:r>
    </w:p>
    <w:p w14:paraId="68366429" w14:textId="77777777" w:rsidR="003815F5" w:rsidRPr="00A847B7" w:rsidRDefault="003815F5" w:rsidP="00EE0687">
      <w:pPr>
        <w:pStyle w:val="Paragraphedeliste"/>
        <w:numPr>
          <w:ilvl w:val="0"/>
          <w:numId w:val="48"/>
        </w:numPr>
        <w:spacing w:beforeAutospacing="1" w:after="100" w:afterAutospacing="1"/>
      </w:pPr>
      <w:r w:rsidRPr="00A847B7">
        <w:t>avoir un effectif de moins de 5 000 salariés ;</w:t>
      </w:r>
    </w:p>
    <w:p w14:paraId="09AD5463" w14:textId="77777777" w:rsidR="003815F5" w:rsidRPr="00A847B7" w:rsidRDefault="003815F5" w:rsidP="00EE0687">
      <w:pPr>
        <w:pStyle w:val="Paragraphedeliste"/>
        <w:numPr>
          <w:ilvl w:val="0"/>
          <w:numId w:val="48"/>
        </w:numPr>
        <w:spacing w:beforeAutospacing="1" w:after="100" w:afterAutospacing="1"/>
      </w:pPr>
      <w:r w:rsidRPr="00A847B7">
        <w:t>ne pas être en difficulté au 31 décembre 2019, au sens de la règlementation européenne ;</w:t>
      </w:r>
    </w:p>
    <w:p w14:paraId="598B051F" w14:textId="77777777" w:rsidR="003815F5" w:rsidRPr="00A847B7" w:rsidRDefault="003815F5" w:rsidP="00EE0687">
      <w:pPr>
        <w:pStyle w:val="Paragraphedeliste"/>
        <w:numPr>
          <w:ilvl w:val="0"/>
          <w:numId w:val="48"/>
        </w:numPr>
        <w:spacing w:beforeAutospacing="1" w:after="100" w:afterAutospacing="1"/>
      </w:pPr>
      <w:r w:rsidRPr="00A847B7">
        <w:t>ne pas être en liquidation judiciaire au 1</w:t>
      </w:r>
      <w:r w:rsidRPr="00A847B7">
        <w:rPr>
          <w:vertAlign w:val="superscript"/>
        </w:rPr>
        <w:t>er</w:t>
      </w:r>
      <w:r w:rsidRPr="00A847B7">
        <w:t xml:space="preserve"> mars 2020.</w:t>
      </w:r>
    </w:p>
    <w:p w14:paraId="45506814" w14:textId="77777777" w:rsidR="003815F5" w:rsidRPr="00A847B7" w:rsidRDefault="003815F5" w:rsidP="003815F5">
      <w:pPr>
        <w:spacing w:beforeAutospacing="1" w:after="100" w:afterAutospacing="1"/>
      </w:pPr>
      <w:r w:rsidRPr="00A847B7">
        <w:t>Pour apprécier la condition tenant à l’effectif salarié, il est tenu compte de l’ensemble des salariés des filiales, lorsque l’entreprise locataire contrôle ou est contrôlée par une autre entreprise.</w:t>
      </w:r>
    </w:p>
    <w:p w14:paraId="38B59DBC" w14:textId="77777777" w:rsidR="003815F5" w:rsidRPr="00A847B7" w:rsidRDefault="003815F5" w:rsidP="003815F5">
      <w:pPr>
        <w:spacing w:beforeAutospacing="1" w:after="100" w:afterAutospacing="1"/>
      </w:pPr>
      <w:r w:rsidRPr="00A847B7">
        <w:t>Précisons que cette condition d’effectif ne s’applique pas aux locataires constitués sous forme d’association. Ces derniers devront toutefois :</w:t>
      </w:r>
    </w:p>
    <w:p w14:paraId="2A71004D" w14:textId="77777777" w:rsidR="003815F5" w:rsidRPr="00A847B7" w:rsidRDefault="003815F5" w:rsidP="00EE0687">
      <w:pPr>
        <w:pStyle w:val="Paragraphedeliste"/>
        <w:numPr>
          <w:ilvl w:val="0"/>
          <w:numId w:val="49"/>
        </w:numPr>
        <w:spacing w:beforeAutospacing="1" w:after="100" w:afterAutospacing="1"/>
      </w:pPr>
      <w:r w:rsidRPr="00A847B7">
        <w:t>être assujettis aux impôts commerciaux ;</w:t>
      </w:r>
    </w:p>
    <w:p w14:paraId="4C255CFE" w14:textId="77777777" w:rsidR="003815F5" w:rsidRPr="00A847B7" w:rsidRDefault="003815F5" w:rsidP="00EE0687">
      <w:pPr>
        <w:pStyle w:val="Paragraphedeliste"/>
        <w:numPr>
          <w:ilvl w:val="0"/>
          <w:numId w:val="49"/>
        </w:numPr>
        <w:spacing w:beforeAutospacing="1" w:after="100" w:afterAutospacing="1"/>
      </w:pPr>
      <w:r w:rsidRPr="00A847B7">
        <w:t>ou employer au moins 1 salarié.</w:t>
      </w:r>
    </w:p>
    <w:p w14:paraId="506D6001" w14:textId="77777777" w:rsidR="003815F5" w:rsidRPr="00A847B7" w:rsidRDefault="003815F5" w:rsidP="003815F5">
      <w:pPr>
        <w:spacing w:beforeAutospacing="1" w:after="100" w:afterAutospacing="1"/>
      </w:pPr>
      <w:r w:rsidRPr="00A847B7">
        <w:t>Lorsque l’entreprise locataire est exploitée par un ascendant, un descendant ou un membre du foyer fiscal du bailleur, ou lorsqu’il existe des liens de dépendance entre elle et le bailleur, ce dernier ne pourra bénéficier du crédit d’impôt qu’à la condition de justifier, par tous moyens, des difficultés de trésorerie de l’entreprise locataire.</w:t>
      </w:r>
    </w:p>
    <w:p w14:paraId="0F08D724" w14:textId="77777777" w:rsidR="003815F5" w:rsidRPr="00A847B7" w:rsidRDefault="003815F5" w:rsidP="003815F5">
      <w:pPr>
        <w:spacing w:beforeAutospacing="1" w:after="100" w:afterAutospacing="1"/>
      </w:pPr>
      <w:r w:rsidRPr="00A847B7">
        <w:t>Pour mémoire, des liens de dépendance sont réputés exister entre deux entreprises :</w:t>
      </w:r>
    </w:p>
    <w:p w14:paraId="61322C36" w14:textId="77777777" w:rsidR="003815F5" w:rsidRPr="00A847B7" w:rsidRDefault="003815F5" w:rsidP="00EE0687">
      <w:pPr>
        <w:pStyle w:val="Paragraphedeliste"/>
        <w:numPr>
          <w:ilvl w:val="0"/>
          <w:numId w:val="50"/>
        </w:numPr>
        <w:spacing w:beforeAutospacing="1" w:after="100" w:afterAutospacing="1"/>
      </w:pPr>
      <w:r w:rsidRPr="00A847B7">
        <w:t>lorsque l'une détient directement ou par personne interposée la majorité du capital social de l'autre ou y exerce en fait le pouvoir de décision ;</w:t>
      </w:r>
    </w:p>
    <w:p w14:paraId="5CD6ECEE" w14:textId="77777777" w:rsidR="003815F5" w:rsidRPr="00A847B7" w:rsidRDefault="003815F5" w:rsidP="00EE0687">
      <w:pPr>
        <w:pStyle w:val="Paragraphedeliste"/>
        <w:numPr>
          <w:ilvl w:val="0"/>
          <w:numId w:val="50"/>
        </w:numPr>
        <w:spacing w:beforeAutospacing="1" w:after="100" w:afterAutospacing="1"/>
      </w:pPr>
      <w:r w:rsidRPr="00A847B7">
        <w:t>ou lorsqu'elles sont placées l'une et l'autre sous le contrôle d'une même tierce entreprise.</w:t>
      </w:r>
    </w:p>
    <w:p w14:paraId="3C4C5415" w14:textId="77777777" w:rsidR="003815F5" w:rsidRPr="00A847B7" w:rsidRDefault="003815F5" w:rsidP="003815F5">
      <w:pPr>
        <w:spacing w:beforeAutospacing="1" w:after="100" w:afterAutospacing="1"/>
      </w:pPr>
      <w:r w:rsidRPr="00A847B7">
        <w:t>Le crédit d’impôt profite également aux bailleurs exonérés d’impôt sur les bénéfices au titre de différents dispositifs :</w:t>
      </w:r>
    </w:p>
    <w:p w14:paraId="57427980" w14:textId="77777777" w:rsidR="003815F5" w:rsidRPr="00A847B7" w:rsidRDefault="003815F5" w:rsidP="00EE0687">
      <w:pPr>
        <w:pStyle w:val="Paragraphedeliste"/>
        <w:numPr>
          <w:ilvl w:val="0"/>
          <w:numId w:val="51"/>
        </w:numPr>
        <w:spacing w:beforeAutospacing="1" w:after="100" w:afterAutospacing="1"/>
      </w:pPr>
      <w:r w:rsidRPr="00A847B7">
        <w:lastRenderedPageBreak/>
        <w:t>entreprise nouvelle créée en zone à finalité régionale (ZAFR) ;</w:t>
      </w:r>
    </w:p>
    <w:p w14:paraId="2C3C1578" w14:textId="77777777" w:rsidR="003815F5" w:rsidRPr="00A847B7" w:rsidRDefault="003815F5" w:rsidP="00EE0687">
      <w:pPr>
        <w:pStyle w:val="Paragraphedeliste"/>
        <w:numPr>
          <w:ilvl w:val="0"/>
          <w:numId w:val="51"/>
        </w:numPr>
        <w:spacing w:beforeAutospacing="1" w:after="100" w:afterAutospacing="1"/>
      </w:pPr>
      <w:r w:rsidRPr="00A847B7">
        <w:t>jeune entreprise innovante (JEI) ;</w:t>
      </w:r>
    </w:p>
    <w:p w14:paraId="18105AA3" w14:textId="77777777" w:rsidR="003815F5" w:rsidRPr="00A847B7" w:rsidRDefault="003815F5" w:rsidP="00EE0687">
      <w:pPr>
        <w:pStyle w:val="Paragraphedeliste"/>
        <w:numPr>
          <w:ilvl w:val="0"/>
          <w:numId w:val="51"/>
        </w:numPr>
        <w:spacing w:beforeAutospacing="1" w:after="100" w:afterAutospacing="1"/>
      </w:pPr>
      <w:r w:rsidRPr="00A847B7">
        <w:t>reprise d’entreprise en difficulté ;</w:t>
      </w:r>
    </w:p>
    <w:p w14:paraId="4671E1FA" w14:textId="77777777" w:rsidR="003815F5" w:rsidRPr="00A847B7" w:rsidRDefault="003815F5" w:rsidP="00EE0687">
      <w:pPr>
        <w:pStyle w:val="Paragraphedeliste"/>
        <w:numPr>
          <w:ilvl w:val="0"/>
          <w:numId w:val="51"/>
        </w:numPr>
        <w:spacing w:beforeAutospacing="1" w:after="100" w:afterAutospacing="1"/>
      </w:pPr>
      <w:r w:rsidRPr="00A847B7">
        <w:t>exploitation d’entreprise en zone franche urbaine territoire entrepreneur (ZFU-TE) ;</w:t>
      </w:r>
    </w:p>
    <w:p w14:paraId="19F70798" w14:textId="77777777" w:rsidR="003815F5" w:rsidRPr="00A847B7" w:rsidRDefault="003815F5" w:rsidP="00EE0687">
      <w:pPr>
        <w:pStyle w:val="Paragraphedeliste"/>
        <w:numPr>
          <w:ilvl w:val="0"/>
          <w:numId w:val="51"/>
        </w:numPr>
        <w:spacing w:beforeAutospacing="1" w:after="100" w:afterAutospacing="1"/>
      </w:pPr>
      <w:r w:rsidRPr="00A847B7">
        <w:t>exploitation d’entreprise dans un bassin d’emploi à redynamiser (BER) ;</w:t>
      </w:r>
    </w:p>
    <w:p w14:paraId="34EB088B" w14:textId="77777777" w:rsidR="003815F5" w:rsidRPr="00A847B7" w:rsidRDefault="003815F5" w:rsidP="00EE0687">
      <w:pPr>
        <w:pStyle w:val="Paragraphedeliste"/>
        <w:numPr>
          <w:ilvl w:val="0"/>
          <w:numId w:val="51"/>
        </w:numPr>
        <w:spacing w:beforeAutospacing="1" w:after="100" w:afterAutospacing="1"/>
      </w:pPr>
      <w:r w:rsidRPr="00A847B7">
        <w:t>exploitation d’entreprise en zone de restructuration de la défense (ZRD) ;</w:t>
      </w:r>
    </w:p>
    <w:p w14:paraId="37B38A6C" w14:textId="77777777" w:rsidR="003815F5" w:rsidRPr="00A847B7" w:rsidRDefault="003815F5" w:rsidP="00EE0687">
      <w:pPr>
        <w:pStyle w:val="Paragraphedeliste"/>
        <w:numPr>
          <w:ilvl w:val="0"/>
          <w:numId w:val="51"/>
        </w:numPr>
        <w:spacing w:beforeAutospacing="1" w:after="100" w:afterAutospacing="1"/>
      </w:pPr>
      <w:r w:rsidRPr="00A847B7">
        <w:t>régimes particuliers (syndicats professionnels, etc.).</w:t>
      </w:r>
    </w:p>
    <w:p w14:paraId="7DD22779" w14:textId="77777777" w:rsidR="003815F5" w:rsidRPr="00A847B7" w:rsidRDefault="003815F5" w:rsidP="003815F5">
      <w:pPr>
        <w:spacing w:beforeAutospacing="1" w:after="100" w:afterAutospacing="1"/>
      </w:pPr>
      <w:r w:rsidRPr="00A847B7">
        <w:t>Pour les sociétés de personne, les sociétés créées de fait, les sociétés civiles de placement immobiliers (SCPI), les organismes de placement collectif, les groupements d’intérêts économiques (GIE), les groupements européens d’intérêts économiques (GEIE), et les groupements d’intérêts publics (GIP), le crédit d’impôt peut être utilisé par leurs associés ou par les porteurs de parts ou les actionnaires, proportionnellement à leurs droits dans ces sociétés, groupements ou fonds.</w:t>
      </w:r>
    </w:p>
    <w:p w14:paraId="02414FC9" w14:textId="62DA3698" w:rsidR="003815F5" w:rsidRPr="00A847B7" w:rsidRDefault="003815F5" w:rsidP="003815F5">
      <w:pPr>
        <w:spacing w:beforeAutospacing="1" w:after="100" w:afterAutospacing="1"/>
      </w:pPr>
      <w:r w:rsidRPr="00A847B7">
        <w:t>Enfin, cet avantage fiscal profite uniquement aux bailleurs qui, au 31 décembre 2019, n’étaient pas en difficulté au sens de la réglementation européenne.</w:t>
      </w:r>
    </w:p>
    <w:p w14:paraId="1E9E8B31" w14:textId="77777777" w:rsidR="003815F5" w:rsidRPr="00A847B7" w:rsidRDefault="003815F5" w:rsidP="00EE0687">
      <w:pPr>
        <w:pStyle w:val="Paragraphedeliste"/>
        <w:numPr>
          <w:ilvl w:val="0"/>
          <w:numId w:val="1"/>
        </w:numPr>
        <w:spacing w:beforeAutospacing="1" w:after="100" w:afterAutospacing="1"/>
      </w:pPr>
      <w:r w:rsidRPr="00A847B7">
        <w:rPr>
          <w:b/>
          <w:bCs/>
          <w:i/>
          <w:iCs/>
          <w:u w:val="single"/>
        </w:rPr>
        <w:t>Montant du crédit d’impôt</w:t>
      </w:r>
    </w:p>
    <w:p w14:paraId="434EA0FB" w14:textId="77777777" w:rsidR="003815F5" w:rsidRPr="00A847B7" w:rsidRDefault="003815F5" w:rsidP="003815F5">
      <w:pPr>
        <w:spacing w:beforeAutospacing="1" w:after="100" w:afterAutospacing="1"/>
        <w:rPr>
          <w:rFonts w:cstheme="minorHAnsi"/>
        </w:rPr>
      </w:pPr>
      <w:r w:rsidRPr="00A847B7">
        <w:rPr>
          <w:rFonts w:cstheme="minorHAnsi"/>
        </w:rPr>
        <w:t>Le crédit d’impôt est égal à 50 % de la somme totale des abandons ou renonciations de loyers.</w:t>
      </w:r>
    </w:p>
    <w:p w14:paraId="3A82A748" w14:textId="77777777" w:rsidR="003815F5" w:rsidRPr="00A847B7" w:rsidRDefault="003815F5" w:rsidP="003815F5">
      <w:pPr>
        <w:spacing w:beforeAutospacing="1" w:after="100" w:afterAutospacing="1"/>
        <w:rPr>
          <w:rFonts w:cstheme="minorHAnsi"/>
        </w:rPr>
      </w:pPr>
      <w:r w:rsidRPr="00A847B7">
        <w:rPr>
          <w:rFonts w:cstheme="minorHAnsi"/>
        </w:rPr>
        <w:t>Attention : lorsque l’effectif de l’entreprise locataire est égal ou supérieur à 250 salariés, le montant de l’abandon ou de la renonciation de loyers consenti au titre d’un mois est retenu dans la limite des 2/3 du montant du loyer prévu au bail au titre du mois concerné.</w:t>
      </w:r>
    </w:p>
    <w:p w14:paraId="415856CA" w14:textId="77777777" w:rsidR="003815F5" w:rsidRPr="00A847B7" w:rsidRDefault="003815F5" w:rsidP="003815F5">
      <w:pPr>
        <w:spacing w:beforeAutospacing="1" w:after="100" w:afterAutospacing="1"/>
        <w:rPr>
          <w:rFonts w:cstheme="minorHAnsi"/>
        </w:rPr>
      </w:pPr>
      <w:r w:rsidRPr="00A847B7">
        <w:rPr>
          <w:rFonts w:cstheme="minorHAnsi"/>
        </w:rPr>
        <w:t>Notez que le montant total des abandons ou renonciations de loyers dont bénéficie chaque entreprise locataire qui donne lieu au bénéfice du crédit d’impôt ne peut excéder un plafond de 800 000 €.</w:t>
      </w:r>
    </w:p>
    <w:p w14:paraId="750650DB" w14:textId="77777777" w:rsidR="003815F5" w:rsidRPr="00A847B7" w:rsidRDefault="003815F5" w:rsidP="00EE0687">
      <w:pPr>
        <w:pStyle w:val="Paragraphedeliste"/>
        <w:numPr>
          <w:ilvl w:val="0"/>
          <w:numId w:val="1"/>
        </w:numPr>
        <w:spacing w:beforeAutospacing="1" w:after="100" w:afterAutospacing="1"/>
        <w:rPr>
          <w:rFonts w:cstheme="minorHAnsi"/>
        </w:rPr>
      </w:pPr>
      <w:r w:rsidRPr="00A847B7">
        <w:rPr>
          <w:rFonts w:cstheme="minorHAnsi"/>
          <w:b/>
          <w:bCs/>
          <w:i/>
          <w:iCs/>
          <w:u w:val="single"/>
        </w:rPr>
        <w:t>Utilisation du crédit d’impôt</w:t>
      </w:r>
    </w:p>
    <w:p w14:paraId="0E58DAB9" w14:textId="77777777" w:rsidR="003815F5" w:rsidRPr="00A847B7" w:rsidRDefault="003815F5" w:rsidP="003815F5">
      <w:pPr>
        <w:spacing w:beforeAutospacing="1" w:after="100" w:afterAutospacing="1"/>
        <w:rPr>
          <w:rFonts w:cstheme="minorHAnsi"/>
        </w:rPr>
      </w:pPr>
      <w:r w:rsidRPr="00A847B7">
        <w:rPr>
          <w:rFonts w:cstheme="minorHAnsi"/>
        </w:rPr>
        <w:t>Pour les entreprises soumises à l’impôt sur le revenu (IR), le crédit d’impôt s’applique au titre de l’année civile au cours de laquelle les abandons ou renonciations définitifs de loyers ont été consentis, y compris en cas de clôture d’exercice en cours d’année civile. Si le montant du crédit d’impôt excède l’impôt dû, l’excédent est restitué.</w:t>
      </w:r>
    </w:p>
    <w:p w14:paraId="01CB93BF" w14:textId="77777777" w:rsidR="003815F5" w:rsidRPr="00A847B7" w:rsidRDefault="003815F5" w:rsidP="003815F5">
      <w:pPr>
        <w:spacing w:beforeAutospacing="1" w:after="100" w:afterAutospacing="1"/>
        <w:rPr>
          <w:rFonts w:cstheme="minorHAnsi"/>
        </w:rPr>
      </w:pPr>
      <w:r w:rsidRPr="00A847B7">
        <w:rPr>
          <w:rFonts w:cstheme="minorHAnsi"/>
        </w:rPr>
        <w:t>Par dérogation, le crédit d’impôt est imputable sur l’IR dû au titre de l’année 2021.</w:t>
      </w:r>
    </w:p>
    <w:p w14:paraId="79EFC420" w14:textId="77777777" w:rsidR="003815F5" w:rsidRPr="00A847B7" w:rsidRDefault="003815F5" w:rsidP="003815F5">
      <w:pPr>
        <w:spacing w:beforeAutospacing="1" w:after="100" w:afterAutospacing="1"/>
        <w:rPr>
          <w:rFonts w:cstheme="minorHAnsi"/>
        </w:rPr>
      </w:pPr>
      <w:r w:rsidRPr="00A847B7">
        <w:rPr>
          <w:rFonts w:cstheme="minorHAnsi"/>
        </w:rPr>
        <w:t>Pour les entreprises soumises à l’impôt sur les sociétés (IS), le crédit d’impôt est imputé sur l’IS dû par l’entreprise au titre de l’exercice au cours duquel les abandons ou les renonciations définitifs de loyers ont été consentis. Si le montant du crédit d’impôt excède l’impôt dû, l’excédent est restitué.</w:t>
      </w:r>
    </w:p>
    <w:p w14:paraId="7E43F33D" w14:textId="77777777" w:rsidR="003815F5" w:rsidRPr="00A847B7" w:rsidRDefault="003815F5" w:rsidP="003815F5">
      <w:pPr>
        <w:spacing w:beforeAutospacing="1" w:after="100" w:afterAutospacing="1"/>
        <w:rPr>
          <w:rFonts w:cstheme="minorHAnsi"/>
        </w:rPr>
      </w:pPr>
      <w:r w:rsidRPr="00A847B7">
        <w:rPr>
          <w:rFonts w:cstheme="minorHAnsi"/>
        </w:rPr>
        <w:t>Par dérogation, le crédit d’impôt est imputable sur l’IS dû au titre des exercices clos à compter du 31 décembre 2021.</w:t>
      </w:r>
    </w:p>
    <w:p w14:paraId="0FD7666C" w14:textId="77777777" w:rsidR="003815F5" w:rsidRPr="00A847B7" w:rsidRDefault="003815F5" w:rsidP="003815F5">
      <w:pPr>
        <w:spacing w:beforeAutospacing="1" w:after="100" w:afterAutospacing="1"/>
        <w:rPr>
          <w:rFonts w:cstheme="minorHAnsi"/>
        </w:rPr>
      </w:pPr>
      <w:r w:rsidRPr="00A847B7">
        <w:rPr>
          <w:rFonts w:cstheme="minorHAnsi"/>
        </w:rPr>
        <w:t>Dans le cas d’un groupe de sociétés ayant opté pour le régime de l’intégration fiscale, la société mère est substituée aux sociétés du groupe pour l’imputation du crédit d’impôt dégagé par chaque société sur le montant de l’IS dont elle est redevable.</w:t>
      </w:r>
    </w:p>
    <w:p w14:paraId="5580E911" w14:textId="3A6BCCE7" w:rsidR="003815F5" w:rsidRPr="00A847B7" w:rsidRDefault="003815F5" w:rsidP="003815F5">
      <w:pPr>
        <w:spacing w:beforeAutospacing="1" w:after="100" w:afterAutospacing="1"/>
        <w:rPr>
          <w:rFonts w:cstheme="minorHAnsi"/>
        </w:rPr>
      </w:pPr>
      <w:r w:rsidRPr="00A847B7">
        <w:rPr>
          <w:rFonts w:cstheme="minorHAnsi"/>
        </w:rPr>
        <w:lastRenderedPageBreak/>
        <w:t>Enfin, précisons que l’excédent de crédit d’impôt non utilisé est inaliénable et incessible, sauf dans les cas et selon les conditions prévu</w:t>
      </w:r>
      <w:r w:rsidR="00125CC0">
        <w:rPr>
          <w:rFonts w:cstheme="minorHAnsi"/>
        </w:rPr>
        <w:t>e</w:t>
      </w:r>
      <w:r w:rsidRPr="00A847B7">
        <w:rPr>
          <w:rFonts w:cstheme="minorHAnsi"/>
        </w:rPr>
        <w:t>s en matière de cession « Dailly ».</w:t>
      </w:r>
    </w:p>
    <w:p w14:paraId="4D7A14FB" w14:textId="77777777" w:rsidR="003815F5" w:rsidRPr="00A847B7" w:rsidRDefault="003815F5" w:rsidP="003815F5">
      <w:pPr>
        <w:spacing w:beforeAutospacing="1" w:after="100" w:afterAutospacing="1"/>
        <w:rPr>
          <w:rFonts w:cstheme="minorHAnsi"/>
        </w:rPr>
      </w:pPr>
      <w:r w:rsidRPr="00A847B7">
        <w:rPr>
          <w:rFonts w:cstheme="minorHAnsi"/>
        </w:rPr>
        <w:t>Schématiquement, les cessions « Dailly » consistent, pour une entreprise, à céder ou à nantir une ou plusieurs créance(s) qu’elle détient sur ses clients à une banque, qui, en contrepartie, lui verse le montant des sommes cédées.</w:t>
      </w:r>
    </w:p>
    <w:p w14:paraId="5F83B8EC" w14:textId="77777777" w:rsidR="003815F5" w:rsidRPr="00A847B7" w:rsidRDefault="003815F5" w:rsidP="00EE0687">
      <w:pPr>
        <w:pStyle w:val="Paragraphedeliste"/>
        <w:numPr>
          <w:ilvl w:val="0"/>
          <w:numId w:val="1"/>
        </w:numPr>
        <w:spacing w:beforeAutospacing="1" w:after="100" w:afterAutospacing="1"/>
        <w:rPr>
          <w:rFonts w:cstheme="minorHAnsi"/>
        </w:rPr>
      </w:pPr>
      <w:r w:rsidRPr="00A847B7">
        <w:rPr>
          <w:rFonts w:cstheme="minorHAnsi"/>
          <w:b/>
          <w:bCs/>
          <w:i/>
          <w:iCs/>
          <w:u w:val="single"/>
        </w:rPr>
        <w:t>Formalités déclaratives</w:t>
      </w:r>
    </w:p>
    <w:p w14:paraId="5B5A2A79" w14:textId="77777777" w:rsidR="003815F5" w:rsidRPr="00A847B7" w:rsidRDefault="003815F5" w:rsidP="003815F5">
      <w:pPr>
        <w:spacing w:beforeAutospacing="1" w:after="100" w:afterAutospacing="1"/>
        <w:rPr>
          <w:rFonts w:cstheme="minorHAnsi"/>
        </w:rPr>
      </w:pPr>
      <w:r w:rsidRPr="00A847B7">
        <w:rPr>
          <w:rFonts w:cstheme="minorHAnsi"/>
        </w:rPr>
        <w:t>Pour bénéficier du crédit d’impôt, les bailleurs doivent déposer une déclaration conforme à un modèle établi par l’administration fiscale, dans les mêmes délais que la déclaration annuelle de revenu ou de résultat.</w:t>
      </w:r>
    </w:p>
    <w:p w14:paraId="2D1C3DA6" w14:textId="77777777" w:rsidR="003815F5" w:rsidRPr="00A847B7" w:rsidRDefault="003815F5" w:rsidP="003815F5">
      <w:pPr>
        <w:spacing w:beforeAutospacing="1" w:after="100" w:afterAutospacing="1"/>
        <w:rPr>
          <w:rFonts w:cstheme="minorHAnsi"/>
        </w:rPr>
      </w:pPr>
      <w:r w:rsidRPr="00A847B7">
        <w:rPr>
          <w:rFonts w:cstheme="minorHAnsi"/>
        </w:rPr>
        <w:t>Dans le cas d’un groupe de sociétés ayant opté pour le régime de l’intégration fiscale, la société mère déclare les crédits d’impôt pour le compte des sociétés du groupe, y compris ceux qui la concernent, lors du dépôt de la déclaration relative au résultat d’ensemble du groupe.</w:t>
      </w:r>
    </w:p>
    <w:p w14:paraId="2F75CD0B" w14:textId="616F908E" w:rsidR="003815F5" w:rsidRPr="00E43388" w:rsidRDefault="00177F16" w:rsidP="00EE0687">
      <w:pPr>
        <w:pStyle w:val="Paragraphedeliste"/>
        <w:numPr>
          <w:ilvl w:val="0"/>
          <w:numId w:val="1"/>
        </w:numPr>
        <w:rPr>
          <w:b/>
          <w:bCs/>
          <w:i/>
          <w:iCs/>
          <w:u w:val="single"/>
        </w:rPr>
      </w:pPr>
      <w:r w:rsidRPr="00E43388">
        <w:rPr>
          <w:b/>
          <w:bCs/>
          <w:i/>
          <w:iCs/>
          <w:u w:val="single"/>
        </w:rPr>
        <w:t>Déduction des abandons de loyers</w:t>
      </w:r>
    </w:p>
    <w:p w14:paraId="47B63F2D" w14:textId="7AF8B1B3" w:rsidR="00184987" w:rsidRDefault="00244FFA" w:rsidP="003815F5">
      <w:bookmarkStart w:id="129" w:name="_Hlk60739565"/>
      <w:r>
        <w:t>Lors du 1</w:t>
      </w:r>
      <w:r w:rsidRPr="00E43388">
        <w:rPr>
          <w:vertAlign w:val="superscript"/>
        </w:rPr>
        <w:t>er</w:t>
      </w:r>
      <w:r>
        <w:t xml:space="preserve"> état d’urgence sanitaire</w:t>
      </w:r>
      <w:r w:rsidR="00B968FF" w:rsidRPr="00B968FF">
        <w:t xml:space="preserve">, les abandons de créances de loyers et accessoires afférents à un immeuble </w:t>
      </w:r>
      <w:r>
        <w:t>consenti par les bailleurs, quel que soit leur régime d’imposition (revenus fonciers, BIC, BNC, IS)</w:t>
      </w:r>
      <w:r w:rsidR="00B968FF" w:rsidRPr="00B968FF">
        <w:t xml:space="preserve"> à une entreprise locataire n’ayant pas de lien de dépendance avec eux, entre le 15 avril et le 31 décembre 2020, constitu</w:t>
      </w:r>
      <w:r w:rsidR="00327B52">
        <w:t>ai</w:t>
      </w:r>
      <w:r w:rsidR="00B968FF" w:rsidRPr="00B968FF">
        <w:t>ent des charges déductibles de leur revenu imposable.</w:t>
      </w:r>
    </w:p>
    <w:p w14:paraId="76DC5B8E" w14:textId="31367DFD" w:rsidR="00327B52" w:rsidRDefault="00327B52" w:rsidP="003815F5">
      <w:r>
        <w:t>La Loi de Finances pour 202</w:t>
      </w:r>
      <w:r w:rsidR="00177F16">
        <w:t>1 proroge cette mesure jusqu’au 30 juin 2021.</w:t>
      </w:r>
    </w:p>
    <w:bookmarkEnd w:id="129"/>
    <w:p w14:paraId="274FCB68" w14:textId="77777777" w:rsidR="00177F16" w:rsidRPr="00A847B7" w:rsidRDefault="00177F16" w:rsidP="003815F5"/>
    <w:p w14:paraId="53C5737F" w14:textId="33EE6B04" w:rsidR="000260AE" w:rsidRPr="00A847B7" w:rsidRDefault="000260AE" w:rsidP="000260AE">
      <w:pPr>
        <w:pStyle w:val="Titre3"/>
      </w:pPr>
      <w:bookmarkStart w:id="130" w:name="_Toc60781046"/>
      <w:r w:rsidRPr="00A847B7">
        <w:t xml:space="preserve">Slide </w:t>
      </w:r>
      <w:r w:rsidR="001F110C">
        <w:t>85</w:t>
      </w:r>
      <w:r w:rsidRPr="00A847B7">
        <w:t xml:space="preserve"> : </w:t>
      </w:r>
      <w:r>
        <w:t>A</w:t>
      </w:r>
      <w:r w:rsidRPr="00A847B7">
        <w:t>ides versées par les régimes de retraite complémentaire</w:t>
      </w:r>
      <w:bookmarkEnd w:id="130"/>
      <w:r w:rsidRPr="00A847B7">
        <w:t xml:space="preserve"> </w:t>
      </w:r>
    </w:p>
    <w:p w14:paraId="58ECBAF5" w14:textId="4BED68E5" w:rsidR="000260AE" w:rsidRPr="00A847B7" w:rsidRDefault="002E64E5" w:rsidP="002E64E5">
      <w:r w:rsidRPr="004F587E">
        <w:rPr>
          <w:u w:val="single"/>
        </w:rPr>
        <w:t xml:space="preserve">Source </w:t>
      </w:r>
      <w:r w:rsidRPr="00A847B7">
        <w:t>:</w:t>
      </w:r>
      <w:r w:rsidR="000260AE" w:rsidRPr="00A847B7">
        <w:t xml:space="preserve"> Loi de Finances pour </w:t>
      </w:r>
      <w:r w:rsidR="000260AE" w:rsidRPr="00901F36">
        <w:t xml:space="preserve">2021, </w:t>
      </w:r>
      <w:r w:rsidR="000260AE" w:rsidRPr="005A54C4">
        <w:t xml:space="preserve">article </w:t>
      </w:r>
      <w:r w:rsidR="000260AE" w:rsidRPr="00901F36">
        <w:t>26</w:t>
      </w:r>
    </w:p>
    <w:p w14:paraId="0CCD3175" w14:textId="46A41E33" w:rsidR="000260AE" w:rsidRPr="00A847B7" w:rsidRDefault="000260AE" w:rsidP="000260AE">
      <w:pPr>
        <w:rPr>
          <w:rFonts w:cstheme="minorHAnsi"/>
        </w:rPr>
      </w:pPr>
      <w:r w:rsidRPr="00A847B7">
        <w:rPr>
          <w:rFonts w:cstheme="minorHAnsi"/>
        </w:rPr>
        <w:t>Depuis le 23 mars 2020, à titre exceptionnel, le Conseil de la protection sociale des travailleurs indépendants (CPSTI) est autorisé à affecter en 2020 une partie des réserves financières des régimes d'assurance vieillesse complémentaire et des régimes d'invalidité-décès qu’il gère, au financement d'une aide financière exceptionnelle d’un montant maximal de 1 500 € destinée aux cotisants et, le cas échéant, à leurs conjoints collaborateurs afin de faire face aux difficultés économiques et sociales liées à l'épidémie de covid-19.</w:t>
      </w:r>
    </w:p>
    <w:p w14:paraId="36EF10EC" w14:textId="77777777" w:rsidR="000260AE" w:rsidRPr="00A847B7" w:rsidRDefault="000260AE" w:rsidP="000260AE">
      <w:pPr>
        <w:rPr>
          <w:rFonts w:cstheme="minorHAnsi"/>
        </w:rPr>
      </w:pPr>
      <w:r w:rsidRPr="00A847B7">
        <w:rPr>
          <w:rFonts w:cstheme="minorHAnsi"/>
        </w:rPr>
        <w:t>Cette aide est exonérée d’impôt sur le revenu (IR), d’impôt sur les sociétés (IS), et de toutes les contributions sociales d’origine légale ou conventionnelle.</w:t>
      </w:r>
    </w:p>
    <w:p w14:paraId="0C690926" w14:textId="77777777" w:rsidR="000260AE" w:rsidRPr="00A847B7" w:rsidRDefault="000260AE" w:rsidP="000260AE">
      <w:pPr>
        <w:rPr>
          <w:rFonts w:cstheme="minorHAnsi"/>
        </w:rPr>
      </w:pPr>
      <w:r w:rsidRPr="00A847B7">
        <w:rPr>
          <w:rFonts w:cstheme="minorHAnsi"/>
        </w:rPr>
        <w:t>Cette exonération est soumise au respect du plafonnement applicable en matière de réglementation européenne relative aux aides de minimis.</w:t>
      </w:r>
    </w:p>
    <w:p w14:paraId="3490C15C" w14:textId="77777777" w:rsidR="000260AE" w:rsidRPr="00A847B7" w:rsidRDefault="000260AE" w:rsidP="000260AE">
      <w:pPr>
        <w:rPr>
          <w:rFonts w:cstheme="minorHAnsi"/>
        </w:rPr>
      </w:pPr>
      <w:r w:rsidRPr="00A847B7">
        <w:rPr>
          <w:rFonts w:cstheme="minorHAnsi"/>
        </w:rPr>
        <w:t>Pour mémoire, cette réglementation prévoit que le total des avantages fiscaux dont peut bénéficier une entreprise est limitée à 200 000 € sur une période glissante de 3 ans.</w:t>
      </w:r>
    </w:p>
    <w:p w14:paraId="3056B5FF" w14:textId="77777777" w:rsidR="000260AE" w:rsidRPr="00A847B7" w:rsidRDefault="000260AE" w:rsidP="000260AE">
      <w:r w:rsidRPr="00A847B7">
        <w:t>Enfin, notez qu’il ne sera pas tenu compte du montant de cette aide pour l’appréciation des limites :</w:t>
      </w:r>
    </w:p>
    <w:p w14:paraId="0990CDBC" w14:textId="77777777" w:rsidR="000260AE" w:rsidRPr="00A847B7" w:rsidRDefault="000260AE" w:rsidP="00EE0687">
      <w:pPr>
        <w:pStyle w:val="Paragraphedeliste"/>
        <w:numPr>
          <w:ilvl w:val="0"/>
          <w:numId w:val="15"/>
        </w:numPr>
      </w:pPr>
      <w:r w:rsidRPr="00A847B7">
        <w:t>des régimes micro-BIC (bénéfices industriels et commerciaux) et micro-BNC (bénéfices non commerciaux) ;</w:t>
      </w:r>
    </w:p>
    <w:p w14:paraId="13314D76" w14:textId="77777777" w:rsidR="000260AE" w:rsidRPr="00A847B7" w:rsidRDefault="000260AE" w:rsidP="00EE0687">
      <w:pPr>
        <w:pStyle w:val="Paragraphedeliste"/>
        <w:numPr>
          <w:ilvl w:val="0"/>
          <w:numId w:val="15"/>
        </w:numPr>
      </w:pPr>
      <w:r w:rsidRPr="00A847B7">
        <w:t xml:space="preserve">du régime simplifié pour les entreprises relevant des BIC ; </w:t>
      </w:r>
    </w:p>
    <w:p w14:paraId="65756921" w14:textId="77777777" w:rsidR="000260AE" w:rsidRPr="00A847B7" w:rsidRDefault="000260AE" w:rsidP="00EE0687">
      <w:pPr>
        <w:pStyle w:val="Paragraphedeliste"/>
        <w:numPr>
          <w:ilvl w:val="0"/>
          <w:numId w:val="15"/>
        </w:numPr>
      </w:pPr>
      <w:r w:rsidRPr="00A847B7">
        <w:lastRenderedPageBreak/>
        <w:t>du régime d’exonération des plus-values professionnelles qui est fonction du montant des recettes de l’entreprise.</w:t>
      </w:r>
    </w:p>
    <w:p w14:paraId="644EF8D8" w14:textId="77777777" w:rsidR="000260AE" w:rsidRPr="008F2805" w:rsidRDefault="000260AE" w:rsidP="000260AE">
      <w:r w:rsidRPr="008F2805">
        <w:t xml:space="preserve">Cette exonération d’impôt s’applique également, dans les mêmes conditions, aux aides financières exceptionnelles versées aux travailleurs indépendants par la </w:t>
      </w:r>
      <w:proofErr w:type="spellStart"/>
      <w:r w:rsidRPr="008F2805">
        <w:t>Cnav</w:t>
      </w:r>
      <w:proofErr w:type="spellEnd"/>
      <w:r w:rsidRPr="008F2805">
        <w:t>-PL (Caisse nationale d'assurance vieillesse des professions libérales) et la CNBF (caisse nationale des barreaux français).</w:t>
      </w:r>
    </w:p>
    <w:p w14:paraId="44AD58DA" w14:textId="77777777" w:rsidR="000260AE" w:rsidRPr="008F2805" w:rsidRDefault="000260AE" w:rsidP="000260AE"/>
    <w:p w14:paraId="032625D7" w14:textId="516D3E4A" w:rsidR="000260AE" w:rsidRPr="00A847B7" w:rsidRDefault="000260AE" w:rsidP="000260AE">
      <w:pPr>
        <w:pStyle w:val="Titre3"/>
      </w:pPr>
      <w:bookmarkStart w:id="131" w:name="_Toc60781047"/>
      <w:r w:rsidRPr="00A847B7">
        <w:t xml:space="preserve">Slide </w:t>
      </w:r>
      <w:r w:rsidR="00D5726E">
        <w:t>86</w:t>
      </w:r>
      <w:r w:rsidRPr="00A847B7">
        <w:t> : Fonds de solidarité</w:t>
      </w:r>
      <w:bookmarkEnd w:id="131"/>
    </w:p>
    <w:p w14:paraId="69866007" w14:textId="4F7AD5E4" w:rsidR="000260AE" w:rsidRPr="005A54C4" w:rsidRDefault="002E64E5" w:rsidP="000260AE">
      <w:pPr>
        <w:rPr>
          <w:rFonts w:ascii="Arial" w:hAnsi="Arial" w:cs="Arial"/>
        </w:rPr>
      </w:pPr>
      <w:r w:rsidRPr="004F587E">
        <w:rPr>
          <w:u w:val="single"/>
        </w:rPr>
        <w:t xml:space="preserve">Source </w:t>
      </w:r>
      <w:r w:rsidRPr="00A847B7">
        <w:t>:</w:t>
      </w:r>
      <w:r w:rsidR="000260AE" w:rsidRPr="005A54C4">
        <w:rPr>
          <w:rFonts w:cstheme="minorHAnsi"/>
        </w:rPr>
        <w:t xml:space="preserve"> Loi de Finances pour 2021, article 216</w:t>
      </w:r>
    </w:p>
    <w:p w14:paraId="631ECBDA" w14:textId="77777777" w:rsidR="000260AE" w:rsidRPr="00A847B7" w:rsidRDefault="000260AE" w:rsidP="000260AE">
      <w:pPr>
        <w:rPr>
          <w:rFonts w:cstheme="minorHAnsi"/>
        </w:rPr>
      </w:pPr>
      <w:r w:rsidRPr="00A847B7">
        <w:rPr>
          <w:rFonts w:cstheme="minorHAnsi"/>
        </w:rPr>
        <w:t>Pour soutenir la trésorerie des entreprises particulièrement touchées par les conséquences économiques, financières et sociales de la crise sanitaire liée à la propagation de la covid-19, le Gouvernement crée le dispositif du Fonds de solidarité.</w:t>
      </w:r>
    </w:p>
    <w:p w14:paraId="2F7F5CD6" w14:textId="77777777" w:rsidR="000260AE" w:rsidRPr="00A847B7" w:rsidRDefault="000260AE" w:rsidP="000260AE">
      <w:pPr>
        <w:rPr>
          <w:rFonts w:cstheme="minorHAnsi"/>
        </w:rPr>
      </w:pPr>
      <w:r w:rsidRPr="00A847B7">
        <w:rPr>
          <w:rFonts w:cstheme="minorHAnsi"/>
        </w:rPr>
        <w:t>Initialement, ce dispositif devait prendre fin au 31 décembre 2020. La Loi de Finances pour 2021 vient prolonger son application jusqu’au 16 février 2021, et prévoir que cette durée d’intervention pourra être prolongée, par Décret, pour une durée d’au plus 6 mois.</w:t>
      </w:r>
    </w:p>
    <w:p w14:paraId="44195422" w14:textId="77777777" w:rsidR="000260AE" w:rsidRPr="00A847B7" w:rsidRDefault="000260AE" w:rsidP="000260AE">
      <w:pPr>
        <w:rPr>
          <w:rFonts w:cstheme="minorHAnsi"/>
        </w:rPr>
      </w:pPr>
    </w:p>
    <w:p w14:paraId="7D1E37FF" w14:textId="41A38087" w:rsidR="000260AE" w:rsidRPr="00A847B7" w:rsidRDefault="000260AE" w:rsidP="000260AE">
      <w:pPr>
        <w:pStyle w:val="Titre3"/>
      </w:pPr>
      <w:bookmarkStart w:id="132" w:name="_Toc60781048"/>
      <w:r w:rsidRPr="00A847B7">
        <w:t xml:space="preserve">Slide </w:t>
      </w:r>
      <w:r w:rsidR="00AA7F98">
        <w:t>87</w:t>
      </w:r>
      <w:r w:rsidRPr="00A847B7">
        <w:t> : Prêt garanti par l’Etat (PGE)</w:t>
      </w:r>
      <w:bookmarkEnd w:id="132"/>
    </w:p>
    <w:p w14:paraId="0B57276D" w14:textId="6A368FF5" w:rsidR="000260AE" w:rsidRPr="00A847B7" w:rsidRDefault="002E64E5" w:rsidP="000260AE">
      <w:pPr>
        <w:rPr>
          <w:rFonts w:cstheme="minorHAnsi"/>
        </w:rPr>
      </w:pPr>
      <w:r w:rsidRPr="004F587E">
        <w:rPr>
          <w:u w:val="single"/>
        </w:rPr>
        <w:t xml:space="preserve">Source </w:t>
      </w:r>
      <w:r w:rsidRPr="00A847B7">
        <w:t>:</w:t>
      </w:r>
      <w:r w:rsidR="000260AE" w:rsidRPr="005A54C4">
        <w:rPr>
          <w:rFonts w:cstheme="minorHAnsi"/>
        </w:rPr>
        <w:t xml:space="preserve"> </w:t>
      </w:r>
      <w:r w:rsidR="000260AE" w:rsidRPr="007E347E">
        <w:rPr>
          <w:rFonts w:cstheme="minorHAnsi"/>
        </w:rPr>
        <w:t>Loi de Finances pour 2021,</w:t>
      </w:r>
      <w:r w:rsidR="000260AE" w:rsidRPr="005A54C4">
        <w:rPr>
          <w:rFonts w:cstheme="minorHAnsi"/>
        </w:rPr>
        <w:t xml:space="preserve"> articles </w:t>
      </w:r>
      <w:r w:rsidR="000260AE" w:rsidRPr="007E347E">
        <w:rPr>
          <w:rFonts w:cstheme="minorHAnsi"/>
        </w:rPr>
        <w:t>213 et 214</w:t>
      </w:r>
    </w:p>
    <w:p w14:paraId="299048C1" w14:textId="77777777" w:rsidR="000260AE" w:rsidRPr="00A847B7" w:rsidRDefault="000260AE" w:rsidP="000260AE">
      <w:pPr>
        <w:rPr>
          <w:rFonts w:cstheme="minorHAnsi"/>
        </w:rPr>
      </w:pPr>
      <w:r w:rsidRPr="00A847B7">
        <w:rPr>
          <w:rFonts w:cstheme="minorHAnsi"/>
        </w:rPr>
        <w:t>Pour soutenir les entreprises touchées par la crise sanitaire, l’Etat a mis en place un dispositif de prêts bancaires auxquels il apporte sa garantie du 16 mars 2020 au 30 juin 2021 : c’est ce que l’on appelle le prêt garanti par l’Etat (PGE).</w:t>
      </w:r>
    </w:p>
    <w:p w14:paraId="1F43EAE2" w14:textId="77777777" w:rsidR="000260AE" w:rsidRPr="00A847B7" w:rsidRDefault="000260AE" w:rsidP="000260AE">
      <w:pPr>
        <w:rPr>
          <w:rFonts w:cstheme="minorHAnsi"/>
        </w:rPr>
      </w:pPr>
      <w:r w:rsidRPr="00A847B7">
        <w:rPr>
          <w:rFonts w:cstheme="minorHAnsi"/>
        </w:rPr>
        <w:t>Les PGE comportent un différé d’amortissement minimal de 12 mois et une clause donnant la faculté, à l’emprunteur, à l’issue de la 1</w:t>
      </w:r>
      <w:r w:rsidRPr="00A847B7">
        <w:rPr>
          <w:rFonts w:cstheme="minorHAnsi"/>
          <w:vertAlign w:val="superscript"/>
        </w:rPr>
        <w:t>ère</w:t>
      </w:r>
      <w:r w:rsidRPr="00A847B7">
        <w:rPr>
          <w:rFonts w:cstheme="minorHAnsi"/>
        </w:rPr>
        <w:t xml:space="preserve"> année, de les amortir sur une période additionnelle de 1, 2, 3, 4 ou 5 ans.</w:t>
      </w:r>
    </w:p>
    <w:p w14:paraId="0B96A09E" w14:textId="77777777" w:rsidR="000260AE" w:rsidRPr="00A847B7" w:rsidRDefault="000260AE" w:rsidP="000260AE">
      <w:pPr>
        <w:rPr>
          <w:rFonts w:cstheme="minorHAnsi"/>
        </w:rPr>
      </w:pPr>
      <w:r w:rsidRPr="00A847B7">
        <w:rPr>
          <w:rFonts w:cstheme="minorHAnsi"/>
        </w:rPr>
        <w:t>En principe, les concours totaux apportés par l'établissement prêteur ou par un même intermédiaire en financement participatif au bénéficiaire du PGE ne doivent pas avoir diminué, lors de l'octroi de la garantie :</w:t>
      </w:r>
    </w:p>
    <w:p w14:paraId="2C9C8FF0" w14:textId="77777777" w:rsidR="000260AE" w:rsidRPr="00A847B7" w:rsidRDefault="000260AE" w:rsidP="00EE0687">
      <w:pPr>
        <w:pStyle w:val="Paragraphedeliste"/>
        <w:numPr>
          <w:ilvl w:val="0"/>
          <w:numId w:val="147"/>
        </w:numPr>
        <w:rPr>
          <w:rFonts w:cstheme="minorHAnsi"/>
        </w:rPr>
      </w:pPr>
      <w:r w:rsidRPr="00A847B7">
        <w:rPr>
          <w:rFonts w:cstheme="minorHAnsi"/>
        </w:rPr>
        <w:t>par rapport au niveau qui était le leur le 16 mars 2020, dans le cas où l’octroi du PGE intervient avant le 1</w:t>
      </w:r>
      <w:r w:rsidRPr="00A847B7">
        <w:rPr>
          <w:rFonts w:cstheme="minorHAnsi"/>
          <w:vertAlign w:val="superscript"/>
        </w:rPr>
        <w:t>er</w:t>
      </w:r>
      <w:r w:rsidRPr="00A847B7">
        <w:rPr>
          <w:rFonts w:cstheme="minorHAnsi"/>
        </w:rPr>
        <w:t xml:space="preserve"> janvier 2021 ;</w:t>
      </w:r>
    </w:p>
    <w:p w14:paraId="0D4AA90E" w14:textId="77777777" w:rsidR="000260AE" w:rsidRPr="00A847B7" w:rsidRDefault="000260AE" w:rsidP="00EE0687">
      <w:pPr>
        <w:pStyle w:val="Paragraphedeliste"/>
        <w:numPr>
          <w:ilvl w:val="0"/>
          <w:numId w:val="147"/>
        </w:numPr>
        <w:rPr>
          <w:rFonts w:cstheme="minorHAnsi"/>
        </w:rPr>
      </w:pPr>
      <w:r w:rsidRPr="00A847B7">
        <w:rPr>
          <w:rFonts w:cstheme="minorHAnsi"/>
        </w:rPr>
        <w:t>par rapport au niveau qui était le leur le 31 décembre 2020, dans le cas où l’octroi du PGE intervient à compter du 1</w:t>
      </w:r>
      <w:r w:rsidRPr="00A847B7">
        <w:rPr>
          <w:rFonts w:cstheme="minorHAnsi"/>
          <w:vertAlign w:val="superscript"/>
        </w:rPr>
        <w:t>er</w:t>
      </w:r>
      <w:r w:rsidRPr="00A847B7">
        <w:rPr>
          <w:rFonts w:cstheme="minorHAnsi"/>
        </w:rPr>
        <w:t xml:space="preserve"> janvier 2021 inclus.</w:t>
      </w:r>
    </w:p>
    <w:p w14:paraId="044440C7" w14:textId="77777777" w:rsidR="000260AE" w:rsidRPr="00A847B7" w:rsidRDefault="000260AE" w:rsidP="000260AE">
      <w:pPr>
        <w:rPr>
          <w:rFonts w:cstheme="minorHAnsi"/>
        </w:rPr>
      </w:pPr>
      <w:r w:rsidRPr="00A847B7">
        <w:rPr>
          <w:rFonts w:cstheme="minorHAnsi"/>
        </w:rPr>
        <w:t>Notez que les PGE consentis aux entreprises qui emploient, lors du dernier exercice clos précédent la date du 1</w:t>
      </w:r>
      <w:r w:rsidRPr="00A847B7">
        <w:rPr>
          <w:rFonts w:cstheme="minorHAnsi"/>
          <w:vertAlign w:val="superscript"/>
        </w:rPr>
        <w:t>er</w:t>
      </w:r>
      <w:r w:rsidRPr="00A847B7">
        <w:rPr>
          <w:rFonts w:cstheme="minorHAnsi"/>
        </w:rPr>
        <w:t xml:space="preserve"> octroi d’un tel prêt à une même entreprise, au moins 5 000 salariés ou qui ont un chiffre d'affaires supérieur à 1,5 Md€ sont octroyées par arrêté du ministre chargé de l'économie.</w:t>
      </w:r>
    </w:p>
    <w:p w14:paraId="4975B8BB" w14:textId="77777777" w:rsidR="000260AE" w:rsidRPr="00A847B7" w:rsidRDefault="000260AE" w:rsidP="000260AE">
      <w:pPr>
        <w:rPr>
          <w:rFonts w:cstheme="minorHAnsi"/>
        </w:rPr>
      </w:pPr>
      <w:r w:rsidRPr="00A847B7">
        <w:rPr>
          <w:rFonts w:cstheme="minorHAnsi"/>
        </w:rPr>
        <w:t>Enfin, la garantie de l'Etat peut être accordée aux nouveaux financements octroyés à compter du 1</w:t>
      </w:r>
      <w:r w:rsidRPr="00A847B7">
        <w:rPr>
          <w:rFonts w:cstheme="minorHAnsi"/>
          <w:vertAlign w:val="superscript"/>
        </w:rPr>
        <w:t>er</w:t>
      </w:r>
      <w:r w:rsidRPr="00A847B7">
        <w:rPr>
          <w:rFonts w:cstheme="minorHAnsi"/>
        </w:rPr>
        <w:t xml:space="preserve"> août 2020 par des établissements de crédit et des sociétés de financement à des entreprises immatriculées en France, au titre d'une ou plusieurs cessions de créances professionnelles qui interviennent jusqu'au 30 juin 2021 (au lieu du 31 décembre 2020) et résultent de commandes confirmées par ces entreprises.</w:t>
      </w:r>
    </w:p>
    <w:p w14:paraId="443CBEBE" w14:textId="77777777" w:rsidR="000260AE" w:rsidRPr="00A847B7" w:rsidRDefault="000260AE" w:rsidP="000260AE">
      <w:pPr>
        <w:rPr>
          <w:rFonts w:cstheme="minorHAnsi"/>
        </w:rPr>
      </w:pPr>
      <w:r w:rsidRPr="00A847B7">
        <w:rPr>
          <w:rFonts w:cstheme="minorHAnsi"/>
        </w:rPr>
        <w:t>Ces financements doivent respecter un cahier des charges précis.</w:t>
      </w:r>
    </w:p>
    <w:p w14:paraId="696E4C92" w14:textId="77777777" w:rsidR="000260AE" w:rsidRPr="00A847B7" w:rsidRDefault="000260AE" w:rsidP="000260AE">
      <w:pPr>
        <w:rPr>
          <w:rFonts w:cstheme="minorHAnsi"/>
        </w:rPr>
      </w:pPr>
      <w:r w:rsidRPr="00A847B7">
        <w:rPr>
          <w:rFonts w:cstheme="minorHAnsi"/>
        </w:rPr>
        <w:lastRenderedPageBreak/>
        <w:t>La date d'échéance finale de chaque financement couvert par cette garantie ne peut pas dépasser une date limite précisée par le cahier des charges et fixée au plus tard au 31 décembre 2021 (au lieu du 30 juin 2021).</w:t>
      </w:r>
    </w:p>
    <w:p w14:paraId="477C7D2B" w14:textId="77777777" w:rsidR="000260AE" w:rsidRPr="00A847B7" w:rsidRDefault="000260AE" w:rsidP="000260AE">
      <w:pPr>
        <w:rPr>
          <w:rFonts w:cstheme="minorHAnsi"/>
        </w:rPr>
      </w:pPr>
    </w:p>
    <w:p w14:paraId="56B13FFF" w14:textId="167CC8C1" w:rsidR="000260AE" w:rsidRPr="00A847B7" w:rsidRDefault="000260AE" w:rsidP="000260AE">
      <w:pPr>
        <w:pStyle w:val="Titre3"/>
      </w:pPr>
      <w:bookmarkStart w:id="133" w:name="_Toc60781049"/>
      <w:r w:rsidRPr="00A847B7">
        <w:t xml:space="preserve">Slide </w:t>
      </w:r>
      <w:r w:rsidR="00C0604E">
        <w:t>88</w:t>
      </w:r>
      <w:r w:rsidRPr="00A847B7">
        <w:t> : Obligation déclarative des micros-entrepreneurs</w:t>
      </w:r>
      <w:bookmarkEnd w:id="133"/>
    </w:p>
    <w:p w14:paraId="68F102FC" w14:textId="268AA65C" w:rsidR="000260AE" w:rsidRPr="00A847B7" w:rsidRDefault="002E64E5" w:rsidP="002E64E5">
      <w:r w:rsidRPr="004F587E">
        <w:rPr>
          <w:u w:val="single"/>
        </w:rPr>
        <w:t xml:space="preserve">Source </w:t>
      </w:r>
      <w:r w:rsidRPr="00A847B7">
        <w:t>:</w:t>
      </w:r>
      <w:r w:rsidR="000260AE" w:rsidRPr="00A847B7">
        <w:t xml:space="preserve"> Loi de Finances pour 2021, </w:t>
      </w:r>
      <w:r w:rsidR="000260AE" w:rsidRPr="005A54C4">
        <w:t xml:space="preserve">article </w:t>
      </w:r>
      <w:r w:rsidR="000260AE" w:rsidRPr="00836E90">
        <w:t>28</w:t>
      </w:r>
    </w:p>
    <w:p w14:paraId="010C663A" w14:textId="77777777" w:rsidR="000260AE" w:rsidRPr="00A847B7" w:rsidRDefault="000260AE" w:rsidP="000260AE">
      <w:pPr>
        <w:spacing w:beforeAutospacing="1" w:after="100" w:afterAutospacing="1"/>
        <w:rPr>
          <w:rFonts w:cstheme="minorHAnsi"/>
        </w:rPr>
      </w:pPr>
      <w:r w:rsidRPr="00A847B7">
        <w:rPr>
          <w:rFonts w:cstheme="minorHAnsi"/>
        </w:rPr>
        <w:t xml:space="preserve">Dans le cadre de la crise sanitaire liée à la propagation du coronavirus, pour le calcul de leurs cotisations, les travailleurs indépendants qui relèvent du régime micro-social ont pu déduire des montants de chiffre d’affaires (CA) ou de </w:t>
      </w:r>
      <w:proofErr w:type="gramStart"/>
      <w:r w:rsidRPr="00A847B7">
        <w:rPr>
          <w:rFonts w:cstheme="minorHAnsi"/>
        </w:rPr>
        <w:t>recettes déclarés</w:t>
      </w:r>
      <w:proofErr w:type="gramEnd"/>
      <w:r w:rsidRPr="00A847B7">
        <w:rPr>
          <w:rFonts w:cstheme="minorHAnsi"/>
        </w:rPr>
        <w:t xml:space="preserve"> au titre des échéances mensuelles ou trimestrielles de l’année 2020 les montants correspondant au CA ou aux recettes réalisé(e)s au titre des mois :</w:t>
      </w:r>
    </w:p>
    <w:p w14:paraId="53BA6907" w14:textId="77777777" w:rsidR="000260AE" w:rsidRPr="00A847B7" w:rsidRDefault="000260AE" w:rsidP="00EE0687">
      <w:pPr>
        <w:pStyle w:val="Paragraphedeliste"/>
        <w:numPr>
          <w:ilvl w:val="0"/>
          <w:numId w:val="16"/>
        </w:numPr>
        <w:spacing w:beforeAutospacing="1" w:after="100" w:afterAutospacing="1"/>
        <w:rPr>
          <w:rFonts w:cstheme="minorHAnsi"/>
        </w:rPr>
      </w:pPr>
      <w:r w:rsidRPr="00A847B7">
        <w:rPr>
          <w:rFonts w:cstheme="minorHAnsi"/>
        </w:rPr>
        <w:t>de mars à juin 2020, pour ceux dont l’activité relève des secteurs du tourisme, hôtellerie, restauration, sport, culture, événementiel, et transport aérien, ou des secteurs fortement dépendant des secteurs précédents (dès lors, dans cette dernière hypothèse, qu’ils ont subi une perte importante de CA) ;</w:t>
      </w:r>
    </w:p>
    <w:p w14:paraId="315C26F5" w14:textId="77777777" w:rsidR="000260AE" w:rsidRPr="00A847B7" w:rsidRDefault="000260AE" w:rsidP="00EE0687">
      <w:pPr>
        <w:pStyle w:val="Paragraphedeliste"/>
        <w:numPr>
          <w:ilvl w:val="0"/>
          <w:numId w:val="16"/>
        </w:numPr>
        <w:spacing w:beforeAutospacing="1" w:after="100" w:afterAutospacing="1"/>
        <w:rPr>
          <w:rFonts w:cstheme="minorHAnsi"/>
        </w:rPr>
      </w:pPr>
      <w:r w:rsidRPr="00A847B7">
        <w:rPr>
          <w:rFonts w:cstheme="minorHAnsi"/>
        </w:rPr>
        <w:t>de mars à mai 2020, pour ceux dont l’activité relève d’autres secteurs que ceux mentionnés ci-dessus et qui ont fait l’objet d’une interdiction de recevoir du public.</w:t>
      </w:r>
    </w:p>
    <w:p w14:paraId="374F5C25" w14:textId="77777777" w:rsidR="000260AE" w:rsidRPr="00A847B7" w:rsidRDefault="000260AE" w:rsidP="000260AE">
      <w:pPr>
        <w:spacing w:beforeAutospacing="1" w:after="100" w:afterAutospacing="1"/>
        <w:rPr>
          <w:rFonts w:cstheme="minorHAnsi"/>
        </w:rPr>
      </w:pPr>
      <w:r w:rsidRPr="00A847B7">
        <w:rPr>
          <w:rFonts w:cstheme="minorHAnsi"/>
        </w:rPr>
        <w:t>Pour bénéficier de ce dispositif, le travailleur indépendant relevant du régime micro-social doit avoir :</w:t>
      </w:r>
    </w:p>
    <w:p w14:paraId="7A8EDACB" w14:textId="77777777" w:rsidR="000260AE" w:rsidRPr="00A847B7" w:rsidRDefault="000260AE" w:rsidP="00EE0687">
      <w:pPr>
        <w:pStyle w:val="Paragraphedeliste"/>
        <w:numPr>
          <w:ilvl w:val="0"/>
          <w:numId w:val="17"/>
        </w:numPr>
        <w:spacing w:beforeAutospacing="1" w:after="100" w:afterAutospacing="1"/>
        <w:rPr>
          <w:rFonts w:cstheme="minorHAnsi"/>
        </w:rPr>
      </w:pPr>
      <w:r w:rsidRPr="00A847B7">
        <w:rPr>
          <w:rFonts w:cstheme="minorHAnsi"/>
        </w:rPr>
        <w:t>constaté une baisse de chiffre d'affaires d'au moins 80 % durant la période comprise entre le 15 mars et le 15 mai 2020 :</w:t>
      </w:r>
    </w:p>
    <w:p w14:paraId="556C9867" w14:textId="77777777" w:rsidR="000260AE" w:rsidRPr="00A847B7" w:rsidRDefault="000260AE" w:rsidP="00EE0687">
      <w:pPr>
        <w:pStyle w:val="Paragraphedeliste"/>
        <w:numPr>
          <w:ilvl w:val="1"/>
          <w:numId w:val="8"/>
        </w:numPr>
        <w:spacing w:beforeAutospacing="1" w:after="100" w:afterAutospacing="1"/>
        <w:rPr>
          <w:rFonts w:cstheme="minorHAnsi"/>
        </w:rPr>
      </w:pPr>
      <w:r w:rsidRPr="00A847B7">
        <w:rPr>
          <w:rFonts w:cstheme="minorHAnsi"/>
        </w:rPr>
        <w:t>par rapport à la même période de l'année précédente,</w:t>
      </w:r>
    </w:p>
    <w:p w14:paraId="421F8E98" w14:textId="77777777" w:rsidR="000260AE" w:rsidRPr="00A847B7" w:rsidRDefault="000260AE" w:rsidP="00EE0687">
      <w:pPr>
        <w:pStyle w:val="Paragraphedeliste"/>
        <w:numPr>
          <w:ilvl w:val="1"/>
          <w:numId w:val="8"/>
        </w:numPr>
        <w:spacing w:beforeAutospacing="1" w:after="100" w:afterAutospacing="1"/>
        <w:rPr>
          <w:rFonts w:cstheme="minorHAnsi"/>
        </w:rPr>
      </w:pPr>
      <w:r w:rsidRPr="00A847B7">
        <w:rPr>
          <w:rFonts w:cstheme="minorHAnsi"/>
        </w:rPr>
        <w:t>ou, s’il le souhaite, par rapport au chiffre d'affaires mensuel moyen de l'année 2019 ramené sur 2 mois,</w:t>
      </w:r>
    </w:p>
    <w:p w14:paraId="4FAE3BA1" w14:textId="77777777" w:rsidR="000260AE" w:rsidRPr="00A847B7" w:rsidRDefault="000260AE" w:rsidP="00EE0687">
      <w:pPr>
        <w:pStyle w:val="Paragraphedeliste"/>
        <w:numPr>
          <w:ilvl w:val="1"/>
          <w:numId w:val="8"/>
        </w:numPr>
        <w:spacing w:beforeAutospacing="1" w:after="100" w:afterAutospacing="1"/>
        <w:rPr>
          <w:rFonts w:cstheme="minorHAnsi"/>
        </w:rPr>
      </w:pPr>
      <w:r w:rsidRPr="00A847B7">
        <w:rPr>
          <w:rFonts w:cstheme="minorHAnsi"/>
        </w:rPr>
        <w:t>ou, pour les entreprises créées après le 15 mars 2019 et avant le 10 mars 2020, par rapport au montant moyen calculé sur 2 mois du chiffre d'affaires réalisé entre la date de création de l'entreprise et le 15 mars 2020 ;</w:t>
      </w:r>
    </w:p>
    <w:p w14:paraId="6A32643B" w14:textId="77777777" w:rsidR="000260AE" w:rsidRPr="00A847B7" w:rsidRDefault="000260AE" w:rsidP="00EE0687">
      <w:pPr>
        <w:pStyle w:val="Paragraphedeliste"/>
        <w:numPr>
          <w:ilvl w:val="0"/>
          <w:numId w:val="17"/>
        </w:numPr>
        <w:spacing w:beforeAutospacing="1" w:after="100" w:afterAutospacing="1"/>
        <w:rPr>
          <w:rFonts w:cstheme="minorHAnsi"/>
        </w:rPr>
      </w:pPr>
      <w:r w:rsidRPr="00A847B7">
        <w:rPr>
          <w:rFonts w:cstheme="minorHAnsi"/>
        </w:rPr>
        <w:t>ou subi une baisse de chiffre d'affaires, durant la période comprise entre le 15 mars et le 15 mai 2020, par rapport à la même période de l'année précédente, qui représente au moins 30 % :</w:t>
      </w:r>
    </w:p>
    <w:p w14:paraId="2A3C15FC" w14:textId="77777777" w:rsidR="000260AE" w:rsidRPr="00A847B7" w:rsidRDefault="000260AE" w:rsidP="00EE0687">
      <w:pPr>
        <w:pStyle w:val="Paragraphedeliste"/>
        <w:numPr>
          <w:ilvl w:val="1"/>
          <w:numId w:val="8"/>
        </w:numPr>
        <w:spacing w:beforeAutospacing="1" w:after="100" w:afterAutospacing="1"/>
        <w:rPr>
          <w:rFonts w:cstheme="minorHAnsi"/>
        </w:rPr>
      </w:pPr>
      <w:r w:rsidRPr="00A847B7">
        <w:rPr>
          <w:rFonts w:cstheme="minorHAnsi"/>
        </w:rPr>
        <w:t>du chiffre d'affaires de l'année 2019,</w:t>
      </w:r>
    </w:p>
    <w:p w14:paraId="5E242343" w14:textId="77777777" w:rsidR="000260AE" w:rsidRPr="00A847B7" w:rsidRDefault="000260AE" w:rsidP="00EE0687">
      <w:pPr>
        <w:pStyle w:val="Paragraphedeliste"/>
        <w:numPr>
          <w:ilvl w:val="1"/>
          <w:numId w:val="8"/>
        </w:numPr>
        <w:spacing w:beforeAutospacing="1" w:after="100" w:afterAutospacing="1"/>
        <w:rPr>
          <w:rFonts w:cstheme="minorHAnsi"/>
        </w:rPr>
      </w:pPr>
      <w:r w:rsidRPr="00A847B7">
        <w:rPr>
          <w:rFonts w:cstheme="minorHAnsi"/>
        </w:rPr>
        <w:t>ou, pour les entreprises créées entre le 1er janvier et le 14 mars 2019, du chiffre d'affaires réalisé entre la date de création de l'entreprise et le 31 décembre 2019 ramené sur 12 mois.</w:t>
      </w:r>
    </w:p>
    <w:p w14:paraId="2B699C74" w14:textId="77777777" w:rsidR="000260AE" w:rsidRPr="00A847B7" w:rsidRDefault="000260AE" w:rsidP="000260AE">
      <w:pPr>
        <w:spacing w:beforeAutospacing="1" w:after="100" w:afterAutospacing="1"/>
        <w:rPr>
          <w:rFonts w:cstheme="minorHAnsi"/>
        </w:rPr>
      </w:pPr>
      <w:r w:rsidRPr="00A847B7">
        <w:rPr>
          <w:rFonts w:cstheme="minorHAnsi"/>
        </w:rPr>
        <w:t>Cette déduction est réalisée directement par le micro-entrepreneur lors de la déclaration des montants de chiffre d’affaires réalisés :</w:t>
      </w:r>
    </w:p>
    <w:p w14:paraId="0DA3E330" w14:textId="77777777" w:rsidR="000260AE" w:rsidRPr="00A847B7" w:rsidRDefault="000260AE" w:rsidP="00EE0687">
      <w:pPr>
        <w:pStyle w:val="Paragraphedeliste"/>
        <w:numPr>
          <w:ilvl w:val="0"/>
          <w:numId w:val="18"/>
        </w:numPr>
        <w:spacing w:beforeAutospacing="1" w:after="100" w:afterAutospacing="1"/>
        <w:rPr>
          <w:rFonts w:cstheme="minorHAnsi"/>
        </w:rPr>
      </w:pPr>
      <w:r w:rsidRPr="00A847B7">
        <w:rPr>
          <w:rFonts w:cstheme="minorHAnsi"/>
        </w:rPr>
        <w:t>pour ceux qui ont opté pour la déclaration mensuelle, au titre des mois d’août à décembre 2020 (soit les déclarations réalisées aux mois de septembre 2020 à janvier 2021) ;</w:t>
      </w:r>
    </w:p>
    <w:p w14:paraId="634F6221" w14:textId="77777777" w:rsidR="000260AE" w:rsidRPr="00A847B7" w:rsidRDefault="000260AE" w:rsidP="00EE0687">
      <w:pPr>
        <w:pStyle w:val="Paragraphedeliste"/>
        <w:numPr>
          <w:ilvl w:val="0"/>
          <w:numId w:val="18"/>
        </w:numPr>
        <w:spacing w:beforeAutospacing="1" w:after="100" w:afterAutospacing="1"/>
        <w:rPr>
          <w:rFonts w:cstheme="minorHAnsi"/>
        </w:rPr>
      </w:pPr>
      <w:r w:rsidRPr="00A847B7">
        <w:rPr>
          <w:rFonts w:cstheme="minorHAnsi"/>
        </w:rPr>
        <w:t>pour ceux qui ont opté pour la déclaration trimestrielle, au titre des 3</w:t>
      </w:r>
      <w:r w:rsidRPr="00A847B7">
        <w:rPr>
          <w:rFonts w:cstheme="minorHAnsi"/>
          <w:vertAlign w:val="superscript"/>
        </w:rPr>
        <w:t>e</w:t>
      </w:r>
      <w:r w:rsidRPr="00A847B7">
        <w:rPr>
          <w:rFonts w:cstheme="minorHAnsi"/>
        </w:rPr>
        <w:t xml:space="preserve"> et 4</w:t>
      </w:r>
      <w:r w:rsidRPr="00A847B7">
        <w:rPr>
          <w:rFonts w:cstheme="minorHAnsi"/>
          <w:vertAlign w:val="superscript"/>
        </w:rPr>
        <w:t>e</w:t>
      </w:r>
      <w:r w:rsidRPr="00A847B7">
        <w:rPr>
          <w:rFonts w:cstheme="minorHAnsi"/>
        </w:rPr>
        <w:t xml:space="preserve"> trimestre 2020 (soit les déclarations réalisées aux mois d’octobre 2020 et de janvier 2021).</w:t>
      </w:r>
    </w:p>
    <w:p w14:paraId="777486F1" w14:textId="77777777" w:rsidR="000260AE" w:rsidRPr="00A847B7" w:rsidRDefault="000260AE" w:rsidP="000260AE">
      <w:pPr>
        <w:spacing w:beforeAutospacing="1" w:after="100" w:afterAutospacing="1"/>
        <w:rPr>
          <w:rFonts w:cstheme="minorHAnsi"/>
        </w:rPr>
      </w:pPr>
      <w:r w:rsidRPr="00A847B7">
        <w:rPr>
          <w:rFonts w:cstheme="minorHAnsi"/>
        </w:rPr>
        <w:t>Pour les micro-entrepreneurs ayant opté pour le versement libératoire de l’impôt sur le revenu, les prélèvements sociaux et fiscaux font normalement l’objet d’une seule et même déclaration.</w:t>
      </w:r>
    </w:p>
    <w:p w14:paraId="4C69CE86" w14:textId="77777777" w:rsidR="000260AE" w:rsidRPr="00A847B7" w:rsidRDefault="000260AE" w:rsidP="000260AE">
      <w:pPr>
        <w:spacing w:beforeAutospacing="1" w:after="100" w:afterAutospacing="1"/>
        <w:rPr>
          <w:rFonts w:cstheme="minorHAnsi"/>
        </w:rPr>
      </w:pPr>
      <w:r w:rsidRPr="00A847B7">
        <w:rPr>
          <w:rFonts w:cstheme="minorHAnsi"/>
        </w:rPr>
        <w:t xml:space="preserve">Toutefois, exceptionnellement, pour leur permettre d’acquitter l’impôt sur le revenu au titre des CA ou recettes exonérées de cotisations sociales, les montants déduits des déclarations mensuelles ou trimestrielles </w:t>
      </w:r>
      <w:r w:rsidRPr="00A847B7">
        <w:rPr>
          <w:rFonts w:cstheme="minorHAnsi"/>
        </w:rPr>
        <w:lastRenderedPageBreak/>
        <w:t>sont à reporter dans la déclaration d’ensemble des revenus 2020 déposée en 2021 (déclaration n°2042 C-PRO)</w:t>
      </w:r>
      <w:r>
        <w:rPr>
          <w:rFonts w:cstheme="minorHAnsi"/>
        </w:rPr>
        <w:t>, ou dans la déclaration 2021 déposée en 2022</w:t>
      </w:r>
      <w:r w:rsidRPr="00A847B7">
        <w:rPr>
          <w:rFonts w:cstheme="minorHAnsi"/>
        </w:rPr>
        <w:t>.</w:t>
      </w:r>
    </w:p>
    <w:p w14:paraId="1224D801" w14:textId="77777777" w:rsidR="000260AE" w:rsidRPr="00A847B7" w:rsidRDefault="000260AE" w:rsidP="000260AE">
      <w:pPr>
        <w:spacing w:beforeAutospacing="1" w:after="100" w:afterAutospacing="1"/>
        <w:rPr>
          <w:rFonts w:cstheme="minorHAnsi"/>
        </w:rPr>
      </w:pPr>
      <w:r w:rsidRPr="00A847B7">
        <w:rPr>
          <w:rFonts w:cstheme="minorHAnsi"/>
        </w:rPr>
        <w:t>Par dérogation également, l’impôt dû sur ces mêmes montants sera recouvré selon les règles et sous les garanties et sanctions applicables à l’impôt sur le revenu, et non pas selon les règles et sous les garanties et sanctions applicables au recouvrement des cotisations et contributions de sécurité sociale.</w:t>
      </w:r>
    </w:p>
    <w:p w14:paraId="2A7F525D" w14:textId="77777777" w:rsidR="000260AE" w:rsidRPr="00A847B7" w:rsidRDefault="000260AE" w:rsidP="000260AE">
      <w:pPr>
        <w:spacing w:beforeAutospacing="1" w:after="100" w:afterAutospacing="1"/>
        <w:rPr>
          <w:rFonts w:cstheme="minorHAnsi"/>
        </w:rPr>
      </w:pPr>
    </w:p>
    <w:p w14:paraId="4628AB5D" w14:textId="0EE200DA" w:rsidR="000260AE" w:rsidRPr="00A847B7" w:rsidRDefault="000260AE" w:rsidP="000260AE">
      <w:pPr>
        <w:pStyle w:val="Titre3"/>
      </w:pPr>
      <w:bookmarkStart w:id="134" w:name="_Toc60781050"/>
      <w:r w:rsidRPr="00A847B7">
        <w:t xml:space="preserve">Slide </w:t>
      </w:r>
      <w:r w:rsidR="007278A7">
        <w:t>89</w:t>
      </w:r>
      <w:r w:rsidRPr="00A847B7">
        <w:t> : TVA sur les tests de dépistage et les vaccins</w:t>
      </w:r>
      <w:bookmarkEnd w:id="134"/>
    </w:p>
    <w:p w14:paraId="2142E435" w14:textId="6BE01A6F" w:rsidR="000260AE" w:rsidRPr="00A847B7" w:rsidRDefault="002E64E5" w:rsidP="000260AE">
      <w:pPr>
        <w:rPr>
          <w:rFonts w:cstheme="minorHAnsi"/>
        </w:rPr>
      </w:pPr>
      <w:r w:rsidRPr="004F587E">
        <w:rPr>
          <w:u w:val="single"/>
        </w:rPr>
        <w:t xml:space="preserve">Source </w:t>
      </w:r>
      <w:r w:rsidRPr="00A847B7">
        <w:t>:</w:t>
      </w:r>
      <w:r w:rsidR="000260AE" w:rsidRPr="005A54C4">
        <w:rPr>
          <w:rFonts w:cstheme="minorHAnsi"/>
        </w:rPr>
        <w:t xml:space="preserve"> Loi de </w:t>
      </w:r>
      <w:r>
        <w:rPr>
          <w:rFonts w:cstheme="minorHAnsi"/>
        </w:rPr>
        <w:t>F</w:t>
      </w:r>
      <w:r w:rsidR="000260AE" w:rsidRPr="005A54C4">
        <w:rPr>
          <w:rFonts w:cstheme="minorHAnsi"/>
        </w:rPr>
        <w:t xml:space="preserve">inances pour 2021, article </w:t>
      </w:r>
      <w:r w:rsidR="000260AE" w:rsidRPr="00E619BD">
        <w:rPr>
          <w:rFonts w:cstheme="minorHAnsi"/>
        </w:rPr>
        <w:t>46</w:t>
      </w:r>
    </w:p>
    <w:p w14:paraId="1E397B6E" w14:textId="77777777" w:rsidR="000260AE" w:rsidRPr="00A847B7" w:rsidRDefault="000260AE" w:rsidP="000260AE">
      <w:pPr>
        <w:rPr>
          <w:rFonts w:cstheme="minorHAnsi"/>
        </w:rPr>
      </w:pPr>
      <w:r w:rsidRPr="00A847B7">
        <w:rPr>
          <w:rFonts w:cstheme="minorHAnsi"/>
        </w:rPr>
        <w:t>Il est prévu, pour les opérations réalisées entre le 15 octobre 2020 et le 31 décembre 2022, d’appliquer la TVA au taux de 0 % aux dispositifs médicaux de diagnostic in vitro de la Covid-19 qui répondent aux exigences posées par la réglementation européenne, et aux vaccins contre cette maladie qui seront très prochainement mis sur le marché.</w:t>
      </w:r>
    </w:p>
    <w:p w14:paraId="1E40EAF4" w14:textId="77777777" w:rsidR="000260AE" w:rsidRPr="00A847B7" w:rsidRDefault="000260AE" w:rsidP="000260AE">
      <w:pPr>
        <w:rPr>
          <w:rFonts w:cstheme="minorHAnsi"/>
        </w:rPr>
      </w:pPr>
      <w:r w:rsidRPr="00A847B7">
        <w:rPr>
          <w:rFonts w:cstheme="minorHAnsi"/>
        </w:rPr>
        <w:t>Concrètement, cette mesure aura pour effet d’exonérer de TVA :</w:t>
      </w:r>
    </w:p>
    <w:p w14:paraId="3B824AC3" w14:textId="77777777" w:rsidR="000260AE" w:rsidRPr="00A847B7" w:rsidRDefault="000260AE" w:rsidP="00EE0687">
      <w:pPr>
        <w:pStyle w:val="Paragraphedeliste"/>
        <w:numPr>
          <w:ilvl w:val="0"/>
          <w:numId w:val="155"/>
        </w:numPr>
        <w:rPr>
          <w:rFonts w:cstheme="minorHAnsi"/>
        </w:rPr>
      </w:pPr>
      <w:r w:rsidRPr="00A847B7">
        <w:rPr>
          <w:rFonts w:cstheme="minorHAnsi"/>
        </w:rPr>
        <w:t>les dispositifs de tests d’acide nucléique (PCR) et antigéniques réalisés par prélèvement nasopharyngé ;</w:t>
      </w:r>
    </w:p>
    <w:p w14:paraId="107AF68E" w14:textId="77777777" w:rsidR="000260AE" w:rsidRPr="00A847B7" w:rsidRDefault="000260AE" w:rsidP="00EE0687">
      <w:pPr>
        <w:pStyle w:val="Paragraphedeliste"/>
        <w:numPr>
          <w:ilvl w:val="0"/>
          <w:numId w:val="155"/>
        </w:numPr>
        <w:rPr>
          <w:rFonts w:cstheme="minorHAnsi"/>
        </w:rPr>
      </w:pPr>
      <w:r w:rsidRPr="00A847B7">
        <w:rPr>
          <w:rFonts w:cstheme="minorHAnsi"/>
        </w:rPr>
        <w:t>les tests de détection d’anticorps effectués sur un échantillon sanguin (dits « tests sérologiques ») ;</w:t>
      </w:r>
    </w:p>
    <w:p w14:paraId="585165A6" w14:textId="77777777" w:rsidR="000260AE" w:rsidRPr="00A847B7" w:rsidRDefault="000260AE" w:rsidP="00EE0687">
      <w:pPr>
        <w:pStyle w:val="Paragraphedeliste"/>
        <w:numPr>
          <w:ilvl w:val="0"/>
          <w:numId w:val="155"/>
        </w:numPr>
        <w:rPr>
          <w:rFonts w:cstheme="minorHAnsi"/>
        </w:rPr>
      </w:pPr>
      <w:r w:rsidRPr="00A847B7">
        <w:rPr>
          <w:rFonts w:cstheme="minorHAnsi"/>
        </w:rPr>
        <w:t>tous les types de vaccins contre la Covid-19.</w:t>
      </w:r>
    </w:p>
    <w:p w14:paraId="45B576C2" w14:textId="77777777" w:rsidR="000260AE" w:rsidRPr="00A847B7" w:rsidRDefault="000260AE" w:rsidP="000260AE">
      <w:pPr>
        <w:rPr>
          <w:rFonts w:cstheme="minorHAnsi"/>
        </w:rPr>
      </w:pPr>
      <w:r w:rsidRPr="00A847B7">
        <w:rPr>
          <w:rFonts w:cstheme="minorHAnsi"/>
        </w:rPr>
        <w:t>Les personnes redevables de la TVA qui auraient facturé ces opérations à un taux autre que le taux de 0 % peuvent obtenir la restitution du trop versé par imputation sur la déclaration de TVA déposée au plus tard le 31 décembre 2022.</w:t>
      </w:r>
    </w:p>
    <w:p w14:paraId="5D99C811" w14:textId="77777777" w:rsidR="000260AE" w:rsidRPr="00A847B7" w:rsidRDefault="000260AE" w:rsidP="000260AE">
      <w:pPr>
        <w:rPr>
          <w:rFonts w:cstheme="minorHAnsi"/>
        </w:rPr>
      </w:pPr>
      <w:r w:rsidRPr="00A847B7">
        <w:rPr>
          <w:rFonts w:cstheme="minorHAnsi"/>
        </w:rPr>
        <w:t xml:space="preserve">Les montants à restituer sont à inscrire sur la ligne 21 « autre TVA à déduire » du formulaire n°3310 (pour les personnes soumises au régime réel d’imposition) ou sur la ligne 25 de la déclaration n°3517 (pour personnes soumises au régime simplifié). </w:t>
      </w:r>
    </w:p>
    <w:p w14:paraId="6F9D1AFA" w14:textId="77777777" w:rsidR="000260AE" w:rsidRPr="00A847B7" w:rsidRDefault="000260AE" w:rsidP="000260AE">
      <w:pPr>
        <w:rPr>
          <w:rFonts w:cstheme="minorHAnsi"/>
        </w:rPr>
      </w:pPr>
      <w:r w:rsidRPr="00A847B7">
        <w:rPr>
          <w:rFonts w:cstheme="minorHAnsi"/>
        </w:rPr>
        <w:t>Pour mémoire, pour obtenir la restitution d’un trop versé de TVA, les personnes soumises à l’obligation de facturation doivent émettre une facture rectificative à leur client remplaçant et annulant la précédente.</w:t>
      </w:r>
    </w:p>
    <w:p w14:paraId="7920CAC0" w14:textId="77777777" w:rsidR="000260AE" w:rsidRPr="00A847B7" w:rsidRDefault="000260AE" w:rsidP="000260AE">
      <w:pPr>
        <w:rPr>
          <w:rFonts w:cstheme="minorHAnsi"/>
        </w:rPr>
      </w:pPr>
      <w:r w:rsidRPr="00A847B7">
        <w:rPr>
          <w:rFonts w:cstheme="minorHAnsi"/>
        </w:rPr>
        <w:t>Toutefois, compte tenu de la situation exceptionnelle, la possibilité de renoncer à l’émission d’une facture rectificative est admise.</w:t>
      </w:r>
    </w:p>
    <w:p w14:paraId="5B1B9B41" w14:textId="2921CE13" w:rsidR="00137F56" w:rsidRPr="00A847B7" w:rsidRDefault="00137F56" w:rsidP="00137F56">
      <w:pPr>
        <w:pStyle w:val="Titre3"/>
      </w:pPr>
      <w:bookmarkStart w:id="135" w:name="_Toc60781051"/>
      <w:r w:rsidRPr="00A847B7">
        <w:t xml:space="preserve">Slide </w:t>
      </w:r>
      <w:r w:rsidR="005C2F3F">
        <w:t>90</w:t>
      </w:r>
      <w:r w:rsidRPr="00A847B7">
        <w:t> : Crédit d’impôt pour dépenses de production de spectacles vivants</w:t>
      </w:r>
      <w:bookmarkEnd w:id="135"/>
    </w:p>
    <w:p w14:paraId="4D1FE9F9" w14:textId="66007D68" w:rsidR="00137F56" w:rsidRPr="005A54C4" w:rsidRDefault="002E64E5" w:rsidP="00137F56">
      <w:r w:rsidRPr="004F587E">
        <w:rPr>
          <w:u w:val="single"/>
        </w:rPr>
        <w:t xml:space="preserve">Source </w:t>
      </w:r>
      <w:r w:rsidRPr="00A847B7">
        <w:t>:</w:t>
      </w:r>
      <w:r w:rsidR="00137F56" w:rsidRPr="005A54C4">
        <w:t xml:space="preserve"> Loi de Finances pour 2021, article </w:t>
      </w:r>
      <w:r w:rsidR="001D7F1A" w:rsidRPr="005A54C4">
        <w:t>23</w:t>
      </w:r>
    </w:p>
    <w:p w14:paraId="5C5FDBBC" w14:textId="77777777" w:rsidR="00137F56" w:rsidRPr="00A847B7" w:rsidRDefault="00137F56" w:rsidP="00137F56">
      <w:r w:rsidRPr="00A847B7">
        <w:t>Les entreprises exerçant l'activité d'entrepreneur de spectacles vivants soumises à l’impôt sur les sociétés (IS) peuvent bénéficier, toutes conditions remplies, d'un crédit d'impôt au titre des dépenses de création, d'exploitation et de numérisation d'un spectacle vivant musical engagées avant le 31 décembre 2022.</w:t>
      </w:r>
    </w:p>
    <w:p w14:paraId="647D92D0" w14:textId="77777777" w:rsidR="00137F56" w:rsidRPr="00A847B7" w:rsidRDefault="00137F56" w:rsidP="00137F56">
      <w:r w:rsidRPr="00A847B7">
        <w:t>Les dépenses en question doivent remplir les conditions cumulatives suivantes :</w:t>
      </w:r>
    </w:p>
    <w:p w14:paraId="40761565" w14:textId="77777777" w:rsidR="00137F56" w:rsidRPr="00A847B7" w:rsidRDefault="00137F56" w:rsidP="00EE0687">
      <w:pPr>
        <w:pStyle w:val="Paragraphedeliste"/>
        <w:numPr>
          <w:ilvl w:val="0"/>
          <w:numId w:val="186"/>
        </w:numPr>
      </w:pPr>
      <w:r w:rsidRPr="00A847B7">
        <w:t xml:space="preserve">être réalisées par des entreprises établies en France, dans un autre Etat membre de l'Union européenne ou dans un autre Etat partie à l'accord sur l'Espace économique européen ayant conclu avec la France une convention d'assistance administrative en vue de lutter contre la fraude et </w:t>
      </w:r>
      <w:r w:rsidRPr="00A847B7">
        <w:lastRenderedPageBreak/>
        <w:t>l'évasion fiscales et qui y effectuent les prestations liées à la réalisation d'un spectacle musical, de théâtre ou de variétés ;</w:t>
      </w:r>
    </w:p>
    <w:p w14:paraId="0D1FA9BF" w14:textId="77777777" w:rsidR="00137F56" w:rsidRPr="00A847B7" w:rsidRDefault="00137F56" w:rsidP="00EE0687">
      <w:pPr>
        <w:pStyle w:val="Paragraphedeliste"/>
        <w:numPr>
          <w:ilvl w:val="0"/>
          <w:numId w:val="186"/>
        </w:numPr>
      </w:pPr>
      <w:r w:rsidRPr="00A847B7">
        <w:t>porter sur un spectacle présentant les caractéristiques suivantes :</w:t>
      </w:r>
    </w:p>
    <w:p w14:paraId="12BFC700" w14:textId="77777777" w:rsidR="00137F56" w:rsidRPr="00A847B7" w:rsidRDefault="00137F56" w:rsidP="00EE0687">
      <w:pPr>
        <w:pStyle w:val="Paragraphedeliste"/>
        <w:numPr>
          <w:ilvl w:val="1"/>
          <w:numId w:val="186"/>
        </w:numPr>
      </w:pPr>
      <w:r w:rsidRPr="00A847B7">
        <w:t>présenter des coûts de création majoritairement engagés sur le territoire français ;</w:t>
      </w:r>
    </w:p>
    <w:p w14:paraId="624210D5" w14:textId="77777777" w:rsidR="00137F56" w:rsidRPr="00A847B7" w:rsidRDefault="00137F56" w:rsidP="00EE0687">
      <w:pPr>
        <w:pStyle w:val="Paragraphedeliste"/>
        <w:numPr>
          <w:ilvl w:val="1"/>
          <w:numId w:val="186"/>
        </w:numPr>
      </w:pPr>
      <w:r w:rsidRPr="00A847B7">
        <w:t>comprendre au minimum 4 représentations dans au moins 3 lieux différents ;</w:t>
      </w:r>
    </w:p>
    <w:p w14:paraId="1B8CA04F" w14:textId="77777777" w:rsidR="00137F56" w:rsidRPr="00A847B7" w:rsidRDefault="00137F56" w:rsidP="00EE0687">
      <w:pPr>
        <w:pStyle w:val="Paragraphedeliste"/>
        <w:numPr>
          <w:ilvl w:val="1"/>
          <w:numId w:val="186"/>
        </w:numPr>
      </w:pPr>
      <w:r w:rsidRPr="00A847B7">
        <w:t>ne pas être présenté dans un lieu dont la jauge, définie comme l'effectif maximal du public qu'il est possible d'admettre dans ce lieu, est supérieure à un nombre de personnes défini par Décret par catégorie de spectacle.</w:t>
      </w:r>
    </w:p>
    <w:p w14:paraId="7CEEC3DF" w14:textId="77777777" w:rsidR="00137F56" w:rsidRPr="00A847B7" w:rsidRDefault="00137F56" w:rsidP="00137F56">
      <w:r w:rsidRPr="00A847B7">
        <w:t>Les dépenses éligibles ouvrent droit au crédit d'impôt à compter de la date de réception par le Ministre chargé de la culture d'une demande d'agrément provisoire. Cet agrément, délivré après avis d'un comité d'experts, atteste que le spectacle remplit toutes les conditions requises.</w:t>
      </w:r>
    </w:p>
    <w:p w14:paraId="6EDD45A8" w14:textId="440E522C" w:rsidR="00137F56" w:rsidRPr="00A847B7" w:rsidRDefault="00137F56" w:rsidP="00137F56">
      <w:r w:rsidRPr="00A847B7">
        <w:t xml:space="preserve">La Loi de </w:t>
      </w:r>
      <w:r w:rsidR="00C6053C">
        <w:t>F</w:t>
      </w:r>
      <w:r w:rsidRPr="00A847B7">
        <w:t>inances pour 2021 proroge cet avantage fiscal pour une durée de 2 ans : il s’appliquera donc aux dépenses de création, d'exploitation et de numérisation d'un spectacle vivant musical engagées avant le 31 décembre 2024.</w:t>
      </w:r>
    </w:p>
    <w:p w14:paraId="39C643C7" w14:textId="77777777" w:rsidR="00137F56" w:rsidRPr="00A847B7" w:rsidRDefault="00137F56" w:rsidP="00137F56">
      <w:r w:rsidRPr="00A847B7">
        <w:t xml:space="preserve">De même, elle prévoit que les dépenses éligibles au crédit d’impôt portent désormais sur des spectacles : </w:t>
      </w:r>
    </w:p>
    <w:p w14:paraId="06230BFA" w14:textId="77777777" w:rsidR="00137F56" w:rsidRPr="00A847B7" w:rsidRDefault="00137F56" w:rsidP="00EE0687">
      <w:pPr>
        <w:pStyle w:val="Paragraphedeliste"/>
        <w:numPr>
          <w:ilvl w:val="0"/>
          <w:numId w:val="186"/>
        </w:numPr>
      </w:pPr>
      <w:r w:rsidRPr="00A847B7">
        <w:t>qui présentent des coûts de création majoritairement engagés sur le territoire français ;</w:t>
      </w:r>
    </w:p>
    <w:p w14:paraId="098F31C4" w14:textId="77777777" w:rsidR="00137F56" w:rsidRPr="00A847B7" w:rsidRDefault="00137F56" w:rsidP="00EE0687">
      <w:pPr>
        <w:pStyle w:val="Paragraphedeliste"/>
        <w:numPr>
          <w:ilvl w:val="0"/>
          <w:numId w:val="186"/>
        </w:numPr>
      </w:pPr>
      <w:r w:rsidRPr="00A847B7">
        <w:t>comprennent :</w:t>
      </w:r>
    </w:p>
    <w:p w14:paraId="5574EBAB" w14:textId="77777777" w:rsidR="00137F56" w:rsidRPr="00A847B7" w:rsidRDefault="00137F56" w:rsidP="00EE0687">
      <w:pPr>
        <w:pStyle w:val="Paragraphedeliste"/>
        <w:numPr>
          <w:ilvl w:val="1"/>
          <w:numId w:val="186"/>
        </w:numPr>
      </w:pPr>
      <w:r w:rsidRPr="00A847B7">
        <w:t>au minimum 2 représentations dans au moins 2 lieux différents, pour les demandes d’agréments déposées entre le 1</w:t>
      </w:r>
      <w:r w:rsidRPr="00A847B7">
        <w:rPr>
          <w:vertAlign w:val="superscript"/>
        </w:rPr>
        <w:t>er</w:t>
      </w:r>
      <w:r w:rsidRPr="00A847B7">
        <w:t xml:space="preserve"> janvier 2021 et le 31 décembre 2022 ;</w:t>
      </w:r>
    </w:p>
    <w:p w14:paraId="0181D332" w14:textId="77777777" w:rsidR="00137F56" w:rsidRPr="00A847B7" w:rsidRDefault="00137F56" w:rsidP="00EE0687">
      <w:pPr>
        <w:pStyle w:val="Paragraphedeliste"/>
        <w:numPr>
          <w:ilvl w:val="1"/>
          <w:numId w:val="186"/>
        </w:numPr>
      </w:pPr>
      <w:r w:rsidRPr="00A847B7">
        <w:t>au minimum 4 représentations dans au moins 3 lieux différents pour les demandes d’agréments déposées à compter du 1</w:t>
      </w:r>
      <w:r w:rsidRPr="00A847B7">
        <w:rPr>
          <w:vertAlign w:val="superscript"/>
        </w:rPr>
        <w:t>er</w:t>
      </w:r>
      <w:r w:rsidRPr="00A847B7">
        <w:t xml:space="preserve"> janvier 2023.</w:t>
      </w:r>
    </w:p>
    <w:p w14:paraId="6C8FD0FF" w14:textId="77777777" w:rsidR="00137F56" w:rsidRPr="00A847B7" w:rsidRDefault="00137F56" w:rsidP="00EE0687">
      <w:pPr>
        <w:pStyle w:val="Paragraphedeliste"/>
        <w:numPr>
          <w:ilvl w:val="0"/>
          <w:numId w:val="186"/>
        </w:numPr>
      </w:pPr>
      <w:r w:rsidRPr="00A847B7">
        <w:t>ne sont pas présentés dans un lieu dont la jauge, définie comme l'effectif maximal du public qu'il est possible d'admettre dans ce lieu, est supérieure à un nombre de personnes défini par Décret par catégorie de spectacle.</w:t>
      </w:r>
    </w:p>
    <w:p w14:paraId="6451AA71" w14:textId="3160E90F" w:rsidR="00137F56" w:rsidRPr="00A847B7" w:rsidRDefault="00137F56" w:rsidP="00137F56">
      <w:r w:rsidRPr="00A847B7">
        <w:t>Par dérogation, pour les spectacles ayant obtenu un agrément provisoire ou pour lesquels une demande d’agrément a été déposée avant le 1</w:t>
      </w:r>
      <w:r w:rsidRPr="00A847B7">
        <w:rPr>
          <w:vertAlign w:val="superscript"/>
        </w:rPr>
        <w:t>er</w:t>
      </w:r>
      <w:r w:rsidRPr="00A847B7">
        <w:t xml:space="preserve"> janvier 2021, il sera fait application de la condition tenant au minimum de 2 représentations dans au moins 2 lieux différents, sous réserve que l’entreprise bénéficiaire du crédit d’impôt justifie, lors de sa demande d’agrément définitif, que des représentations ont été annulées à compter du 4 mars 2020 en application des mesures relatives à la lutte contre la propagation de l’épidémie de Covid-19.</w:t>
      </w:r>
    </w:p>
    <w:p w14:paraId="08E07865" w14:textId="77777777" w:rsidR="00AA1E71" w:rsidRPr="00A847B7" w:rsidRDefault="00AA1E71" w:rsidP="00AA1E71">
      <w:r w:rsidRPr="00A847B7">
        <w:t>Notez enfin que les dépenses liées aux prestations relatives à la réalisation d’un spectacle de théâtre ne sont plus éligibles au titre de ce crédit d’impôt, la Loi de Finances pour 2021 venant créer un crédit d’impôt spécifique : le crédit d’impôt en faveur des représentations théâtrales d’œuvres dramatiques (aussi appelé « crédit d’impôt théâtre »).</w:t>
      </w:r>
    </w:p>
    <w:p w14:paraId="6DD9B991" w14:textId="77777777" w:rsidR="007A23F4" w:rsidRPr="00A847B7" w:rsidRDefault="007A23F4" w:rsidP="00137F56"/>
    <w:p w14:paraId="6FE224A0" w14:textId="7731B0B7" w:rsidR="00137F56" w:rsidRPr="00A847B7" w:rsidRDefault="00137F56" w:rsidP="00137F56">
      <w:pPr>
        <w:pStyle w:val="Titre3"/>
      </w:pPr>
      <w:bookmarkStart w:id="136" w:name="_Toc60781052"/>
      <w:r w:rsidRPr="00A847B7">
        <w:t xml:space="preserve">Slide </w:t>
      </w:r>
      <w:r w:rsidR="00A31977">
        <w:t>91</w:t>
      </w:r>
      <w:r w:rsidRPr="00A847B7">
        <w:t> : Taxe sur le prix des entrées en salles de spectacles cinématographiques</w:t>
      </w:r>
      <w:bookmarkEnd w:id="136"/>
    </w:p>
    <w:p w14:paraId="51A3EE7B" w14:textId="386D6ECD" w:rsidR="00137F56" w:rsidRPr="00A847B7" w:rsidRDefault="002E64E5" w:rsidP="002E64E5">
      <w:pPr>
        <w:rPr>
          <w:rFonts w:cstheme="minorHAnsi"/>
        </w:rPr>
      </w:pPr>
      <w:r w:rsidRPr="004F587E">
        <w:rPr>
          <w:u w:val="single"/>
        </w:rPr>
        <w:t xml:space="preserve">Source </w:t>
      </w:r>
      <w:r w:rsidRPr="00A847B7">
        <w:t>:</w:t>
      </w:r>
      <w:r w:rsidR="00137F56" w:rsidRPr="005A54C4">
        <w:rPr>
          <w:rFonts w:cstheme="minorHAnsi"/>
        </w:rPr>
        <w:t xml:space="preserve"> </w:t>
      </w:r>
      <w:r w:rsidR="00137F56" w:rsidRPr="00B669B3">
        <w:rPr>
          <w:rFonts w:cstheme="minorHAnsi"/>
        </w:rPr>
        <w:t>Loi de Finances pour 2021,</w:t>
      </w:r>
      <w:r w:rsidR="00137F56" w:rsidRPr="005A54C4">
        <w:rPr>
          <w:rFonts w:cstheme="minorHAnsi"/>
        </w:rPr>
        <w:t xml:space="preserve"> article </w:t>
      </w:r>
      <w:r w:rsidR="00B669B3" w:rsidRPr="00B669B3">
        <w:rPr>
          <w:rFonts w:cstheme="minorHAnsi"/>
        </w:rPr>
        <w:t>208</w:t>
      </w:r>
    </w:p>
    <w:p w14:paraId="1900D54E" w14:textId="77777777" w:rsidR="00137F56" w:rsidRPr="00A847B7" w:rsidRDefault="00137F56" w:rsidP="002E64E5">
      <w:pPr>
        <w:spacing w:beforeAutospacing="1" w:after="100" w:afterAutospacing="1"/>
        <w:rPr>
          <w:rFonts w:cstheme="minorHAnsi"/>
        </w:rPr>
      </w:pPr>
      <w:r w:rsidRPr="00A847B7">
        <w:rPr>
          <w:rFonts w:cstheme="minorHAnsi"/>
        </w:rPr>
        <w:t xml:space="preserve">Tous les mois, les exploitants de salle de cinéma doivent déclarer et s’acquitter d’une taxe sur le prix des entrées en salles de spectacles cinématographiques calculée au taux unique de 10,72 % sur les recettes de billetterie. Elle n’est pas due si son montant mensuel par établissement est inférieur à 80 €. </w:t>
      </w:r>
    </w:p>
    <w:p w14:paraId="5003C509" w14:textId="77777777" w:rsidR="00137F56" w:rsidRPr="00A847B7" w:rsidRDefault="00137F56" w:rsidP="00137F56">
      <w:pPr>
        <w:spacing w:beforeAutospacing="1" w:after="100" w:afterAutospacing="1"/>
        <w:rPr>
          <w:rFonts w:cstheme="minorHAnsi"/>
        </w:rPr>
      </w:pPr>
      <w:r w:rsidRPr="00A847B7">
        <w:rPr>
          <w:rFonts w:cstheme="minorHAnsi"/>
        </w:rPr>
        <w:lastRenderedPageBreak/>
        <w:t>Dans le cadre de la crise sanitaire liée à la propagation du coronavirus, pour prendre en compte la situation des exploitants de salle de cinéma, la taxe n’est pas due au titre des mois de février à décembre 2020.</w:t>
      </w:r>
    </w:p>
    <w:p w14:paraId="3BAAD0D9" w14:textId="77777777" w:rsidR="00137F56" w:rsidRPr="00A847B7" w:rsidRDefault="00137F56" w:rsidP="00137F56">
      <w:pPr>
        <w:rPr>
          <w:rFonts w:ascii="Arial" w:hAnsi="Arial" w:cs="Arial"/>
          <w:highlight w:val="yellow"/>
        </w:rPr>
      </w:pPr>
    </w:p>
    <w:p w14:paraId="1E5B9B24" w14:textId="65313172" w:rsidR="0080341F" w:rsidRPr="00A847B7" w:rsidRDefault="0080341F" w:rsidP="0080341F">
      <w:pPr>
        <w:pStyle w:val="Titre3"/>
      </w:pPr>
      <w:bookmarkStart w:id="137" w:name="_Toc60781053"/>
      <w:r w:rsidRPr="00A847B7">
        <w:t xml:space="preserve">Slide </w:t>
      </w:r>
      <w:r w:rsidR="00CD513C">
        <w:t>92</w:t>
      </w:r>
      <w:r w:rsidRPr="00A847B7">
        <w:t xml:space="preserve"> : </w:t>
      </w:r>
      <w:r w:rsidR="000F41AF" w:rsidRPr="00A847B7">
        <w:t>O</w:t>
      </w:r>
      <w:r w:rsidR="005475D6" w:rsidRPr="00A847B7">
        <w:t>pération de réassurance avec la garantie de l’Etat</w:t>
      </w:r>
      <w:bookmarkEnd w:id="137"/>
    </w:p>
    <w:p w14:paraId="3985F49A" w14:textId="762DD412" w:rsidR="00E953C2" w:rsidRPr="005A54C4" w:rsidRDefault="002E64E5" w:rsidP="009E659D">
      <w:pPr>
        <w:rPr>
          <w:rFonts w:ascii="Arial" w:hAnsi="Arial" w:cs="Arial"/>
        </w:rPr>
      </w:pPr>
      <w:r w:rsidRPr="004F587E">
        <w:rPr>
          <w:u w:val="single"/>
        </w:rPr>
        <w:t xml:space="preserve">Source </w:t>
      </w:r>
      <w:r w:rsidRPr="00A847B7">
        <w:t>:</w:t>
      </w:r>
      <w:r w:rsidR="002C76A4" w:rsidRPr="005A54C4">
        <w:rPr>
          <w:rFonts w:cstheme="minorHAnsi"/>
        </w:rPr>
        <w:t xml:space="preserve"> </w:t>
      </w:r>
      <w:r w:rsidR="00E953C2" w:rsidRPr="005A54C4">
        <w:rPr>
          <w:rFonts w:cstheme="minorHAnsi"/>
        </w:rPr>
        <w:t xml:space="preserve">Loi de Finances pour 2021, article </w:t>
      </w:r>
      <w:r w:rsidR="00517C81" w:rsidRPr="005A54C4">
        <w:rPr>
          <w:rFonts w:cstheme="minorHAnsi"/>
        </w:rPr>
        <w:t>215</w:t>
      </w:r>
    </w:p>
    <w:p w14:paraId="6F6F8C13" w14:textId="1EBACE0E" w:rsidR="00184930" w:rsidRPr="00A847B7" w:rsidRDefault="00074CF4" w:rsidP="00184930">
      <w:pPr>
        <w:rPr>
          <w:rFonts w:cstheme="minorHAnsi"/>
        </w:rPr>
      </w:pPr>
      <w:r w:rsidRPr="00A847B7">
        <w:rPr>
          <w:rFonts w:cstheme="minorHAnsi"/>
        </w:rPr>
        <w:t>La caisse centrale de réassurance, agissant avec la garantie de l'Etat, est habilitée à pratiquer les opérations d'assurance et de réassurance, intervenant avant le 31 décembre 2021 (au lieu du 31 décembre 2020), des risques d'assurance-crédit couvrant des assurés situés en France.</w:t>
      </w:r>
    </w:p>
    <w:p w14:paraId="2E2FA6C6" w14:textId="0489B0AF" w:rsidR="00F568D9" w:rsidRPr="00A847B7" w:rsidRDefault="00F568D9" w:rsidP="009E659D">
      <w:pPr>
        <w:rPr>
          <w:rFonts w:cstheme="minorHAnsi"/>
        </w:rPr>
      </w:pPr>
      <w:r w:rsidRPr="00A847B7">
        <w:rPr>
          <w:rFonts w:cstheme="minorHAnsi"/>
        </w:rPr>
        <w:t>Initialement, il était prévu que les traités de réassurance conclus entre la caisse centrale de réassurance et les assureurs-crédit devaient couvrir des risques rattachés à la période entre le 16 mars 2020 et le 31 décembre 2020, non réalisés à la date de signature des traités de réassurance et non réassurés dans le cadre des dispositifs de réassurance de risques individuels. Cette disposition spécifique est supprimée par la Loi de Finances pour 2021.</w:t>
      </w:r>
    </w:p>
    <w:p w14:paraId="0191F958" w14:textId="0FCD875E" w:rsidR="00416794" w:rsidRPr="00A847B7" w:rsidRDefault="00E40762" w:rsidP="00B27411">
      <w:pPr>
        <w:rPr>
          <w:rFonts w:cstheme="minorHAnsi"/>
        </w:rPr>
      </w:pPr>
      <w:r w:rsidRPr="00A847B7">
        <w:rPr>
          <w:rFonts w:cstheme="minorHAnsi"/>
        </w:rPr>
        <w:t xml:space="preserve">Un </w:t>
      </w:r>
      <w:r w:rsidR="00907E38">
        <w:rPr>
          <w:rFonts w:cstheme="minorHAnsi"/>
        </w:rPr>
        <w:t>d</w:t>
      </w:r>
      <w:r w:rsidRPr="00A847B7">
        <w:rPr>
          <w:rFonts w:cstheme="minorHAnsi"/>
        </w:rPr>
        <w:t>écret</w:t>
      </w:r>
      <w:r w:rsidR="00416794" w:rsidRPr="00A847B7">
        <w:rPr>
          <w:rFonts w:cstheme="minorHAnsi"/>
        </w:rPr>
        <w:t xml:space="preserve"> à paraître devra</w:t>
      </w:r>
      <w:r w:rsidRPr="00A847B7">
        <w:rPr>
          <w:rFonts w:cstheme="minorHAnsi"/>
        </w:rPr>
        <w:t xml:space="preserve"> précise</w:t>
      </w:r>
      <w:r w:rsidR="00416794" w:rsidRPr="00A847B7">
        <w:rPr>
          <w:rFonts w:cstheme="minorHAnsi"/>
        </w:rPr>
        <w:t>r</w:t>
      </w:r>
      <w:r w:rsidRPr="00A847B7">
        <w:rPr>
          <w:rFonts w:cstheme="minorHAnsi"/>
        </w:rPr>
        <w:t xml:space="preserve"> </w:t>
      </w:r>
      <w:r w:rsidR="00416794" w:rsidRPr="00A847B7">
        <w:rPr>
          <w:rFonts w:cstheme="minorHAnsi"/>
        </w:rPr>
        <w:t>certaines conditions d’application de ce dispositif</w:t>
      </w:r>
      <w:r w:rsidRPr="00A847B7">
        <w:rPr>
          <w:rFonts w:cstheme="minorHAnsi"/>
        </w:rPr>
        <w:t>,</w:t>
      </w:r>
      <w:r w:rsidR="00416794" w:rsidRPr="00A847B7">
        <w:rPr>
          <w:rFonts w:cstheme="minorHAnsi"/>
        </w:rPr>
        <w:t xml:space="preserve"> et</w:t>
      </w:r>
      <w:r w:rsidRPr="00A847B7">
        <w:rPr>
          <w:rFonts w:cstheme="minorHAnsi"/>
        </w:rPr>
        <w:t xml:space="preserve"> notamment</w:t>
      </w:r>
      <w:r w:rsidR="00416794" w:rsidRPr="00A847B7">
        <w:rPr>
          <w:rFonts w:cstheme="minorHAnsi"/>
        </w:rPr>
        <w:t> :</w:t>
      </w:r>
    </w:p>
    <w:p w14:paraId="23E2C96E" w14:textId="77777777" w:rsidR="00416794" w:rsidRPr="00A847B7" w:rsidRDefault="00E40762" w:rsidP="00EE0687">
      <w:pPr>
        <w:pStyle w:val="Paragraphedeliste"/>
        <w:numPr>
          <w:ilvl w:val="0"/>
          <w:numId w:val="148"/>
        </w:numPr>
        <w:rPr>
          <w:rFonts w:cstheme="minorHAnsi"/>
        </w:rPr>
      </w:pPr>
      <w:r w:rsidRPr="00A847B7">
        <w:rPr>
          <w:rFonts w:cstheme="minorHAnsi"/>
        </w:rPr>
        <w:t>les conditions d'exercice et de rémunération de la garantie de l'Etat</w:t>
      </w:r>
      <w:r w:rsidR="00416794" w:rsidRPr="00A847B7">
        <w:rPr>
          <w:rFonts w:cstheme="minorHAnsi"/>
        </w:rPr>
        <w:t> ;</w:t>
      </w:r>
    </w:p>
    <w:p w14:paraId="62632EC8" w14:textId="77777777" w:rsidR="000610C8" w:rsidRPr="00A847B7" w:rsidRDefault="00E40762" w:rsidP="00EE0687">
      <w:pPr>
        <w:pStyle w:val="Paragraphedeliste"/>
        <w:numPr>
          <w:ilvl w:val="0"/>
          <w:numId w:val="148"/>
        </w:numPr>
        <w:rPr>
          <w:rFonts w:cstheme="minorHAnsi"/>
        </w:rPr>
      </w:pPr>
      <w:r w:rsidRPr="00A847B7">
        <w:rPr>
          <w:rFonts w:cstheme="minorHAnsi"/>
        </w:rPr>
        <w:t>le fait générateur de l'appel en garantie de l'Etat</w:t>
      </w:r>
      <w:r w:rsidR="000610C8" w:rsidRPr="00A847B7">
        <w:rPr>
          <w:rFonts w:cstheme="minorHAnsi"/>
        </w:rPr>
        <w:t> ;</w:t>
      </w:r>
    </w:p>
    <w:p w14:paraId="5C4AB6F9" w14:textId="77777777" w:rsidR="000610C8" w:rsidRPr="00A847B7" w:rsidRDefault="00E40762" w:rsidP="00EE0687">
      <w:pPr>
        <w:pStyle w:val="Paragraphedeliste"/>
        <w:numPr>
          <w:ilvl w:val="0"/>
          <w:numId w:val="148"/>
        </w:numPr>
        <w:rPr>
          <w:rFonts w:cstheme="minorHAnsi"/>
        </w:rPr>
      </w:pPr>
      <w:r w:rsidRPr="00A847B7">
        <w:rPr>
          <w:rFonts w:cstheme="minorHAnsi"/>
        </w:rPr>
        <w:t>les catégories d'opérations de réassurance pratiquées</w:t>
      </w:r>
      <w:r w:rsidR="000610C8" w:rsidRPr="00A847B7">
        <w:rPr>
          <w:rFonts w:cstheme="minorHAnsi"/>
        </w:rPr>
        <w:t> ;</w:t>
      </w:r>
    </w:p>
    <w:p w14:paraId="3B5B74BE" w14:textId="379A5602" w:rsidR="0080341F" w:rsidRPr="00A847B7" w:rsidRDefault="00E40762" w:rsidP="00EE0687">
      <w:pPr>
        <w:pStyle w:val="Paragraphedeliste"/>
        <w:numPr>
          <w:ilvl w:val="0"/>
          <w:numId w:val="148"/>
        </w:numPr>
        <w:rPr>
          <w:rFonts w:cstheme="minorHAnsi"/>
        </w:rPr>
      </w:pPr>
      <w:r w:rsidRPr="00A847B7">
        <w:rPr>
          <w:rFonts w:cstheme="minorHAnsi"/>
        </w:rPr>
        <w:t xml:space="preserve">et </w:t>
      </w:r>
      <w:r w:rsidR="00416794" w:rsidRPr="00A847B7">
        <w:rPr>
          <w:rFonts w:cstheme="minorHAnsi"/>
        </w:rPr>
        <w:t>la part de risque que les assureurs-crédit cosignataires des traités de réassurance conservent à leur charge ainsi que les dates d’échéance de ces traités pour chaque catégorie d’opérations de réassurance pratiquées</w:t>
      </w:r>
      <w:r w:rsidR="003631AF">
        <w:rPr>
          <w:rFonts w:cstheme="minorHAnsi"/>
        </w:rPr>
        <w:t>.</w:t>
      </w:r>
    </w:p>
    <w:p w14:paraId="3E9A6D7F" w14:textId="77777777" w:rsidR="0080341F" w:rsidRPr="00A847B7" w:rsidRDefault="0080341F" w:rsidP="0080341F">
      <w:pPr>
        <w:rPr>
          <w:rFonts w:cstheme="minorHAnsi"/>
        </w:rPr>
      </w:pPr>
    </w:p>
    <w:p w14:paraId="4587063A" w14:textId="6C04DDE5" w:rsidR="00CE06B2" w:rsidRPr="00A847B7" w:rsidRDefault="00CE06B2" w:rsidP="00CE06B2">
      <w:pPr>
        <w:pStyle w:val="Titre3"/>
      </w:pPr>
      <w:bookmarkStart w:id="138" w:name="_Toc60781054"/>
      <w:r w:rsidRPr="00A847B7">
        <w:t xml:space="preserve">Slide </w:t>
      </w:r>
      <w:r w:rsidR="00966369">
        <w:t>93</w:t>
      </w:r>
      <w:r w:rsidRPr="00A847B7">
        <w:t xml:space="preserve"> : </w:t>
      </w:r>
      <w:r w:rsidR="00FD7877" w:rsidRPr="00A847B7">
        <w:t>O</w:t>
      </w:r>
      <w:r w:rsidRPr="00A847B7">
        <w:t>bligations sociales dans le cadre de France relance</w:t>
      </w:r>
      <w:bookmarkEnd w:id="138"/>
    </w:p>
    <w:p w14:paraId="5C7CF396" w14:textId="4C310B6F" w:rsidR="00FD7877" w:rsidRPr="00A847B7" w:rsidRDefault="002E64E5" w:rsidP="00D20C85">
      <w:pPr>
        <w:rPr>
          <w:rFonts w:ascii="Arial" w:hAnsi="Arial" w:cs="Arial"/>
          <w:highlight w:val="yellow"/>
        </w:rPr>
      </w:pPr>
      <w:r w:rsidRPr="004F587E">
        <w:rPr>
          <w:u w:val="single"/>
        </w:rPr>
        <w:t xml:space="preserve">Source </w:t>
      </w:r>
      <w:r w:rsidRPr="00A847B7">
        <w:t>:</w:t>
      </w:r>
      <w:r w:rsidR="002C76A4" w:rsidRPr="005A54C4">
        <w:rPr>
          <w:rFonts w:cstheme="minorHAnsi"/>
        </w:rPr>
        <w:t xml:space="preserve"> </w:t>
      </w:r>
      <w:r w:rsidR="00FD7877" w:rsidRPr="005A54C4">
        <w:rPr>
          <w:rFonts w:cstheme="minorHAnsi"/>
        </w:rPr>
        <w:t xml:space="preserve">Loi de Finances pour 2021, article </w:t>
      </w:r>
      <w:r w:rsidR="001527FF" w:rsidRPr="005A54C4">
        <w:rPr>
          <w:rFonts w:cstheme="minorHAnsi"/>
        </w:rPr>
        <w:t>244</w:t>
      </w:r>
    </w:p>
    <w:p w14:paraId="613EEE29" w14:textId="79883CF5" w:rsidR="006F4CDE" w:rsidRPr="00A847B7" w:rsidRDefault="00D27B1D" w:rsidP="006F4CDE">
      <w:pPr>
        <w:rPr>
          <w:rFonts w:cstheme="minorHAnsi"/>
        </w:rPr>
      </w:pPr>
      <w:r w:rsidRPr="00A847B7">
        <w:rPr>
          <w:rFonts w:cstheme="minorHAnsi"/>
        </w:rPr>
        <w:t xml:space="preserve">Les entreprises </w:t>
      </w:r>
      <w:r w:rsidR="0086622B" w:rsidRPr="00A847B7">
        <w:rPr>
          <w:rFonts w:cstheme="minorHAnsi"/>
        </w:rPr>
        <w:t>qui bénéficient de crédits ouverts par la Loi de Finances pour 2021 au titre de la mission « Plan de relanc</w:t>
      </w:r>
      <w:r w:rsidR="004213FE" w:rsidRPr="00A847B7">
        <w:rPr>
          <w:rFonts w:cstheme="minorHAnsi"/>
        </w:rPr>
        <w:t xml:space="preserve">e » doivent, avant le 31 décembre 2022, se soumettre </w:t>
      </w:r>
      <w:r w:rsidR="005B27ED" w:rsidRPr="00A847B7">
        <w:rPr>
          <w:rFonts w:cstheme="minorHAnsi"/>
        </w:rPr>
        <w:t>aux</w:t>
      </w:r>
      <w:r w:rsidR="004213FE" w:rsidRPr="00A847B7">
        <w:rPr>
          <w:rFonts w:cstheme="minorHAnsi"/>
        </w:rPr>
        <w:t xml:space="preserve"> obligations</w:t>
      </w:r>
      <w:r w:rsidR="005B27ED" w:rsidRPr="00A847B7">
        <w:rPr>
          <w:rFonts w:cstheme="minorHAnsi"/>
        </w:rPr>
        <w:t xml:space="preserve"> suivantes :</w:t>
      </w:r>
    </w:p>
    <w:p w14:paraId="6E6A0A7F" w14:textId="6E844DBB" w:rsidR="00CA08F9" w:rsidRPr="00A847B7" w:rsidRDefault="00BC2787" w:rsidP="00EE0687">
      <w:pPr>
        <w:pStyle w:val="Paragraphedeliste"/>
        <w:numPr>
          <w:ilvl w:val="0"/>
          <w:numId w:val="149"/>
        </w:numPr>
        <w:rPr>
          <w:rFonts w:cstheme="minorHAnsi"/>
        </w:rPr>
      </w:pPr>
      <w:r w:rsidRPr="00A847B7">
        <w:rPr>
          <w:rFonts w:cstheme="minorHAnsi"/>
        </w:rPr>
        <w:t>p</w:t>
      </w:r>
      <w:r w:rsidR="00B4711C" w:rsidRPr="00A847B7">
        <w:rPr>
          <w:rFonts w:cstheme="minorHAnsi"/>
        </w:rPr>
        <w:t xml:space="preserve">our </w:t>
      </w:r>
      <w:r w:rsidR="00D37529" w:rsidRPr="00A847B7">
        <w:rPr>
          <w:rFonts w:cstheme="minorHAnsi"/>
        </w:rPr>
        <w:t xml:space="preserve">les entreprises employant plus de 50 salariés </w:t>
      </w:r>
      <w:r w:rsidR="00F3278D" w:rsidRPr="00A847B7">
        <w:rPr>
          <w:rFonts w:cstheme="minorHAnsi"/>
        </w:rPr>
        <w:t xml:space="preserve">qui </w:t>
      </w:r>
      <w:r w:rsidR="000503C4" w:rsidRPr="00A847B7">
        <w:rPr>
          <w:rFonts w:cstheme="minorHAnsi"/>
        </w:rPr>
        <w:t xml:space="preserve">ne sont pas tenues </w:t>
      </w:r>
      <w:r w:rsidR="00D757FC" w:rsidRPr="00A847B7">
        <w:rPr>
          <w:rFonts w:cstheme="minorHAnsi"/>
        </w:rPr>
        <w:t>d’établir un bilan de leurs émissions de gaz à effet de serre</w:t>
      </w:r>
      <w:r w:rsidR="00B4711C" w:rsidRPr="00A847B7">
        <w:rPr>
          <w:rFonts w:cstheme="minorHAnsi"/>
        </w:rPr>
        <w:t xml:space="preserve"> : établir un bilan simplifié de leurs émissions de gaz à effet de serre ; </w:t>
      </w:r>
      <w:r w:rsidR="00CA08F9" w:rsidRPr="00A847B7">
        <w:rPr>
          <w:rFonts w:cstheme="minorHAnsi"/>
        </w:rPr>
        <w:t xml:space="preserve">à titre dérogatoire, </w:t>
      </w:r>
      <w:r w:rsidR="00B4711C" w:rsidRPr="00A847B7">
        <w:rPr>
          <w:rFonts w:cstheme="minorHAnsi"/>
        </w:rPr>
        <w:t>les entre</w:t>
      </w:r>
      <w:r w:rsidR="00A421C7" w:rsidRPr="00A847B7">
        <w:rPr>
          <w:rFonts w:cstheme="minorHAnsi"/>
        </w:rPr>
        <w:t xml:space="preserve">prises employant entre 51 et 250 salariés doivent établir ce bilan simplifié </w:t>
      </w:r>
      <w:r w:rsidR="00CA08F9" w:rsidRPr="00A847B7">
        <w:rPr>
          <w:rFonts w:cstheme="minorHAnsi"/>
        </w:rPr>
        <w:t>avant le 31 décembre 2023 ;</w:t>
      </w:r>
    </w:p>
    <w:p w14:paraId="7E66F4DC" w14:textId="3A298FC3" w:rsidR="006C587D" w:rsidRPr="00A847B7" w:rsidRDefault="006C587D" w:rsidP="006C587D">
      <w:pPr>
        <w:rPr>
          <w:rFonts w:cstheme="minorHAnsi"/>
        </w:rPr>
      </w:pPr>
      <w:r w:rsidRPr="00A847B7">
        <w:rPr>
          <w:rFonts w:cstheme="minorHAnsi"/>
        </w:rPr>
        <w:t>Précisons que le bilan simplifié des émissions de gaz à effet de serre est public et doit être mis à jour tous les 3 ans. Il devra indiquer les émissions directes produites par les sources d’énergie fixes et mobiles nécessaires aux activités de l’entreprise, et sera établi selon une méthode prévue par un Décret à paraître. Certaines des données contenues dans ce bilan devront être transmises à l’administration, à des fins statistiques, dans des conditions qui seront, elles aussi, définies par un Décret à paraître.</w:t>
      </w:r>
    </w:p>
    <w:p w14:paraId="4E353AA5" w14:textId="18A57FDD" w:rsidR="00BC4BD4" w:rsidRPr="00A847B7" w:rsidRDefault="00BC2787" w:rsidP="00EE0687">
      <w:pPr>
        <w:pStyle w:val="Paragraphedeliste"/>
        <w:numPr>
          <w:ilvl w:val="0"/>
          <w:numId w:val="149"/>
        </w:numPr>
        <w:rPr>
          <w:rFonts w:cstheme="minorHAnsi"/>
        </w:rPr>
      </w:pPr>
      <w:r w:rsidRPr="00A847B7">
        <w:rPr>
          <w:rFonts w:cstheme="minorHAnsi"/>
        </w:rPr>
        <w:t>pour les entreprises employant plus de 50 salariés</w:t>
      </w:r>
      <w:r w:rsidR="00970614" w:rsidRPr="00A847B7">
        <w:rPr>
          <w:rFonts w:cstheme="minorHAnsi"/>
        </w:rPr>
        <w:t xml:space="preserve"> : </w:t>
      </w:r>
      <w:r w:rsidR="0080689C" w:rsidRPr="00A847B7">
        <w:rPr>
          <w:rFonts w:cstheme="minorHAnsi"/>
        </w:rPr>
        <w:t xml:space="preserve">sous peine de pénalité financière, </w:t>
      </w:r>
      <w:r w:rsidR="00970614" w:rsidRPr="00A847B7">
        <w:rPr>
          <w:rFonts w:cstheme="minorHAnsi"/>
        </w:rPr>
        <w:t xml:space="preserve">publier </w:t>
      </w:r>
      <w:r w:rsidR="00BC4BD4" w:rsidRPr="00A847B7">
        <w:rPr>
          <w:rFonts w:cstheme="minorHAnsi"/>
        </w:rPr>
        <w:t xml:space="preserve">le résultat obtenu à chacun des indicateurs </w:t>
      </w:r>
      <w:r w:rsidR="00A302F5" w:rsidRPr="00A847B7">
        <w:rPr>
          <w:rFonts w:cstheme="minorHAnsi"/>
        </w:rPr>
        <w:t>relatifs aux écarts de rémunération entre les femmes et les hommes et aux actions mises en œuvre pour les supprimer</w:t>
      </w:r>
      <w:r w:rsidR="00C43A66" w:rsidRPr="00A847B7">
        <w:rPr>
          <w:rFonts w:cstheme="minorHAnsi"/>
        </w:rPr>
        <w:t xml:space="preserve"> selon des modalités qui seront définies par </w:t>
      </w:r>
      <w:r w:rsidR="00C43A66" w:rsidRPr="00A847B7">
        <w:rPr>
          <w:rFonts w:cstheme="minorHAnsi"/>
        </w:rPr>
        <w:lastRenderedPageBreak/>
        <w:t>un Décret à paraître ; cette publication devra être actualisée chaque année, au plus tard le 1</w:t>
      </w:r>
      <w:r w:rsidR="00C43A66" w:rsidRPr="00A847B7">
        <w:rPr>
          <w:rFonts w:cstheme="minorHAnsi"/>
          <w:vertAlign w:val="superscript"/>
        </w:rPr>
        <w:t>er</w:t>
      </w:r>
      <w:r w:rsidR="00C43A66" w:rsidRPr="00A847B7">
        <w:rPr>
          <w:rFonts w:cstheme="minorHAnsi"/>
        </w:rPr>
        <w:t xml:space="preserve"> mars </w:t>
      </w:r>
      <w:r w:rsidR="00730F12" w:rsidRPr="00A847B7">
        <w:rPr>
          <w:rFonts w:cstheme="minorHAnsi"/>
        </w:rPr>
        <w:t>et sera accessible sur le site du Ministère chargé du travail ;</w:t>
      </w:r>
    </w:p>
    <w:p w14:paraId="628098FE" w14:textId="4D609D0B" w:rsidR="00BD614D" w:rsidRPr="00A847B7" w:rsidRDefault="001A017B" w:rsidP="00EE0687">
      <w:pPr>
        <w:pStyle w:val="Paragraphedeliste"/>
        <w:numPr>
          <w:ilvl w:val="0"/>
          <w:numId w:val="149"/>
        </w:numPr>
        <w:rPr>
          <w:rFonts w:cstheme="minorHAnsi"/>
        </w:rPr>
      </w:pPr>
      <w:r w:rsidRPr="00A847B7">
        <w:rPr>
          <w:rFonts w:cstheme="minorHAnsi"/>
        </w:rPr>
        <w:t>pour les entreprises employant plus de 50 salariés et dont les indicateurs mentionnés ci-dessus sont inférieurs à un seuil défini par Décret à paraître</w:t>
      </w:r>
      <w:r w:rsidR="00BD4913" w:rsidRPr="00A847B7">
        <w:rPr>
          <w:rFonts w:cstheme="minorHAnsi"/>
        </w:rPr>
        <w:t xml:space="preserve"> : </w:t>
      </w:r>
      <w:r w:rsidR="0080689C" w:rsidRPr="00A847B7">
        <w:rPr>
          <w:rFonts w:cstheme="minorHAnsi"/>
        </w:rPr>
        <w:t xml:space="preserve">sous peine de pénalité financière, </w:t>
      </w:r>
      <w:r w:rsidR="00BD4913" w:rsidRPr="00A847B7">
        <w:rPr>
          <w:rFonts w:cstheme="minorHAnsi"/>
        </w:rPr>
        <w:t>fixer les objectifs de progression de chacun de ces indicateurs</w:t>
      </w:r>
      <w:r w:rsidR="00817692" w:rsidRPr="00A847B7">
        <w:rPr>
          <w:rFonts w:cstheme="minorHAnsi"/>
        </w:rPr>
        <w:t>, et publier ces objectifs</w:t>
      </w:r>
      <w:r w:rsidR="0028497B" w:rsidRPr="00A847B7">
        <w:rPr>
          <w:rFonts w:cstheme="minorHAnsi"/>
        </w:rPr>
        <w:t>, ainsi que, le cas échéant, les mesures de correction et de rattrapage ;</w:t>
      </w:r>
    </w:p>
    <w:p w14:paraId="02F736AD" w14:textId="2D9EEB8E" w:rsidR="0028497B" w:rsidRPr="00A847B7" w:rsidRDefault="0028497B" w:rsidP="00EE0687">
      <w:pPr>
        <w:pStyle w:val="Paragraphedeliste"/>
        <w:numPr>
          <w:ilvl w:val="0"/>
          <w:numId w:val="149"/>
        </w:numPr>
        <w:rPr>
          <w:rFonts w:cstheme="minorHAnsi"/>
        </w:rPr>
      </w:pPr>
      <w:r w:rsidRPr="00A847B7">
        <w:rPr>
          <w:rFonts w:cstheme="minorHAnsi"/>
        </w:rPr>
        <w:t>pour les entreprises employant plus de 50 salariés : communiquer au comité social et économique (CSE) le montant, la nature et l’utilisation des aides dont elles bénéficient au titre des crédits de la mission « Plan de relance », dans le cadre de la consultation annuelle sur les orientations stratégiques de l’entreprise ; le CSE devra formuler un avis distinct</w:t>
      </w:r>
      <w:r w:rsidR="00133FAA" w:rsidRPr="00A847B7">
        <w:rPr>
          <w:rFonts w:cstheme="minorHAnsi"/>
        </w:rPr>
        <w:t xml:space="preserve"> sur l’utilisation de ces crédits.</w:t>
      </w:r>
    </w:p>
    <w:p w14:paraId="51EBF765" w14:textId="1FEFDA2E" w:rsidR="0046453D" w:rsidRPr="00A847B7" w:rsidRDefault="006C587D" w:rsidP="0080689C">
      <w:pPr>
        <w:rPr>
          <w:rFonts w:cstheme="minorHAnsi"/>
        </w:rPr>
      </w:pPr>
      <w:r w:rsidRPr="00A847B7">
        <w:rPr>
          <w:rFonts w:cstheme="minorHAnsi"/>
        </w:rPr>
        <w:t xml:space="preserve">Pour l’application de ces obligations, le franchissement à la hausse d’un seuil d’effectif salarié est pris en compte lorsque ce seuil a été atteint ou dépassé pendant </w:t>
      </w:r>
      <w:r w:rsidR="00235F3C" w:rsidRPr="00A847B7">
        <w:rPr>
          <w:rFonts w:cstheme="minorHAnsi"/>
        </w:rPr>
        <w:t>5</w:t>
      </w:r>
      <w:r w:rsidRPr="00A847B7">
        <w:rPr>
          <w:rFonts w:cstheme="minorHAnsi"/>
        </w:rPr>
        <w:t xml:space="preserve"> années civiles consécutives.</w:t>
      </w:r>
    </w:p>
    <w:p w14:paraId="201ED548" w14:textId="123E0A5F" w:rsidR="006C587D" w:rsidRDefault="006C587D" w:rsidP="0080689C">
      <w:pPr>
        <w:rPr>
          <w:rFonts w:cstheme="minorHAnsi"/>
        </w:rPr>
      </w:pPr>
      <w:r w:rsidRPr="00A847B7">
        <w:rPr>
          <w:rFonts w:cstheme="minorHAnsi"/>
        </w:rPr>
        <w:t>Enfin, retenez que l</w:t>
      </w:r>
      <w:r w:rsidR="00F745FD" w:rsidRPr="00A847B7">
        <w:rPr>
          <w:rFonts w:cstheme="minorHAnsi"/>
        </w:rPr>
        <w:t>e Gouvernement devra remettre au Parlement</w:t>
      </w:r>
      <w:r w:rsidR="00844E35" w:rsidRPr="00A847B7">
        <w:rPr>
          <w:rFonts w:cstheme="minorHAnsi"/>
        </w:rPr>
        <w:t xml:space="preserve"> un rapport d’étape sur la mise en œuvre de ces obligations, préalablement au dépôt du projet de Loi de Finances pour 2022.</w:t>
      </w:r>
    </w:p>
    <w:p w14:paraId="7120AA69" w14:textId="0D367E6D" w:rsidR="00BF4782" w:rsidRDefault="00BF4782" w:rsidP="0080689C">
      <w:pPr>
        <w:rPr>
          <w:rFonts w:cstheme="minorHAnsi"/>
        </w:rPr>
      </w:pPr>
    </w:p>
    <w:p w14:paraId="529D67B3" w14:textId="7E545051" w:rsidR="00F30722" w:rsidRPr="00F048D5" w:rsidRDefault="00BF4782" w:rsidP="00F30722">
      <w:pPr>
        <w:pStyle w:val="Titre3"/>
        <w:pBdr>
          <w:left w:val="single" w:sz="24" w:space="0" w:color="4A66AC" w:themeColor="accent1"/>
        </w:pBdr>
      </w:pPr>
      <w:bookmarkStart w:id="139" w:name="_Toc60781055"/>
      <w:r w:rsidRPr="00A847B7">
        <w:t xml:space="preserve">Slide </w:t>
      </w:r>
      <w:r w:rsidR="0081670E">
        <w:t>94</w:t>
      </w:r>
      <w:r w:rsidRPr="00A847B7">
        <w:t xml:space="preserve"> : </w:t>
      </w:r>
      <w:r w:rsidR="00554B26">
        <w:t>E</w:t>
      </w:r>
      <w:r w:rsidR="00F30722" w:rsidRPr="00567E4F">
        <w:t xml:space="preserve">xonération de cotisations </w:t>
      </w:r>
      <w:r w:rsidR="000E0A0D">
        <w:t>sociales</w:t>
      </w:r>
      <w:r w:rsidR="00F30722" w:rsidRPr="00567E4F">
        <w:t xml:space="preserve"> pour les entreprises affectées par la seconde vague de l’épidémie de covid-19</w:t>
      </w:r>
      <w:bookmarkEnd w:id="139"/>
    </w:p>
    <w:p w14:paraId="7BA01611" w14:textId="3EECB220" w:rsidR="00F30722" w:rsidRPr="00F048D5" w:rsidRDefault="00F30722" w:rsidP="00F30722">
      <w:r w:rsidRPr="002B4670">
        <w:rPr>
          <w:u w:val="single"/>
        </w:rPr>
        <w:t>Source</w:t>
      </w:r>
      <w:r w:rsidRPr="00327CBB">
        <w:t xml:space="preserve"> : Loi de Financement de la sécurité sociale pour 2021, art</w:t>
      </w:r>
      <w:r w:rsidR="00F03514">
        <w:t>icle</w:t>
      </w:r>
      <w:r>
        <w:t xml:space="preserve"> 9</w:t>
      </w:r>
      <w:r w:rsidR="00F03514">
        <w:t>,</w:t>
      </w:r>
      <w:r w:rsidRPr="00D15663">
        <w:t xml:space="preserve"> I et IX</w:t>
      </w:r>
    </w:p>
    <w:p w14:paraId="477B746D" w14:textId="77777777" w:rsidR="00F30722" w:rsidRPr="00B967F5" w:rsidRDefault="00F30722" w:rsidP="00F30722">
      <w:pPr>
        <w:spacing w:beforeAutospacing="1" w:after="100" w:afterAutospacing="1"/>
        <w:rPr>
          <w:rFonts w:cstheme="minorHAnsi"/>
        </w:rPr>
      </w:pPr>
      <w:r w:rsidRPr="00B967F5">
        <w:rPr>
          <w:rFonts w:cstheme="minorHAnsi"/>
        </w:rPr>
        <w:t xml:space="preserve">Certains employeurs peuvent bénéficier d’une exonération totale des cotisations et contributions sociales patronales de sécurité sociale, à l’exception des cotisations affectées aux régimes de retraite complémentaire légalement obligatoires. Cette exonération est applicable sans limite de niveau de rémunération. </w:t>
      </w:r>
    </w:p>
    <w:p w14:paraId="662E42F3" w14:textId="045B7900" w:rsidR="00F30722" w:rsidRPr="00B967F5" w:rsidRDefault="00F30722" w:rsidP="00F30722">
      <w:pPr>
        <w:spacing w:beforeAutospacing="1" w:after="100" w:afterAutospacing="1"/>
        <w:rPr>
          <w:rFonts w:cstheme="minorHAnsi"/>
        </w:rPr>
      </w:pPr>
      <w:r w:rsidRPr="00B967F5">
        <w:rPr>
          <w:rFonts w:cstheme="minorHAnsi"/>
        </w:rPr>
        <w:t xml:space="preserve">Cette exonération concerne les employeurs ayant des salariés relevant du régime général ou du régime agricole de sécurité sociale. </w:t>
      </w:r>
    </w:p>
    <w:p w14:paraId="17CB5DD0" w14:textId="77777777" w:rsidR="00F30722" w:rsidRPr="002E64E5" w:rsidRDefault="00F30722" w:rsidP="00EE0687">
      <w:pPr>
        <w:pStyle w:val="Paragraphedeliste"/>
        <w:numPr>
          <w:ilvl w:val="0"/>
          <w:numId w:val="1"/>
        </w:numPr>
        <w:spacing w:beforeAutospacing="1" w:after="100" w:afterAutospacing="1"/>
        <w:rPr>
          <w:rFonts w:cstheme="minorHAnsi"/>
          <w:b/>
          <w:bCs/>
          <w:i/>
          <w:iCs/>
          <w:u w:val="single"/>
        </w:rPr>
      </w:pPr>
      <w:r w:rsidRPr="002E64E5">
        <w:rPr>
          <w:rFonts w:cstheme="minorHAnsi"/>
          <w:b/>
          <w:bCs/>
          <w:i/>
          <w:iCs/>
          <w:u w:val="single"/>
        </w:rPr>
        <w:t>Employeurs concernés par cette exonération</w:t>
      </w:r>
    </w:p>
    <w:p w14:paraId="6FDABFDD" w14:textId="77777777" w:rsidR="00F30722" w:rsidRPr="00B967F5" w:rsidRDefault="00F30722" w:rsidP="00F30722">
      <w:pPr>
        <w:spacing w:beforeAutospacing="1" w:after="100" w:afterAutospacing="1"/>
        <w:rPr>
          <w:rFonts w:cstheme="minorHAnsi"/>
        </w:rPr>
      </w:pPr>
      <w:r w:rsidRPr="00B967F5">
        <w:rPr>
          <w:rFonts w:cstheme="minorHAnsi"/>
        </w:rPr>
        <w:t>Sont concernés :</w:t>
      </w:r>
    </w:p>
    <w:p w14:paraId="35FF702E" w14:textId="4DBCFF1A" w:rsidR="00F30722" w:rsidRDefault="00F30722" w:rsidP="00EE0687">
      <w:pPr>
        <w:pStyle w:val="Paragraphedeliste"/>
        <w:numPr>
          <w:ilvl w:val="0"/>
          <w:numId w:val="258"/>
        </w:numPr>
        <w:spacing w:beforeAutospacing="1" w:after="100" w:afterAutospacing="1"/>
        <w:rPr>
          <w:rFonts w:cstheme="minorHAnsi"/>
        </w:rPr>
      </w:pPr>
      <w:r w:rsidRPr="005A3C2B">
        <w:rPr>
          <w:rFonts w:cstheme="minorHAnsi"/>
        </w:rPr>
        <w:t xml:space="preserve">les employeurs de moins de 50 salariés relevant de secteurs d’activité qui ont subi des mesures d’interdiction </w:t>
      </w:r>
      <w:r w:rsidR="00FE2374">
        <w:rPr>
          <w:rFonts w:cstheme="minorHAnsi"/>
        </w:rPr>
        <w:t xml:space="preserve">d’accueil </w:t>
      </w:r>
      <w:r w:rsidRPr="005A3C2B">
        <w:rPr>
          <w:rFonts w:cstheme="minorHAnsi"/>
        </w:rPr>
        <w:t xml:space="preserve">du public ; </w:t>
      </w:r>
    </w:p>
    <w:p w14:paraId="237F67F5" w14:textId="443DB18B" w:rsidR="00F30722" w:rsidRDefault="00F30722" w:rsidP="00EE0687">
      <w:pPr>
        <w:pStyle w:val="Paragraphedeliste"/>
        <w:numPr>
          <w:ilvl w:val="0"/>
          <w:numId w:val="258"/>
        </w:numPr>
        <w:spacing w:beforeAutospacing="1" w:after="100" w:afterAutospacing="1"/>
        <w:rPr>
          <w:rFonts w:cstheme="minorHAnsi"/>
        </w:rPr>
      </w:pPr>
      <w:r w:rsidRPr="005A3C2B">
        <w:rPr>
          <w:rFonts w:cstheme="minorHAnsi"/>
        </w:rPr>
        <w:t xml:space="preserve">les employeurs de moins de 250 salariés exerçant leur activité dans les secteurs durement impactés par la crise sanitaire et qui exercent leur activité principale : </w:t>
      </w:r>
    </w:p>
    <w:p w14:paraId="69C3F446" w14:textId="58F04239" w:rsidR="00F30722" w:rsidRDefault="00F30722" w:rsidP="00EE0687">
      <w:pPr>
        <w:pStyle w:val="Paragraphedeliste"/>
        <w:numPr>
          <w:ilvl w:val="1"/>
          <w:numId w:val="258"/>
        </w:numPr>
        <w:spacing w:beforeAutospacing="1" w:after="100" w:afterAutospacing="1"/>
        <w:rPr>
          <w:rFonts w:cstheme="minorHAnsi"/>
        </w:rPr>
      </w:pPr>
      <w:r w:rsidRPr="005A3C2B">
        <w:rPr>
          <w:rFonts w:cstheme="minorHAnsi"/>
        </w:rPr>
        <w:t>soit dans les secteurs du tourisme, de l’hôtellerie, de la restauration, du sport, de la culture, du transport aérien ou de l’événementiel</w:t>
      </w:r>
      <w:r w:rsidR="00A336BE">
        <w:rPr>
          <w:rFonts w:cstheme="minorHAnsi"/>
        </w:rPr>
        <w:t xml:space="preserve"> </w:t>
      </w:r>
      <w:r w:rsidR="00FE3F0C">
        <w:rPr>
          <w:rFonts w:cstheme="minorHAnsi"/>
        </w:rPr>
        <w:t>(secteur A)</w:t>
      </w:r>
      <w:r w:rsidRPr="005A3C2B">
        <w:rPr>
          <w:rFonts w:cstheme="minorHAnsi"/>
        </w:rPr>
        <w:t>;</w:t>
      </w:r>
    </w:p>
    <w:p w14:paraId="1D7F0C34" w14:textId="21154F49" w:rsidR="00F30722" w:rsidRPr="005A3C2B" w:rsidRDefault="00F30722" w:rsidP="00EE0687">
      <w:pPr>
        <w:pStyle w:val="Paragraphedeliste"/>
        <w:numPr>
          <w:ilvl w:val="1"/>
          <w:numId w:val="258"/>
        </w:numPr>
        <w:spacing w:beforeAutospacing="1" w:after="100" w:afterAutospacing="1"/>
        <w:rPr>
          <w:rFonts w:cstheme="minorHAnsi"/>
        </w:rPr>
      </w:pPr>
      <w:r w:rsidRPr="005A3C2B">
        <w:rPr>
          <w:rFonts w:cstheme="minorHAnsi"/>
        </w:rPr>
        <w:t>soit dans des secteurs d’activités qui dépendent des secteurs mentionnés ci-dessus (</w:t>
      </w:r>
      <w:r w:rsidR="00FE3F0C">
        <w:rPr>
          <w:rFonts w:cstheme="minorHAnsi"/>
        </w:rPr>
        <w:t>secteur B</w:t>
      </w:r>
      <w:r w:rsidRPr="005A3C2B">
        <w:rPr>
          <w:rFonts w:cstheme="minorHAnsi"/>
        </w:rPr>
        <w:t>).</w:t>
      </w:r>
    </w:p>
    <w:p w14:paraId="2E03FA83" w14:textId="38786642" w:rsidR="00F30722" w:rsidRDefault="00F30722" w:rsidP="00F30722">
      <w:pPr>
        <w:spacing w:beforeAutospacing="1" w:after="100" w:afterAutospacing="1"/>
        <w:rPr>
          <w:rFonts w:cstheme="minorHAnsi"/>
        </w:rPr>
      </w:pPr>
      <w:r w:rsidRPr="00B967F5">
        <w:rPr>
          <w:rFonts w:cstheme="minorHAnsi"/>
        </w:rPr>
        <w:t xml:space="preserve">Ces derniers (employeurs de moins de 250 salariés), doivent, pour bénéficier effectivement de cette exonération, au cours du dernier mois suivant celui au titre duquel l’exonération est applicable, soit : </w:t>
      </w:r>
    </w:p>
    <w:p w14:paraId="69AE4256" w14:textId="3BD7B45E" w:rsidR="00F30722" w:rsidRDefault="00F30722" w:rsidP="00EE0687">
      <w:pPr>
        <w:pStyle w:val="Paragraphedeliste"/>
        <w:numPr>
          <w:ilvl w:val="0"/>
          <w:numId w:val="259"/>
        </w:numPr>
        <w:spacing w:beforeAutospacing="1" w:after="100" w:afterAutospacing="1"/>
        <w:rPr>
          <w:rFonts w:cstheme="minorHAnsi"/>
        </w:rPr>
      </w:pPr>
      <w:r w:rsidRPr="005A3C2B">
        <w:rPr>
          <w:rFonts w:cstheme="minorHAnsi"/>
        </w:rPr>
        <w:t>avoir fait l’objet de mesures d’interdiction d’accueil du public prises dans le cadre de l’état d’urgence sanitaire</w:t>
      </w:r>
      <w:r w:rsidR="004E2132">
        <w:rPr>
          <w:rFonts w:cstheme="minorHAnsi"/>
        </w:rPr>
        <w:t xml:space="preserve"> </w:t>
      </w:r>
      <w:r w:rsidRPr="005A3C2B">
        <w:rPr>
          <w:rFonts w:cstheme="minorHAnsi"/>
        </w:rPr>
        <w:t>(fermetures administratives), à l’exception des activités de livraison, de retrait de commande ou de vente à emporter ;</w:t>
      </w:r>
    </w:p>
    <w:p w14:paraId="5D33D9C6" w14:textId="0DD0F259" w:rsidR="00F30722" w:rsidRPr="005A3C2B" w:rsidRDefault="00F30722" w:rsidP="00EE0687">
      <w:pPr>
        <w:pStyle w:val="Paragraphedeliste"/>
        <w:numPr>
          <w:ilvl w:val="0"/>
          <w:numId w:val="259"/>
        </w:numPr>
        <w:spacing w:beforeAutospacing="1" w:after="100" w:afterAutospacing="1"/>
        <w:rPr>
          <w:rFonts w:cstheme="minorHAnsi"/>
        </w:rPr>
      </w:pPr>
      <w:r w:rsidRPr="005A3C2B">
        <w:rPr>
          <w:rFonts w:cstheme="minorHAnsi"/>
        </w:rPr>
        <w:lastRenderedPageBreak/>
        <w:t xml:space="preserve">avoir constaté une baisse de chiffre d’affaires d’au moins 50 % par rapport à la même période de l’année précédente (cette baisse de chiffre d’affaires est appréciée selon des modalités qui seront fixées par </w:t>
      </w:r>
      <w:r w:rsidR="005A3792">
        <w:rPr>
          <w:rFonts w:cstheme="minorHAnsi"/>
        </w:rPr>
        <w:t>D</w:t>
      </w:r>
      <w:r w:rsidRPr="005A3C2B">
        <w:rPr>
          <w:rFonts w:cstheme="minorHAnsi"/>
        </w:rPr>
        <w:t>écret, notamment pour les activités présentant une forte saisonnalité).</w:t>
      </w:r>
    </w:p>
    <w:p w14:paraId="2936566D" w14:textId="77777777" w:rsidR="00F30722" w:rsidRPr="00B967F5" w:rsidRDefault="00F30722" w:rsidP="00F30722">
      <w:pPr>
        <w:spacing w:beforeAutospacing="1" w:after="100" w:afterAutospacing="1"/>
        <w:rPr>
          <w:rFonts w:cstheme="minorHAnsi"/>
        </w:rPr>
      </w:pPr>
      <w:r w:rsidRPr="00B967F5">
        <w:rPr>
          <w:rFonts w:cstheme="minorHAnsi"/>
        </w:rPr>
        <w:t xml:space="preserve">Ces conditions ne s’appliquent pas aux clubs de sport professionnels. </w:t>
      </w:r>
    </w:p>
    <w:p w14:paraId="249E50BE" w14:textId="77777777" w:rsidR="00F30722" w:rsidRPr="00B967F5" w:rsidRDefault="00F30722" w:rsidP="00F30722">
      <w:pPr>
        <w:spacing w:beforeAutospacing="1" w:after="100" w:afterAutospacing="1"/>
        <w:rPr>
          <w:rFonts w:cstheme="minorHAnsi"/>
        </w:rPr>
      </w:pPr>
      <w:r w:rsidRPr="00B967F5">
        <w:rPr>
          <w:rFonts w:cstheme="minorHAnsi"/>
        </w:rPr>
        <w:t xml:space="preserve">Pour pouvoir bénéficier de l’aide, l’employeur ne doit pas avoir été condamné pour travail dissimulé au cours des 5 années précédentes. </w:t>
      </w:r>
    </w:p>
    <w:p w14:paraId="688C44E4" w14:textId="77777777" w:rsidR="00F30722" w:rsidRPr="002E64E5" w:rsidRDefault="00F30722" w:rsidP="00EE0687">
      <w:pPr>
        <w:pStyle w:val="Paragraphedeliste"/>
        <w:numPr>
          <w:ilvl w:val="0"/>
          <w:numId w:val="1"/>
        </w:numPr>
        <w:spacing w:beforeAutospacing="1" w:after="100" w:afterAutospacing="1"/>
        <w:rPr>
          <w:rFonts w:cstheme="minorHAnsi"/>
          <w:b/>
          <w:bCs/>
          <w:i/>
          <w:iCs/>
          <w:u w:val="single"/>
        </w:rPr>
      </w:pPr>
      <w:r w:rsidRPr="002E64E5">
        <w:rPr>
          <w:rFonts w:cstheme="minorHAnsi"/>
          <w:b/>
          <w:bCs/>
          <w:i/>
          <w:iCs/>
          <w:u w:val="single"/>
        </w:rPr>
        <w:t xml:space="preserve">Périodes d’activités éligibles à cette exonération </w:t>
      </w:r>
    </w:p>
    <w:p w14:paraId="683BBDAF" w14:textId="1B3FE3DB" w:rsidR="00F30722" w:rsidRPr="00B967F5" w:rsidRDefault="00F30722" w:rsidP="00F30722">
      <w:pPr>
        <w:spacing w:beforeAutospacing="1" w:after="100" w:afterAutospacing="1"/>
        <w:rPr>
          <w:rFonts w:cstheme="minorHAnsi"/>
        </w:rPr>
      </w:pPr>
      <w:r w:rsidRPr="00B967F5">
        <w:rPr>
          <w:rFonts w:cstheme="minorHAnsi"/>
        </w:rPr>
        <w:t>Pour les entreprises de moins de 250 salariés relevant d</w:t>
      </w:r>
      <w:r w:rsidR="00FE3F0C">
        <w:rPr>
          <w:rFonts w:cstheme="minorHAnsi"/>
        </w:rPr>
        <w:t>u secteur A</w:t>
      </w:r>
      <w:r w:rsidRPr="00B967F5">
        <w:rPr>
          <w:rFonts w:cstheme="minorHAnsi"/>
        </w:rPr>
        <w:t xml:space="preserve">, l’exonération est applicable aux cotisations dues au titre des périodes d’emploi, allant : </w:t>
      </w:r>
    </w:p>
    <w:p w14:paraId="56E8E121" w14:textId="23EDF36F" w:rsidR="00F30722" w:rsidRDefault="00F30722" w:rsidP="00EE0687">
      <w:pPr>
        <w:pStyle w:val="Paragraphedeliste"/>
        <w:numPr>
          <w:ilvl w:val="0"/>
          <w:numId w:val="260"/>
        </w:numPr>
        <w:spacing w:beforeAutospacing="1" w:after="100" w:afterAutospacing="1"/>
        <w:rPr>
          <w:rFonts w:cstheme="minorHAnsi"/>
        </w:rPr>
      </w:pPr>
      <w:r w:rsidRPr="00A24347">
        <w:rPr>
          <w:rFonts w:cstheme="minorHAnsi"/>
        </w:rPr>
        <w:t>du 1</w:t>
      </w:r>
      <w:r w:rsidRPr="001E1E3B">
        <w:rPr>
          <w:rFonts w:cstheme="minorHAnsi"/>
          <w:vertAlign w:val="superscript"/>
        </w:rPr>
        <w:t>er</w:t>
      </w:r>
      <w:r w:rsidRPr="00A24347">
        <w:rPr>
          <w:rFonts w:cstheme="minorHAnsi"/>
        </w:rPr>
        <w:t xml:space="preserve"> septembre 2020 au 30 novembre 2020, à condition qu’elles exercent leur activité dans un lieu concerné par des mesures de couvre-feu ; prises dans le cadre de l’état d’urgence sanitaire avant le 30 octobre 2020) ;</w:t>
      </w:r>
    </w:p>
    <w:p w14:paraId="3F1180CF" w14:textId="28C81A6F" w:rsidR="00F30722" w:rsidRPr="00A24347" w:rsidRDefault="00F30722" w:rsidP="00EE0687">
      <w:pPr>
        <w:pStyle w:val="Paragraphedeliste"/>
        <w:numPr>
          <w:ilvl w:val="0"/>
          <w:numId w:val="260"/>
        </w:numPr>
        <w:spacing w:beforeAutospacing="1" w:after="100" w:afterAutospacing="1"/>
        <w:rPr>
          <w:rFonts w:cstheme="minorHAnsi"/>
        </w:rPr>
      </w:pPr>
      <w:r w:rsidRPr="00A24347">
        <w:rPr>
          <w:rFonts w:cstheme="minorHAnsi"/>
        </w:rPr>
        <w:t>du 1</w:t>
      </w:r>
      <w:r w:rsidR="00554B26" w:rsidRPr="001E1E3B">
        <w:rPr>
          <w:rFonts w:cstheme="minorHAnsi"/>
          <w:vertAlign w:val="superscript"/>
        </w:rPr>
        <w:t>er</w:t>
      </w:r>
      <w:r w:rsidRPr="00A24347">
        <w:rPr>
          <w:rFonts w:cstheme="minorHAnsi"/>
        </w:rPr>
        <w:t xml:space="preserve"> octobre 2020 au 30 novembre 2020 dans les autres cas.</w:t>
      </w:r>
    </w:p>
    <w:p w14:paraId="1D876C87" w14:textId="7AA0BE84" w:rsidR="00F30722" w:rsidRPr="00B967F5" w:rsidRDefault="00F30722" w:rsidP="00F30722">
      <w:pPr>
        <w:spacing w:beforeAutospacing="1" w:after="100" w:afterAutospacing="1"/>
        <w:rPr>
          <w:rFonts w:cstheme="minorHAnsi"/>
        </w:rPr>
      </w:pPr>
      <w:r w:rsidRPr="00B967F5">
        <w:rPr>
          <w:rFonts w:cstheme="minorHAnsi"/>
        </w:rPr>
        <w:t xml:space="preserve">Pour les entreprises de moins de 250 salariés relevant </w:t>
      </w:r>
      <w:r w:rsidR="00FE3F0C">
        <w:rPr>
          <w:rFonts w:cstheme="minorHAnsi"/>
        </w:rPr>
        <w:t>du secteur B</w:t>
      </w:r>
      <w:r w:rsidRPr="00B967F5">
        <w:rPr>
          <w:rFonts w:cstheme="minorHAnsi"/>
        </w:rPr>
        <w:t xml:space="preserve">, l’exonération est applicable aux cotisations dues au titre des périodes d’emploi allant du </w:t>
      </w:r>
      <w:r w:rsidR="00FE3F0C">
        <w:rPr>
          <w:rFonts w:cstheme="minorHAnsi"/>
        </w:rPr>
        <w:t>1</w:t>
      </w:r>
      <w:r w:rsidR="00FE3F0C" w:rsidRPr="00E66C5E">
        <w:rPr>
          <w:rFonts w:cstheme="minorHAnsi"/>
          <w:vertAlign w:val="superscript"/>
        </w:rPr>
        <w:t>er</w:t>
      </w:r>
      <w:r w:rsidR="00FE3F0C">
        <w:rPr>
          <w:rFonts w:cstheme="minorHAnsi"/>
        </w:rPr>
        <w:t xml:space="preserve"> </w:t>
      </w:r>
      <w:r w:rsidRPr="00B967F5">
        <w:rPr>
          <w:rFonts w:cstheme="minorHAnsi"/>
        </w:rPr>
        <w:t>septembre au 30 novembre 2020.</w:t>
      </w:r>
    </w:p>
    <w:p w14:paraId="6F5B3D06" w14:textId="77777777" w:rsidR="00F30722" w:rsidRPr="00B967F5" w:rsidRDefault="00F30722" w:rsidP="00F30722">
      <w:pPr>
        <w:spacing w:beforeAutospacing="1" w:after="100" w:afterAutospacing="1"/>
        <w:rPr>
          <w:rFonts w:cstheme="minorHAnsi"/>
        </w:rPr>
      </w:pPr>
      <w:r w:rsidRPr="00B967F5">
        <w:rPr>
          <w:rFonts w:cstheme="minorHAnsi"/>
        </w:rPr>
        <w:t>Pour les entreprises de moins de 50 salariés concernés, cette exonération est applicable pour les périodes allant du 1e</w:t>
      </w:r>
      <w:r>
        <w:rPr>
          <w:rFonts w:cstheme="minorHAnsi"/>
        </w:rPr>
        <w:t>r</w:t>
      </w:r>
      <w:r w:rsidRPr="00B967F5">
        <w:rPr>
          <w:rFonts w:cstheme="minorHAnsi"/>
        </w:rPr>
        <w:t xml:space="preserve"> octobre au 30 novembre 2020.</w:t>
      </w:r>
    </w:p>
    <w:p w14:paraId="1A41020C" w14:textId="77777777" w:rsidR="00F30722" w:rsidRPr="00B967F5" w:rsidRDefault="00F30722" w:rsidP="00F30722">
      <w:pPr>
        <w:spacing w:beforeAutospacing="1" w:after="100" w:afterAutospacing="1"/>
        <w:rPr>
          <w:rFonts w:cstheme="minorHAnsi"/>
        </w:rPr>
      </w:pPr>
      <w:r w:rsidRPr="00B967F5">
        <w:rPr>
          <w:rFonts w:cstheme="minorHAnsi"/>
        </w:rPr>
        <w:t>Les employeurs établis dans les départements d’outre-mer peuvent également bénéficier de l’exonération pour les périodes d’emploi allant du 1er octobre au 30 novembre 2020.</w:t>
      </w:r>
    </w:p>
    <w:p w14:paraId="4AF84B5E" w14:textId="77777777" w:rsidR="00F30722" w:rsidRPr="00B967F5" w:rsidRDefault="00F30722" w:rsidP="00F30722">
      <w:pPr>
        <w:spacing w:beforeAutospacing="1" w:after="100" w:afterAutospacing="1"/>
        <w:rPr>
          <w:rFonts w:cstheme="minorHAnsi"/>
        </w:rPr>
      </w:pPr>
      <w:r w:rsidRPr="00B967F5">
        <w:rPr>
          <w:rFonts w:cstheme="minorHAnsi"/>
        </w:rPr>
        <w:t>Ces dispositions sont applicables à Mayotte et à Saint-Pierre-et-Miquelon, sous réserve des adaptations liées aux modalités d’application du régime de sécurité sociale dans ces collectivités.</w:t>
      </w:r>
    </w:p>
    <w:p w14:paraId="32703A27" w14:textId="77777777" w:rsidR="00F30722" w:rsidRPr="002E64E5" w:rsidRDefault="00F30722" w:rsidP="00EE0687">
      <w:pPr>
        <w:pStyle w:val="Paragraphedeliste"/>
        <w:numPr>
          <w:ilvl w:val="0"/>
          <w:numId w:val="1"/>
        </w:numPr>
        <w:spacing w:beforeAutospacing="1" w:after="100" w:afterAutospacing="1"/>
        <w:rPr>
          <w:rFonts w:cstheme="minorHAnsi"/>
          <w:b/>
          <w:bCs/>
          <w:i/>
          <w:iCs/>
          <w:u w:val="single"/>
        </w:rPr>
      </w:pPr>
      <w:r w:rsidRPr="002E64E5">
        <w:rPr>
          <w:rFonts w:cstheme="minorHAnsi"/>
          <w:b/>
          <w:bCs/>
          <w:i/>
          <w:iCs/>
          <w:u w:val="single"/>
        </w:rPr>
        <w:t xml:space="preserve">Durée de l’exonération et prolongation </w:t>
      </w:r>
    </w:p>
    <w:p w14:paraId="1673BE51" w14:textId="77777777" w:rsidR="00F30722" w:rsidRPr="00B967F5" w:rsidRDefault="00F30722" w:rsidP="00F30722">
      <w:pPr>
        <w:spacing w:beforeAutospacing="1" w:after="100" w:afterAutospacing="1"/>
        <w:rPr>
          <w:rFonts w:cstheme="minorHAnsi"/>
        </w:rPr>
      </w:pPr>
      <w:r w:rsidRPr="00B967F5">
        <w:rPr>
          <w:rFonts w:cstheme="minorHAnsi"/>
        </w:rPr>
        <w:t xml:space="preserve">Pour tous, cette exonération s’appliquera au maximum pendant 3 mois et au plus tard pour les périodes d’emploi courant jusqu’au 30 novembre 2020. </w:t>
      </w:r>
    </w:p>
    <w:p w14:paraId="7158DC39" w14:textId="1C60B60D" w:rsidR="00F30722" w:rsidRPr="00B967F5" w:rsidRDefault="00F30722" w:rsidP="00F30722">
      <w:pPr>
        <w:spacing w:beforeAutospacing="1" w:after="100" w:afterAutospacing="1"/>
        <w:rPr>
          <w:rFonts w:cstheme="minorHAnsi"/>
        </w:rPr>
      </w:pPr>
      <w:r w:rsidRPr="00B967F5">
        <w:rPr>
          <w:rFonts w:cstheme="minorHAnsi"/>
        </w:rPr>
        <w:t xml:space="preserve">Cette période d’exonération pourra être prolongée par </w:t>
      </w:r>
      <w:r w:rsidR="0015382D">
        <w:rPr>
          <w:rFonts w:cstheme="minorHAnsi"/>
        </w:rPr>
        <w:t>D</w:t>
      </w:r>
      <w:r w:rsidRPr="00B967F5">
        <w:rPr>
          <w:rFonts w:cstheme="minorHAnsi"/>
        </w:rPr>
        <w:t xml:space="preserve">écret : </w:t>
      </w:r>
    </w:p>
    <w:p w14:paraId="79057CC0" w14:textId="77777777" w:rsidR="00F30722" w:rsidRDefault="00F30722" w:rsidP="00EE0687">
      <w:pPr>
        <w:pStyle w:val="Paragraphedeliste"/>
        <w:numPr>
          <w:ilvl w:val="0"/>
          <w:numId w:val="261"/>
        </w:numPr>
        <w:spacing w:beforeAutospacing="1" w:after="100" w:afterAutospacing="1"/>
        <w:rPr>
          <w:rFonts w:cstheme="minorHAnsi"/>
        </w:rPr>
      </w:pPr>
      <w:r w:rsidRPr="00A24347">
        <w:rPr>
          <w:rFonts w:cstheme="minorHAnsi"/>
        </w:rPr>
        <w:t xml:space="preserve">au plus tard jusqu’à la fin de l’état d’urgence sanitaire, c’est-à-dire jusqu’au 16 février inclus pour le moment ; </w:t>
      </w:r>
    </w:p>
    <w:p w14:paraId="628FD04D" w14:textId="77777777" w:rsidR="00F30722" w:rsidRPr="00A24347" w:rsidRDefault="00F30722" w:rsidP="00EE0687">
      <w:pPr>
        <w:pStyle w:val="Paragraphedeliste"/>
        <w:numPr>
          <w:ilvl w:val="0"/>
          <w:numId w:val="261"/>
        </w:numPr>
        <w:spacing w:beforeAutospacing="1" w:after="100" w:afterAutospacing="1"/>
        <w:rPr>
          <w:rFonts w:cstheme="minorHAnsi"/>
        </w:rPr>
      </w:pPr>
      <w:r w:rsidRPr="00A24347">
        <w:rPr>
          <w:rFonts w:cstheme="minorHAnsi"/>
        </w:rPr>
        <w:t xml:space="preserve">ou pour les employeurs pour qui l’interdiction d’accueil du public aurait été prolongée au-delà de cette date, jusqu’au dernier jours du mois au cours duquel cette interdiction prendra fin. </w:t>
      </w:r>
    </w:p>
    <w:p w14:paraId="4237123C" w14:textId="30A86D33" w:rsidR="00F30722" w:rsidRPr="00B967F5" w:rsidRDefault="00F30722" w:rsidP="00F30722">
      <w:pPr>
        <w:spacing w:beforeAutospacing="1" w:after="100" w:afterAutospacing="1"/>
        <w:rPr>
          <w:rFonts w:cstheme="minorHAnsi"/>
        </w:rPr>
      </w:pPr>
      <w:r w:rsidRPr="00B967F5">
        <w:rPr>
          <w:rFonts w:cstheme="minorHAnsi"/>
        </w:rPr>
        <w:t xml:space="preserve">Le cas échéant, ce </w:t>
      </w:r>
      <w:r w:rsidR="0015382D">
        <w:rPr>
          <w:rFonts w:cstheme="minorHAnsi"/>
        </w:rPr>
        <w:t>D</w:t>
      </w:r>
      <w:r w:rsidRPr="00B967F5">
        <w:rPr>
          <w:rFonts w:cstheme="minorHAnsi"/>
        </w:rPr>
        <w:t>écret précisera les conditions dans lesquelles les employeurs, dont l’activité resterait particulièrement affectée par les conséquences économiques et financières propre à l’épidémie ou par les mesures d’interdiction d’accueil du public, pourront continuer de bénéficier de tout ou partie de cette exonération. Dans ce cadre, il pourrait notamment être envisagée une condition de baisse de chiffre d’affaires supérieure à 50 %.</w:t>
      </w:r>
    </w:p>
    <w:p w14:paraId="55C34FBA" w14:textId="77777777" w:rsidR="00F30722" w:rsidRPr="002E64E5" w:rsidRDefault="00F30722" w:rsidP="00EE0687">
      <w:pPr>
        <w:pStyle w:val="Paragraphedeliste"/>
        <w:numPr>
          <w:ilvl w:val="0"/>
          <w:numId w:val="1"/>
        </w:numPr>
        <w:spacing w:beforeAutospacing="1" w:after="100" w:afterAutospacing="1"/>
        <w:rPr>
          <w:rFonts w:cstheme="minorHAnsi"/>
          <w:b/>
          <w:bCs/>
          <w:i/>
          <w:iCs/>
          <w:u w:val="single"/>
        </w:rPr>
      </w:pPr>
      <w:r w:rsidRPr="002E64E5">
        <w:rPr>
          <w:rFonts w:cstheme="minorHAnsi"/>
          <w:b/>
          <w:bCs/>
          <w:i/>
          <w:iCs/>
          <w:u w:val="single"/>
        </w:rPr>
        <w:lastRenderedPageBreak/>
        <w:t xml:space="preserve">Cumul de cette exonération </w:t>
      </w:r>
    </w:p>
    <w:p w14:paraId="40D67ACC" w14:textId="4C4274FC" w:rsidR="00F30722" w:rsidRDefault="00F30722" w:rsidP="00F30722">
      <w:pPr>
        <w:spacing w:beforeAutospacing="1" w:after="100" w:afterAutospacing="1"/>
        <w:rPr>
          <w:rFonts w:cstheme="minorHAnsi"/>
        </w:rPr>
      </w:pPr>
      <w:r w:rsidRPr="00B967F5">
        <w:rPr>
          <w:rFonts w:cstheme="minorHAnsi"/>
        </w:rPr>
        <w:t xml:space="preserve">Cette exonération concerne </w:t>
      </w:r>
      <w:proofErr w:type="gramStart"/>
      <w:r w:rsidRPr="00B967F5">
        <w:rPr>
          <w:rFonts w:cstheme="minorHAnsi"/>
        </w:rPr>
        <w:t>les cotisations restant</w:t>
      </w:r>
      <w:proofErr w:type="gramEnd"/>
      <w:r w:rsidRPr="00B967F5">
        <w:rPr>
          <w:rFonts w:cstheme="minorHAnsi"/>
        </w:rPr>
        <w:t xml:space="preserve"> dues après application de toute exonération totale ou partielle de cotisations (comme par exemple la réduction générale), de taux spécifiques, d’assiettes ou de montants forfaitaires de cotisations. Elle est donc cumulable avec l’ensemble de ces dispositifs. </w:t>
      </w:r>
    </w:p>
    <w:p w14:paraId="3B602A24" w14:textId="77777777" w:rsidR="009E2838" w:rsidRDefault="009E2838" w:rsidP="009E2838">
      <w:pPr>
        <w:spacing w:beforeAutospacing="1" w:after="100" w:afterAutospacing="1"/>
        <w:rPr>
          <w:rFonts w:cstheme="minorHAnsi"/>
        </w:rPr>
      </w:pPr>
    </w:p>
    <w:p w14:paraId="68D84809" w14:textId="2DF4B0B2" w:rsidR="004A4DCE" w:rsidRPr="00F048D5" w:rsidRDefault="004A4DCE" w:rsidP="004A4DCE">
      <w:pPr>
        <w:pStyle w:val="Titre3"/>
      </w:pPr>
      <w:bookmarkStart w:id="140" w:name="_Toc60781056"/>
      <w:r w:rsidRPr="00F048D5">
        <w:t xml:space="preserve">Slide </w:t>
      </w:r>
      <w:r w:rsidR="00191242">
        <w:t>95</w:t>
      </w:r>
      <w:r w:rsidRPr="00F048D5">
        <w:t xml:space="preserve"> : </w:t>
      </w:r>
      <w:r w:rsidRPr="00AE74BA">
        <w:t xml:space="preserve">Aide au paiement </w:t>
      </w:r>
      <w:r w:rsidR="000E0A0D">
        <w:t>des cotisations</w:t>
      </w:r>
      <w:r w:rsidRPr="00AE74BA">
        <w:t xml:space="preserve"> pour les entreprises affectées par la seconde vague de l’épidémie</w:t>
      </w:r>
      <w:bookmarkEnd w:id="140"/>
      <w:r>
        <w:t xml:space="preserve"> </w:t>
      </w:r>
    </w:p>
    <w:p w14:paraId="4C5074BC" w14:textId="1A971255" w:rsidR="004A4DCE" w:rsidRDefault="004A4DCE" w:rsidP="004A4DCE">
      <w:r w:rsidRPr="002B4670">
        <w:rPr>
          <w:u w:val="single"/>
        </w:rPr>
        <w:t xml:space="preserve">Source </w:t>
      </w:r>
      <w:r w:rsidRPr="00327CBB">
        <w:t>: Loi de Financement de la sécurité sociale pour 2021, art</w:t>
      </w:r>
      <w:r w:rsidR="00F03514">
        <w:t>icle</w:t>
      </w:r>
      <w:r>
        <w:t xml:space="preserve"> 9, II</w:t>
      </w:r>
    </w:p>
    <w:p w14:paraId="459B269D" w14:textId="09F042D8" w:rsidR="004A4DCE" w:rsidRDefault="004A4DCE" w:rsidP="004A4DCE">
      <w:r>
        <w:t>Les employeurs ayant droit à l’exonération destinées aux entreprises durement touchées par la seconde vague de l’épidémie peuvent bénéficier d’une aide au paiement de leurs cotisations et contributions sociales</w:t>
      </w:r>
      <w:r w:rsidR="00843D79" w:rsidRPr="00843D79">
        <w:t xml:space="preserve"> </w:t>
      </w:r>
      <w:r w:rsidR="00975086">
        <w:t xml:space="preserve">restant </w:t>
      </w:r>
      <w:r w:rsidR="00843D79" w:rsidRPr="00843D79">
        <w:t>dues après l'application de</w:t>
      </w:r>
      <w:r w:rsidR="00843D79">
        <w:t xml:space="preserve"> cette exonération</w:t>
      </w:r>
      <w:r w:rsidR="00975086">
        <w:t xml:space="preserve">. Cette aide </w:t>
      </w:r>
      <w:r w:rsidR="00AD46F4">
        <w:t>est</w:t>
      </w:r>
      <w:r w:rsidR="00843D79" w:rsidRPr="00843D79">
        <w:t xml:space="preserve"> </w:t>
      </w:r>
      <w:r>
        <w:t xml:space="preserve">égale à 20 % du montant des rémunérations des salariés dues au titre des périodes d’emploi ouvrant droit </w:t>
      </w:r>
      <w:r w:rsidR="00AD46F4">
        <w:t xml:space="preserve">à </w:t>
      </w:r>
      <w:r>
        <w:t>l’exonération.</w:t>
      </w:r>
    </w:p>
    <w:p w14:paraId="6C253876" w14:textId="77777777" w:rsidR="004A4DCE" w:rsidRDefault="004A4DCE" w:rsidP="004A4DCE">
      <w:r>
        <w:t xml:space="preserve">Pour pouvoir en bénéficier, les employeurs éligibles ne doivent pas avoir fait l’objet de condamnations pour travail dissimulé au cours des 5 années précédentes. </w:t>
      </w:r>
    </w:p>
    <w:p w14:paraId="6AF4087E" w14:textId="77777777" w:rsidR="004A4DCE" w:rsidRDefault="004A4DCE" w:rsidP="004A4DCE">
      <w:r>
        <w:t xml:space="preserve">Cette aide est imputable sur l’ensemble des sommes dues aux organismes de recouvrement, au titre des années 2020 et 2021, après application de cette exonération et de toute autre exonération totale ou partielle applicable. Sont concernées les sommes dues aux URSSAF, CGSS et caisses de MSA ainsi qu’à Pôle emploi. </w:t>
      </w:r>
    </w:p>
    <w:p w14:paraId="2EF6ACE8" w14:textId="77777777" w:rsidR="004A4DCE" w:rsidRDefault="004A4DCE" w:rsidP="004A4DCE">
      <w:r>
        <w:t>Cette aide est applicable à Mayotte et à Saint-Pierre-et-Miquelon, sous réserve des adaptations liées aux modalités d’application du régime de sécurité sociale dans ces collectivités.</w:t>
      </w:r>
    </w:p>
    <w:p w14:paraId="3779D437" w14:textId="61410FB0" w:rsidR="00F30722" w:rsidRDefault="004A4DCE" w:rsidP="004A4DCE">
      <w:r>
        <w:t xml:space="preserve">L’aide n’est pas applicable aux rémunérations au titre des périodes d’emploi pour lesquelles s’applique l’aide au paiement des cotisations mise en place </w:t>
      </w:r>
      <w:r w:rsidR="00623322">
        <w:t>en juillet</w:t>
      </w:r>
      <w:r>
        <w:t xml:space="preserve"> 2020 pour les entreprises touchées par la première vague de l’épidémie.</w:t>
      </w:r>
    </w:p>
    <w:p w14:paraId="2A7C2E9E" w14:textId="4887FFD8" w:rsidR="000C188D" w:rsidRPr="004A4DCE" w:rsidRDefault="000C188D" w:rsidP="004A4DCE">
      <w:r>
        <w:t xml:space="preserve">Cependant, </w:t>
      </w:r>
      <w:r w:rsidR="00623322">
        <w:t xml:space="preserve">cette dernière, </w:t>
      </w:r>
      <w:r w:rsidR="00B32D9B">
        <w:t>mise en place pour faire face aux conséquences du 1</w:t>
      </w:r>
      <w:r w:rsidR="00B32D9B" w:rsidRPr="003418EF">
        <w:rPr>
          <w:vertAlign w:val="superscript"/>
        </w:rPr>
        <w:t>er</w:t>
      </w:r>
      <w:r w:rsidR="00B32D9B">
        <w:t xml:space="preserve"> confinement</w:t>
      </w:r>
      <w:r w:rsidR="00623322">
        <w:t>,</w:t>
      </w:r>
      <w:r w:rsidR="008C6344">
        <w:t xml:space="preserve"> </w:t>
      </w:r>
      <w:r w:rsidR="0047314E" w:rsidRPr="0047314E">
        <w:t xml:space="preserve">est </w:t>
      </w:r>
      <w:r w:rsidR="00F73EE0">
        <w:t xml:space="preserve">également </w:t>
      </w:r>
      <w:r w:rsidR="0047314E" w:rsidRPr="0047314E">
        <w:t xml:space="preserve">imputable sur l'ensemble des </w:t>
      </w:r>
      <w:r w:rsidR="00402726">
        <w:t>cotisations et contributions sociales dues au titre des années 2020 et 2021.</w:t>
      </w:r>
    </w:p>
    <w:p w14:paraId="3BD34259" w14:textId="77777777" w:rsidR="00F30722" w:rsidRDefault="00F30722" w:rsidP="00F30722">
      <w:pPr>
        <w:spacing w:beforeAutospacing="1" w:after="100" w:afterAutospacing="1"/>
        <w:rPr>
          <w:rFonts w:cstheme="minorHAnsi"/>
        </w:rPr>
      </w:pPr>
    </w:p>
    <w:p w14:paraId="5C6050B2" w14:textId="6BEE3BEE" w:rsidR="00BA5CE7" w:rsidRPr="00F048D5" w:rsidRDefault="00BA5CE7" w:rsidP="00BA5CE7">
      <w:pPr>
        <w:pStyle w:val="Titre3"/>
      </w:pPr>
      <w:bookmarkStart w:id="141" w:name="_Toc60781057"/>
      <w:r w:rsidRPr="00F048D5">
        <w:t xml:space="preserve">Slide </w:t>
      </w:r>
      <w:r w:rsidR="008D25B6">
        <w:t>96</w:t>
      </w:r>
      <w:r w:rsidRPr="00F048D5">
        <w:t xml:space="preserve"> : </w:t>
      </w:r>
      <w:r w:rsidRPr="00097E9C">
        <w:t xml:space="preserve">Réduction des cotisations à destination des travailleurs indépendants </w:t>
      </w:r>
      <w:r>
        <w:t>les plus impactés par la deuxieme vague</w:t>
      </w:r>
      <w:bookmarkEnd w:id="141"/>
    </w:p>
    <w:p w14:paraId="760498E6" w14:textId="435879F9" w:rsidR="00BA5CE7" w:rsidRPr="00F048D5" w:rsidRDefault="00BA5CE7" w:rsidP="00BA5CE7">
      <w:r w:rsidRPr="00F35270">
        <w:rPr>
          <w:u w:val="single"/>
        </w:rPr>
        <w:t xml:space="preserve">Source </w:t>
      </w:r>
      <w:r w:rsidRPr="00327CBB">
        <w:t>: Loi de Financement de la sécurité sociale pour 2021, art</w:t>
      </w:r>
      <w:r w:rsidR="00F03514">
        <w:t>icle</w:t>
      </w:r>
      <w:r>
        <w:t xml:space="preserve"> 9, III</w:t>
      </w:r>
    </w:p>
    <w:p w14:paraId="296AA066" w14:textId="77777777" w:rsidR="00BA5CE7" w:rsidRPr="002E64E5" w:rsidRDefault="00BA5CE7" w:rsidP="00EE0687">
      <w:pPr>
        <w:pStyle w:val="Paragraphedeliste"/>
        <w:numPr>
          <w:ilvl w:val="0"/>
          <w:numId w:val="1"/>
        </w:numPr>
        <w:rPr>
          <w:b/>
          <w:bCs/>
          <w:i/>
          <w:iCs/>
          <w:u w:val="single"/>
        </w:rPr>
      </w:pPr>
      <w:r w:rsidRPr="002E64E5">
        <w:rPr>
          <w:b/>
          <w:bCs/>
          <w:i/>
          <w:iCs/>
          <w:u w:val="single"/>
        </w:rPr>
        <w:t xml:space="preserve">Réduction à destination des travailleurs indépendants </w:t>
      </w:r>
    </w:p>
    <w:p w14:paraId="7A9831CF" w14:textId="5F01C56C" w:rsidR="00BA5CE7" w:rsidRDefault="00BA5CE7" w:rsidP="00BA5CE7">
      <w:r>
        <w:t>Les travailleurs indépendants</w:t>
      </w:r>
      <w:r w:rsidR="00302C80">
        <w:t xml:space="preserve"> et travailleurs non-salariés agricoles</w:t>
      </w:r>
      <w:r>
        <w:t xml:space="preserve">, s’ils remplissent les conditions nécessaires au bénéfice de l’exonération destinées aux entreprises durement touchées par la seconde vague de l’épidémie (activité principale, lieu d’exercice, fermeture ou baisse du chiffre d’affaire) et ne relèvent pas du régime micro-social, peuvent bénéficier d’une réduction des cotisations et contributions de sécurité sociale. </w:t>
      </w:r>
    </w:p>
    <w:p w14:paraId="6A0839C6" w14:textId="6EB881DD" w:rsidR="00FE2374" w:rsidRPr="00B967F5" w:rsidRDefault="00FE2374" w:rsidP="00FE2374">
      <w:pPr>
        <w:spacing w:beforeAutospacing="1" w:after="100" w:afterAutospacing="1"/>
        <w:rPr>
          <w:rFonts w:cstheme="minorHAnsi"/>
        </w:rPr>
      </w:pPr>
      <w:r>
        <w:rPr>
          <w:rFonts w:cstheme="minorHAnsi"/>
        </w:rPr>
        <w:t>Pour rappel, peuvent prétendre à l’exonération de cotisations patronales </w:t>
      </w:r>
      <w:r w:rsidRPr="00B967F5">
        <w:rPr>
          <w:rFonts w:cstheme="minorHAnsi"/>
        </w:rPr>
        <w:t>:</w:t>
      </w:r>
    </w:p>
    <w:p w14:paraId="589D5C30" w14:textId="77777777" w:rsidR="00FE2374" w:rsidRDefault="00FE2374" w:rsidP="00EE0687">
      <w:pPr>
        <w:pStyle w:val="Paragraphedeliste"/>
        <w:numPr>
          <w:ilvl w:val="0"/>
          <w:numId w:val="258"/>
        </w:numPr>
        <w:spacing w:beforeAutospacing="1" w:after="100" w:afterAutospacing="1"/>
        <w:rPr>
          <w:rFonts w:cstheme="minorHAnsi"/>
        </w:rPr>
      </w:pPr>
      <w:r w:rsidRPr="005A3C2B">
        <w:rPr>
          <w:rFonts w:cstheme="minorHAnsi"/>
        </w:rPr>
        <w:lastRenderedPageBreak/>
        <w:t xml:space="preserve">les employeurs de moins de 50 salariés relevant de secteurs d’activité qui ont subi des mesures d’interdiction </w:t>
      </w:r>
      <w:r>
        <w:rPr>
          <w:rFonts w:cstheme="minorHAnsi"/>
        </w:rPr>
        <w:t xml:space="preserve">d’accueil </w:t>
      </w:r>
      <w:r w:rsidRPr="005A3C2B">
        <w:rPr>
          <w:rFonts w:cstheme="minorHAnsi"/>
        </w:rPr>
        <w:t xml:space="preserve">du public ; </w:t>
      </w:r>
    </w:p>
    <w:p w14:paraId="27E66F90" w14:textId="4B25AF5E" w:rsidR="00FE2374" w:rsidRDefault="00FE2374" w:rsidP="00EE0687">
      <w:pPr>
        <w:pStyle w:val="Paragraphedeliste"/>
        <w:numPr>
          <w:ilvl w:val="0"/>
          <w:numId w:val="258"/>
        </w:numPr>
        <w:spacing w:beforeAutospacing="1" w:after="100" w:afterAutospacing="1"/>
        <w:rPr>
          <w:rFonts w:cstheme="minorHAnsi"/>
        </w:rPr>
      </w:pPr>
      <w:r w:rsidRPr="005A3C2B">
        <w:rPr>
          <w:rFonts w:cstheme="minorHAnsi"/>
        </w:rPr>
        <w:t xml:space="preserve">les employeurs de moins de 250 salariés exerçant leur activité dans les secteurs durement impactés par la crise sanitaire et qui exercent leur activité principale : </w:t>
      </w:r>
    </w:p>
    <w:p w14:paraId="4E529DC9" w14:textId="77777777" w:rsidR="00FE2374" w:rsidRDefault="00FE2374" w:rsidP="00EE0687">
      <w:pPr>
        <w:pStyle w:val="Paragraphedeliste"/>
        <w:numPr>
          <w:ilvl w:val="1"/>
          <w:numId w:val="258"/>
        </w:numPr>
        <w:spacing w:beforeAutospacing="1" w:after="100" w:afterAutospacing="1"/>
        <w:rPr>
          <w:rFonts w:cstheme="minorHAnsi"/>
        </w:rPr>
      </w:pPr>
      <w:r w:rsidRPr="005A3C2B">
        <w:rPr>
          <w:rFonts w:cstheme="minorHAnsi"/>
        </w:rPr>
        <w:t>soit dans les secteurs du tourisme, de l’hôtellerie, de la restauration, du sport, de la culture, du transport aérien ou de l’événementiel</w:t>
      </w:r>
      <w:r>
        <w:rPr>
          <w:rFonts w:cstheme="minorHAnsi"/>
        </w:rPr>
        <w:t>(secteur A)</w:t>
      </w:r>
      <w:r w:rsidRPr="005A3C2B">
        <w:rPr>
          <w:rFonts w:cstheme="minorHAnsi"/>
        </w:rPr>
        <w:t>;</w:t>
      </w:r>
    </w:p>
    <w:p w14:paraId="527C03E1" w14:textId="77777777" w:rsidR="00FE2374" w:rsidRPr="005A3C2B" w:rsidRDefault="00FE2374" w:rsidP="00EE0687">
      <w:pPr>
        <w:pStyle w:val="Paragraphedeliste"/>
        <w:numPr>
          <w:ilvl w:val="1"/>
          <w:numId w:val="258"/>
        </w:numPr>
        <w:spacing w:beforeAutospacing="1" w:after="100" w:afterAutospacing="1"/>
        <w:rPr>
          <w:rFonts w:cstheme="minorHAnsi"/>
        </w:rPr>
      </w:pPr>
      <w:r w:rsidRPr="005A3C2B">
        <w:rPr>
          <w:rFonts w:cstheme="minorHAnsi"/>
        </w:rPr>
        <w:t>soit dans des secteurs d’activités qui dépendent des secteurs mentionnés ci-dessus</w:t>
      </w:r>
      <w:r>
        <w:rPr>
          <w:rFonts w:cstheme="minorHAnsi"/>
        </w:rPr>
        <w:t xml:space="preserve"> (secteur B</w:t>
      </w:r>
      <w:r w:rsidRPr="005A3C2B">
        <w:rPr>
          <w:rFonts w:cstheme="minorHAnsi"/>
        </w:rPr>
        <w:t>).</w:t>
      </w:r>
    </w:p>
    <w:p w14:paraId="6F8130E8" w14:textId="25CCC99D" w:rsidR="00FE2374" w:rsidRDefault="00814CE4" w:rsidP="00FE2374">
      <w:pPr>
        <w:spacing w:beforeAutospacing="1" w:after="100" w:afterAutospacing="1"/>
        <w:rPr>
          <w:rFonts w:cstheme="minorHAnsi"/>
        </w:rPr>
      </w:pPr>
      <w:r>
        <w:rPr>
          <w:rFonts w:cstheme="minorHAnsi"/>
        </w:rPr>
        <w:t>P</w:t>
      </w:r>
      <w:r w:rsidRPr="00B967F5">
        <w:rPr>
          <w:rFonts w:cstheme="minorHAnsi"/>
        </w:rPr>
        <w:t>our bénéficier de cette exonération</w:t>
      </w:r>
      <w:r w:rsidR="00842405">
        <w:rPr>
          <w:rFonts w:cstheme="minorHAnsi"/>
        </w:rPr>
        <w:t>, les</w:t>
      </w:r>
      <w:r w:rsidR="00FE2374" w:rsidRPr="00B967F5">
        <w:rPr>
          <w:rFonts w:cstheme="minorHAnsi"/>
        </w:rPr>
        <w:t xml:space="preserve"> employeurs de moins de 250 salariés</w:t>
      </w:r>
      <w:r w:rsidR="00EF6594">
        <w:rPr>
          <w:rFonts w:cstheme="minorHAnsi"/>
        </w:rPr>
        <w:t xml:space="preserve"> </w:t>
      </w:r>
      <w:r w:rsidR="00FE2374" w:rsidRPr="00B967F5">
        <w:rPr>
          <w:rFonts w:cstheme="minorHAnsi"/>
        </w:rPr>
        <w:t xml:space="preserve">doivent, au cours du dernier mois suivant celui au titre duquel l’exonération est applicable, soit : </w:t>
      </w:r>
    </w:p>
    <w:p w14:paraId="4A3E3888" w14:textId="7B6884F2" w:rsidR="00FE2374" w:rsidRDefault="00FE2374" w:rsidP="00EE0687">
      <w:pPr>
        <w:pStyle w:val="Paragraphedeliste"/>
        <w:numPr>
          <w:ilvl w:val="0"/>
          <w:numId w:val="259"/>
        </w:numPr>
        <w:spacing w:beforeAutospacing="1" w:after="100" w:afterAutospacing="1"/>
        <w:rPr>
          <w:rFonts w:cstheme="minorHAnsi"/>
        </w:rPr>
      </w:pPr>
      <w:r w:rsidRPr="005A3C2B">
        <w:rPr>
          <w:rFonts w:cstheme="minorHAnsi"/>
        </w:rPr>
        <w:t>avoir fait l’objet de mesures d’interdiction d’accueil du public prises dans le cadre de l’état d’urgence sanitaire</w:t>
      </w:r>
      <w:r w:rsidR="00816FCB">
        <w:rPr>
          <w:rFonts w:cstheme="minorHAnsi"/>
        </w:rPr>
        <w:t xml:space="preserve"> </w:t>
      </w:r>
      <w:r w:rsidRPr="005A3C2B">
        <w:rPr>
          <w:rFonts w:cstheme="minorHAnsi"/>
        </w:rPr>
        <w:t>(fermetures administratives), à l’exception des activités de livraison, de retrait de commande ou de vente à emporter ;</w:t>
      </w:r>
    </w:p>
    <w:p w14:paraId="226078D5" w14:textId="3CA7E78E" w:rsidR="00FE2374" w:rsidRDefault="00FE2374" w:rsidP="00EE0687">
      <w:pPr>
        <w:pStyle w:val="Paragraphedeliste"/>
        <w:numPr>
          <w:ilvl w:val="0"/>
          <w:numId w:val="259"/>
        </w:numPr>
        <w:spacing w:beforeAutospacing="1" w:after="100" w:afterAutospacing="1"/>
      </w:pPr>
      <w:r w:rsidRPr="00FE2374">
        <w:rPr>
          <w:rFonts w:cstheme="minorHAnsi"/>
        </w:rPr>
        <w:t>avoir constaté une baisse de chiffre d’affaires d’au moins 50 % par rapport à la même période de l’année précédente (cette baisse de chiffre d’affaires est appréciée selon des modalités qui seront fixées par décret, notamment pour les activités présentant une forte saisonnalité).</w:t>
      </w:r>
    </w:p>
    <w:p w14:paraId="3BBBBA5A" w14:textId="345F29BB" w:rsidR="00BA5CE7" w:rsidRDefault="00BA5CE7" w:rsidP="00BA5CE7">
      <w:r>
        <w:t xml:space="preserve">Le montant de </w:t>
      </w:r>
      <w:r w:rsidR="00FE2374">
        <w:t xml:space="preserve">la </w:t>
      </w:r>
      <w:r>
        <w:t>réduction</w:t>
      </w:r>
      <w:r w:rsidR="00FE2374">
        <w:t xml:space="preserve"> applicable au travailleur indépendant ou au travailleur non salarié agricole</w:t>
      </w:r>
      <w:r>
        <w:t xml:space="preserve"> sera fixé par </w:t>
      </w:r>
      <w:r w:rsidR="00E72A47">
        <w:t>D</w:t>
      </w:r>
      <w:r>
        <w:t>écret</w:t>
      </w:r>
      <w:r w:rsidR="00E72A47">
        <w:t xml:space="preserve"> (non encore paru à ce jour). </w:t>
      </w:r>
    </w:p>
    <w:p w14:paraId="2BE8D4C1" w14:textId="77777777" w:rsidR="00BA5CE7" w:rsidRDefault="00BA5CE7" w:rsidP="00BA5CE7">
      <w:r>
        <w:t>Cette réduction pourra porter, dans des conditions prévues par décret, sur les cotisations dues au titre de l’année 2020 ou 2021.</w:t>
      </w:r>
    </w:p>
    <w:p w14:paraId="1E36C396" w14:textId="77777777" w:rsidR="00BA5CE7" w:rsidRDefault="00BA5CE7" w:rsidP="00BA5CE7">
      <w:r>
        <w:t xml:space="preserve">Elle s’appliquera dans la limite des montants dus aux organismes de recouvrement au titre de cet exercice. </w:t>
      </w:r>
    </w:p>
    <w:p w14:paraId="35FA124E" w14:textId="1784CF4C" w:rsidR="00BA5CE7" w:rsidRDefault="00BA5CE7" w:rsidP="00BA5CE7">
      <w:r>
        <w:t>Pour déduire</w:t>
      </w:r>
      <w:r w:rsidR="00E957C5">
        <w:t xml:space="preserve"> la réduction</w:t>
      </w:r>
      <w:r>
        <w:t xml:space="preserve"> de leurs cotisations provisionnelles exigibles, les travailleurs indépendants peuvent appliquer au revenu estimé qu’ils déclarent un abattement dont le montant est fixé par décret. Les majorations de retard ne seront pas applicables au titre des revenus de l’année 2021.</w:t>
      </w:r>
    </w:p>
    <w:p w14:paraId="559D18BF" w14:textId="41D0BB1B" w:rsidR="00BA5CE7" w:rsidRDefault="00BA5CE7" w:rsidP="00BA5CE7">
      <w:r>
        <w:t xml:space="preserve">Sont concernées les sommes dues aux URSSAF, </w:t>
      </w:r>
      <w:r w:rsidR="00001BF5">
        <w:t>aux</w:t>
      </w:r>
      <w:r>
        <w:t xml:space="preserve"> caisses </w:t>
      </w:r>
      <w:r w:rsidR="00001BF5">
        <w:t xml:space="preserve">générales </w:t>
      </w:r>
      <w:r>
        <w:t xml:space="preserve">de </w:t>
      </w:r>
      <w:r w:rsidR="00001BF5">
        <w:t>sécurité sociale</w:t>
      </w:r>
      <w:r w:rsidR="001E6F4B">
        <w:t xml:space="preserve">, aux </w:t>
      </w:r>
      <w:r>
        <w:t xml:space="preserve">caisses de </w:t>
      </w:r>
      <w:r w:rsidR="001E6F4B">
        <w:t>la mutuelle sociale agricole</w:t>
      </w:r>
      <w:r>
        <w:t>.</w:t>
      </w:r>
    </w:p>
    <w:p w14:paraId="06CB2C22" w14:textId="77777777" w:rsidR="00BA5CE7" w:rsidRPr="002E64E5" w:rsidRDefault="00BA5CE7" w:rsidP="00EE0687">
      <w:pPr>
        <w:pStyle w:val="Paragraphedeliste"/>
        <w:numPr>
          <w:ilvl w:val="0"/>
          <w:numId w:val="1"/>
        </w:numPr>
        <w:rPr>
          <w:b/>
          <w:bCs/>
          <w:i/>
          <w:iCs/>
          <w:u w:val="single"/>
        </w:rPr>
      </w:pPr>
      <w:r w:rsidRPr="002E64E5">
        <w:rPr>
          <w:b/>
          <w:bCs/>
          <w:i/>
          <w:iCs/>
          <w:u w:val="single"/>
        </w:rPr>
        <w:t>Réduction de cotisations à destination des mandataires sociaux assimilés à des salariés</w:t>
      </w:r>
    </w:p>
    <w:p w14:paraId="3B68D889" w14:textId="32E6BA71" w:rsidR="00BA5CE7" w:rsidRDefault="00BA5CE7" w:rsidP="00BA5CE7">
      <w:r>
        <w:t>Les mandataires sociaux, assimilés à des salariés, relevant du régime général</w:t>
      </w:r>
      <w:r w:rsidR="000B42D9">
        <w:t xml:space="preserve"> ou du régime agricole</w:t>
      </w:r>
      <w:r>
        <w:t xml:space="preserve"> de sécurité sociale, lorsque l’entreprise dont ils sont mandataires satisfait les conditions nécessaires au bénéfice de l’exonération destinées aux entreprises durement touchées par la seconde vague de l’épidémie (activité principale, lieu d’exercice, fermeture ou baisse du chiffre d’affaire), peuvent bénéficier d’une réduction des cotisations et contributions dues au titre de l’année 2020 ou de l’année 2021, dont le montant et les modalités d’imputation sur les sommes dues seront fixées par </w:t>
      </w:r>
      <w:r w:rsidR="00620620">
        <w:t>D</w:t>
      </w:r>
      <w:r>
        <w:t>écret.</w:t>
      </w:r>
    </w:p>
    <w:p w14:paraId="4047E4D9" w14:textId="77777777" w:rsidR="00BA5CE7" w:rsidRDefault="00BA5CE7" w:rsidP="00BA5CE7">
      <w:r>
        <w:t xml:space="preserve">Pour pouvoir en bénéficier, ces derniers ne doivent pas avoir fait l’objet de condamnations pour travail dissimulé au cours des 5 années précédentes. </w:t>
      </w:r>
    </w:p>
    <w:p w14:paraId="212333F2" w14:textId="77777777" w:rsidR="00BA5CE7" w:rsidRPr="00F048D5" w:rsidRDefault="00BA5CE7" w:rsidP="00BA5CE7">
      <w:r>
        <w:t>Ces dispositions sont applicables à Mayotte et à Saint-Pierre-et-Miquelon, sous réserve des adaptations liées aux modalités d’application du régime de sécurité sociale dans ces collectivités.</w:t>
      </w:r>
    </w:p>
    <w:p w14:paraId="064269E2" w14:textId="3CE4C63D" w:rsidR="00506F26" w:rsidRDefault="00506F26" w:rsidP="0080689C">
      <w:pPr>
        <w:rPr>
          <w:rFonts w:cstheme="minorHAnsi"/>
        </w:rPr>
      </w:pPr>
    </w:p>
    <w:p w14:paraId="33CF0A97" w14:textId="3E980306" w:rsidR="00526588" w:rsidRPr="00F048D5" w:rsidRDefault="00526588" w:rsidP="00526588">
      <w:pPr>
        <w:pStyle w:val="Titre3"/>
        <w:pBdr>
          <w:top w:val="single" w:sz="24" w:space="0" w:color="4A66AC" w:themeColor="accent1"/>
        </w:pBdr>
      </w:pPr>
      <w:bookmarkStart w:id="142" w:name="_Toc60781058"/>
      <w:r w:rsidRPr="00F048D5">
        <w:lastRenderedPageBreak/>
        <w:t xml:space="preserve">Slide </w:t>
      </w:r>
      <w:r w:rsidR="0053609E">
        <w:t>97</w:t>
      </w:r>
      <w:r w:rsidRPr="00F048D5">
        <w:t xml:space="preserve"> : </w:t>
      </w:r>
      <w:r w:rsidRPr="005E0087">
        <w:t>Aide à destination des micro-entrepreneurs</w:t>
      </w:r>
      <w:bookmarkEnd w:id="142"/>
      <w:r w:rsidRPr="005E0087">
        <w:t xml:space="preserve"> </w:t>
      </w:r>
    </w:p>
    <w:p w14:paraId="28D615CE" w14:textId="7C00DA41" w:rsidR="00526588" w:rsidRPr="005E0087" w:rsidRDefault="00526588" w:rsidP="00526588">
      <w:r w:rsidRPr="00B7788A">
        <w:rPr>
          <w:u w:val="single"/>
        </w:rPr>
        <w:t>Source</w:t>
      </w:r>
      <w:r w:rsidRPr="00327CBB">
        <w:t xml:space="preserve"> : Loi de Financement de la sécurité sociale pour 2021, art</w:t>
      </w:r>
      <w:r w:rsidR="00F03514">
        <w:t>icle</w:t>
      </w:r>
      <w:r>
        <w:t xml:space="preserve">9, IV </w:t>
      </w:r>
    </w:p>
    <w:p w14:paraId="380F363C" w14:textId="67DBF2DC" w:rsidR="00526588" w:rsidRPr="005E0087" w:rsidRDefault="00526588" w:rsidP="00526588">
      <w:pPr>
        <w:spacing w:beforeAutospacing="1" w:after="100" w:afterAutospacing="1"/>
        <w:rPr>
          <w:rFonts w:cstheme="minorHAnsi"/>
        </w:rPr>
      </w:pPr>
      <w:r w:rsidRPr="005E0087">
        <w:rPr>
          <w:rFonts w:cstheme="minorHAnsi"/>
        </w:rPr>
        <w:t>Certains micro-entrepreneurs peuvent déduire des montants de chiffre d’affaires ou de recettes déclarés au titre des échéances mensuelles ou trimestrielles</w:t>
      </w:r>
      <w:r w:rsidR="000260AE">
        <w:rPr>
          <w:rFonts w:cstheme="minorHAnsi"/>
        </w:rPr>
        <w:t xml:space="preserve"> de cotisations sociales</w:t>
      </w:r>
      <w:r w:rsidRPr="005E0087">
        <w:rPr>
          <w:rFonts w:cstheme="minorHAnsi"/>
        </w:rPr>
        <w:t xml:space="preserve"> de l’année 2021 les montants correspondant au chiffre d’affaires ou aux recettes réalisés </w:t>
      </w:r>
      <w:r w:rsidR="001A4942">
        <w:rPr>
          <w:rFonts w:cstheme="minorHAnsi"/>
        </w:rPr>
        <w:t>au titre d’une</w:t>
      </w:r>
      <w:r w:rsidR="000F498D">
        <w:rPr>
          <w:rFonts w:cstheme="minorHAnsi"/>
        </w:rPr>
        <w:t xml:space="preserve"> période pouvant </w:t>
      </w:r>
      <w:r w:rsidR="001A4942">
        <w:rPr>
          <w:rFonts w:cstheme="minorHAnsi"/>
        </w:rPr>
        <w:t>s’étendre</w:t>
      </w:r>
      <w:r w:rsidR="000F498D">
        <w:rPr>
          <w:rFonts w:cstheme="minorHAnsi"/>
        </w:rPr>
        <w:t xml:space="preserve"> </w:t>
      </w:r>
      <w:r w:rsidRPr="005E0087">
        <w:rPr>
          <w:rFonts w:cstheme="minorHAnsi"/>
        </w:rPr>
        <w:t xml:space="preserve">du 1er septembre 2020 au 30 novembre 2020. </w:t>
      </w:r>
    </w:p>
    <w:p w14:paraId="30368349" w14:textId="5884BD5E" w:rsidR="000F498D" w:rsidRPr="007568B5" w:rsidRDefault="000F498D" w:rsidP="00C17475">
      <w:pPr>
        <w:spacing w:beforeAutospacing="1" w:after="100" w:afterAutospacing="1"/>
        <w:rPr>
          <w:rFonts w:cstheme="minorHAnsi"/>
        </w:rPr>
      </w:pPr>
      <w:bookmarkStart w:id="143" w:name="_Hlk59542564"/>
      <w:r w:rsidRPr="000F498D">
        <w:rPr>
          <w:rFonts w:cstheme="minorHAnsi"/>
        </w:rPr>
        <w:t>Sont visés les micro-entrepreneurs qui ont subi des mesures d’interdiction d’accueil du public et ceux qui ex</w:t>
      </w:r>
      <w:r w:rsidRPr="005A603E">
        <w:rPr>
          <w:rFonts w:cstheme="minorHAnsi"/>
        </w:rPr>
        <w:t xml:space="preserve">ercent leur </w:t>
      </w:r>
      <w:r w:rsidRPr="001A4942">
        <w:rPr>
          <w:rFonts w:cstheme="minorHAnsi"/>
        </w:rPr>
        <w:t xml:space="preserve">activité </w:t>
      </w:r>
      <w:r w:rsidR="00566E7B">
        <w:rPr>
          <w:rFonts w:cstheme="minorHAnsi"/>
        </w:rPr>
        <w:t xml:space="preserve">principale </w:t>
      </w:r>
      <w:r w:rsidRPr="001A4942">
        <w:rPr>
          <w:rFonts w:cstheme="minorHAnsi"/>
        </w:rPr>
        <w:t xml:space="preserve">dans les secteurs </w:t>
      </w:r>
      <w:r w:rsidR="00566E7B">
        <w:rPr>
          <w:rFonts w:cstheme="minorHAnsi"/>
        </w:rPr>
        <w:t xml:space="preserve">les plus </w:t>
      </w:r>
      <w:r w:rsidRPr="001A4942">
        <w:rPr>
          <w:rFonts w:cstheme="minorHAnsi"/>
        </w:rPr>
        <w:t>durement impactés par la crise sanitaire</w:t>
      </w:r>
      <w:r w:rsidR="00566E7B">
        <w:rPr>
          <w:rFonts w:cstheme="minorHAnsi"/>
        </w:rPr>
        <w:t>, à savoir</w:t>
      </w:r>
      <w:r w:rsidR="001A4942">
        <w:rPr>
          <w:rFonts w:cstheme="minorHAnsi"/>
        </w:rPr>
        <w:t> </w:t>
      </w:r>
      <w:r w:rsidRPr="001A4942">
        <w:rPr>
          <w:rFonts w:cstheme="minorHAnsi"/>
        </w:rPr>
        <w:t xml:space="preserve">: </w:t>
      </w:r>
    </w:p>
    <w:p w14:paraId="3657627C" w14:textId="77777777" w:rsidR="000F498D" w:rsidRDefault="000F498D" w:rsidP="00EE0687">
      <w:pPr>
        <w:pStyle w:val="Paragraphedeliste"/>
        <w:numPr>
          <w:ilvl w:val="0"/>
          <w:numId w:val="304"/>
        </w:numPr>
        <w:spacing w:beforeAutospacing="1" w:after="100" w:afterAutospacing="1"/>
        <w:rPr>
          <w:rFonts w:cstheme="minorHAnsi"/>
        </w:rPr>
      </w:pPr>
      <w:r w:rsidRPr="005A3C2B">
        <w:rPr>
          <w:rFonts w:cstheme="minorHAnsi"/>
        </w:rPr>
        <w:t>soit dans les secteurs du tourisme, de l’hôtellerie, de la restauration, du sport, de la culture, du transport aérien ou de l’événementiel</w:t>
      </w:r>
      <w:r>
        <w:rPr>
          <w:rFonts w:cstheme="minorHAnsi"/>
        </w:rPr>
        <w:t xml:space="preserve"> (secteur A)</w:t>
      </w:r>
      <w:r w:rsidRPr="005A3C2B">
        <w:rPr>
          <w:rFonts w:cstheme="minorHAnsi"/>
        </w:rPr>
        <w:t>;</w:t>
      </w:r>
    </w:p>
    <w:p w14:paraId="5169F627" w14:textId="77777777" w:rsidR="000F498D" w:rsidRPr="005A3C2B" w:rsidRDefault="000F498D" w:rsidP="00EE0687">
      <w:pPr>
        <w:pStyle w:val="Paragraphedeliste"/>
        <w:numPr>
          <w:ilvl w:val="0"/>
          <w:numId w:val="304"/>
        </w:numPr>
        <w:spacing w:beforeAutospacing="1" w:after="100" w:afterAutospacing="1"/>
        <w:rPr>
          <w:rFonts w:cstheme="minorHAnsi"/>
        </w:rPr>
      </w:pPr>
      <w:r w:rsidRPr="005A3C2B">
        <w:rPr>
          <w:rFonts w:cstheme="minorHAnsi"/>
        </w:rPr>
        <w:t>soit dans des secteurs d’activités qui dépendent des secteurs mentionnés ci-dessus</w:t>
      </w:r>
      <w:r>
        <w:rPr>
          <w:rFonts w:cstheme="minorHAnsi"/>
        </w:rPr>
        <w:t xml:space="preserve"> (secteur B</w:t>
      </w:r>
      <w:r w:rsidRPr="005A3C2B">
        <w:rPr>
          <w:rFonts w:cstheme="minorHAnsi"/>
        </w:rPr>
        <w:t>).</w:t>
      </w:r>
    </w:p>
    <w:p w14:paraId="7317EC60" w14:textId="77777777" w:rsidR="00603794" w:rsidRDefault="00AC0D92" w:rsidP="00424748">
      <w:pPr>
        <w:spacing w:beforeAutospacing="1" w:after="100" w:afterAutospacing="1"/>
        <w:rPr>
          <w:rFonts w:cstheme="minorHAnsi"/>
        </w:rPr>
      </w:pPr>
      <w:r>
        <w:rPr>
          <w:rFonts w:cstheme="minorHAnsi"/>
        </w:rPr>
        <w:t xml:space="preserve">Pour ces </w:t>
      </w:r>
      <w:r w:rsidR="00E6449D">
        <w:rPr>
          <w:rFonts w:cstheme="minorHAnsi"/>
        </w:rPr>
        <w:t xml:space="preserve">derniers, qui exercent leur activité dans le secteur A ou B, </w:t>
      </w:r>
      <w:r w:rsidR="007400DC">
        <w:rPr>
          <w:rFonts w:cstheme="minorHAnsi"/>
        </w:rPr>
        <w:t xml:space="preserve">le bénéfice du dispositif </w:t>
      </w:r>
      <w:r w:rsidR="00EC3556">
        <w:rPr>
          <w:rFonts w:cstheme="minorHAnsi"/>
        </w:rPr>
        <w:t xml:space="preserve">est réservé </w:t>
      </w:r>
      <w:r w:rsidR="00424748">
        <w:rPr>
          <w:rFonts w:cstheme="minorHAnsi"/>
        </w:rPr>
        <w:t xml:space="preserve">aux professionnels </w:t>
      </w:r>
      <w:r w:rsidR="00FC1DD4">
        <w:rPr>
          <w:rFonts w:cstheme="minorHAnsi"/>
        </w:rPr>
        <w:t>qui</w:t>
      </w:r>
      <w:r w:rsidR="00603794">
        <w:rPr>
          <w:rFonts w:cstheme="minorHAnsi"/>
        </w:rPr>
        <w:t> :</w:t>
      </w:r>
    </w:p>
    <w:p w14:paraId="464121CB" w14:textId="5BBF428B" w:rsidR="00424748" w:rsidRPr="00424748" w:rsidRDefault="00FC1DD4" w:rsidP="00EE0687">
      <w:pPr>
        <w:pStyle w:val="Paragraphedeliste"/>
        <w:numPr>
          <w:ilvl w:val="0"/>
          <w:numId w:val="303"/>
        </w:numPr>
        <w:spacing w:beforeAutospacing="1" w:after="100" w:afterAutospacing="1"/>
        <w:rPr>
          <w:rFonts w:cstheme="minorHAnsi"/>
        </w:rPr>
      </w:pPr>
      <w:r>
        <w:rPr>
          <w:rFonts w:cstheme="minorHAnsi"/>
        </w:rPr>
        <w:t>ont</w:t>
      </w:r>
      <w:r w:rsidR="00424748" w:rsidRPr="00424748">
        <w:rPr>
          <w:rFonts w:cstheme="minorHAnsi"/>
        </w:rPr>
        <w:t xml:space="preserve"> fait l’objet de mesures d’interdiction d’accueil du public prises dans le cadre de l’état d’urgence sanitaire (fermetures administratives), à l’exception des activités de livraison, de retrait de commande ou de vente à emporter ;</w:t>
      </w:r>
    </w:p>
    <w:p w14:paraId="461A09FE" w14:textId="3E571710" w:rsidR="00AC0D92" w:rsidRPr="00901F36" w:rsidRDefault="00603794" w:rsidP="00EE0687">
      <w:pPr>
        <w:pStyle w:val="Paragraphedeliste"/>
        <w:numPr>
          <w:ilvl w:val="0"/>
          <w:numId w:val="303"/>
        </w:numPr>
        <w:spacing w:beforeAutospacing="1" w:after="100" w:afterAutospacing="1"/>
        <w:rPr>
          <w:rFonts w:cstheme="minorHAnsi"/>
        </w:rPr>
      </w:pPr>
      <w:r w:rsidRPr="00603794">
        <w:rPr>
          <w:rFonts w:cstheme="minorHAnsi"/>
        </w:rPr>
        <w:t>ou ont</w:t>
      </w:r>
      <w:r w:rsidR="00424748" w:rsidRPr="00424748">
        <w:rPr>
          <w:rFonts w:cstheme="minorHAnsi"/>
        </w:rPr>
        <w:t xml:space="preserve"> constaté une baisse de chiffre d’affaires d’au moins 50 % par rapport à la même période de l’année précédente (cette baisse de chiffre d’affaires est appréciée selon des modalités qui seront fixées par </w:t>
      </w:r>
      <w:r w:rsidRPr="00603794">
        <w:rPr>
          <w:rFonts w:cstheme="minorHAnsi"/>
        </w:rPr>
        <w:t>d</w:t>
      </w:r>
      <w:r w:rsidR="00424748" w:rsidRPr="00603794">
        <w:rPr>
          <w:rFonts w:cstheme="minorHAnsi"/>
        </w:rPr>
        <w:t>écret</w:t>
      </w:r>
      <w:r w:rsidR="00424748" w:rsidRPr="00424748">
        <w:rPr>
          <w:rFonts w:cstheme="minorHAnsi"/>
        </w:rPr>
        <w:t>, notamment pour les activités présentant une forte saiso</w:t>
      </w:r>
      <w:r w:rsidR="00424748" w:rsidRPr="00CE6E53">
        <w:rPr>
          <w:rFonts w:cstheme="minorHAnsi"/>
        </w:rPr>
        <w:t>nnalité).</w:t>
      </w:r>
    </w:p>
    <w:p w14:paraId="5C7680AD" w14:textId="6D3284B5" w:rsidR="000F498D" w:rsidRPr="000F498D" w:rsidRDefault="001A4942" w:rsidP="000F498D">
      <w:pPr>
        <w:spacing w:beforeAutospacing="1" w:after="100" w:afterAutospacing="1"/>
        <w:rPr>
          <w:rFonts w:cstheme="minorHAnsi"/>
        </w:rPr>
      </w:pPr>
      <w:r>
        <w:rPr>
          <w:rFonts w:cstheme="minorHAnsi"/>
        </w:rPr>
        <w:t xml:space="preserve">Pour ceux qui </w:t>
      </w:r>
      <w:r w:rsidR="00FF7DA7">
        <w:rPr>
          <w:rFonts w:cstheme="minorHAnsi"/>
        </w:rPr>
        <w:t xml:space="preserve">exercent leur activité dans l’un des secteurs les plus impactés par la crise sanitaire (secteur A ou secteur B), </w:t>
      </w:r>
      <w:r w:rsidR="00883111">
        <w:rPr>
          <w:rFonts w:cstheme="minorHAnsi"/>
        </w:rPr>
        <w:t>et qui ont souffert du couvre-feu</w:t>
      </w:r>
      <w:r w:rsidR="00FF7DA7">
        <w:rPr>
          <w:rFonts w:cstheme="minorHAnsi"/>
        </w:rPr>
        <w:t xml:space="preserve"> </w:t>
      </w:r>
      <w:r w:rsidR="00484F1E">
        <w:rPr>
          <w:rFonts w:cstheme="minorHAnsi"/>
        </w:rPr>
        <w:t>prononcé en octobre 2020,</w:t>
      </w:r>
      <w:r w:rsidR="00FF7DA7">
        <w:rPr>
          <w:rFonts w:cstheme="minorHAnsi"/>
        </w:rPr>
        <w:t xml:space="preserve"> les montants de chiffre d’affaires ou de recettes pouvant être déduits sont ceux qui se rapportent aux période</w:t>
      </w:r>
      <w:r w:rsidR="00AE6EC3">
        <w:rPr>
          <w:rFonts w:cstheme="minorHAnsi"/>
        </w:rPr>
        <w:t>s</w:t>
      </w:r>
      <w:r w:rsidR="00FF7DA7">
        <w:rPr>
          <w:rFonts w:cstheme="minorHAnsi"/>
        </w:rPr>
        <w:t xml:space="preserve"> du 1</w:t>
      </w:r>
      <w:r w:rsidR="00FF7DA7" w:rsidRPr="00C17475">
        <w:rPr>
          <w:rFonts w:cstheme="minorHAnsi"/>
          <w:vertAlign w:val="superscript"/>
        </w:rPr>
        <w:t>er</w:t>
      </w:r>
      <w:r w:rsidR="00FF7DA7">
        <w:rPr>
          <w:rFonts w:cstheme="minorHAnsi"/>
        </w:rPr>
        <w:t xml:space="preserve"> septembre 30 novembre</w:t>
      </w:r>
      <w:r w:rsidR="00484F1E">
        <w:rPr>
          <w:rFonts w:cstheme="minorHAnsi"/>
        </w:rPr>
        <w:t xml:space="preserve"> 2020.</w:t>
      </w:r>
    </w:p>
    <w:p w14:paraId="4D82944D" w14:textId="14ED7D6F" w:rsidR="000F498D" w:rsidRDefault="00484F1E">
      <w:pPr>
        <w:spacing w:beforeAutospacing="1" w:after="100" w:afterAutospacing="1"/>
        <w:rPr>
          <w:rFonts w:cstheme="minorHAnsi"/>
        </w:rPr>
      </w:pPr>
      <w:r>
        <w:rPr>
          <w:rFonts w:cstheme="minorHAnsi"/>
        </w:rPr>
        <w:t>Pour</w:t>
      </w:r>
      <w:r w:rsidR="006305D3">
        <w:rPr>
          <w:rFonts w:cstheme="minorHAnsi"/>
        </w:rPr>
        <w:t xml:space="preserve"> les </w:t>
      </w:r>
      <w:r w:rsidR="00AE6EC3">
        <w:rPr>
          <w:rFonts w:cstheme="minorHAnsi"/>
        </w:rPr>
        <w:t>autres micro-éligibles à ce dispositif, l</w:t>
      </w:r>
      <w:r w:rsidR="00490506">
        <w:rPr>
          <w:rFonts w:cstheme="minorHAnsi"/>
        </w:rPr>
        <w:t xml:space="preserve">a déduction concerne </w:t>
      </w:r>
      <w:r w:rsidR="00AE6EC3">
        <w:rPr>
          <w:rFonts w:cstheme="minorHAnsi"/>
        </w:rPr>
        <w:t>les montants de chiffre d’affaires ou de recettes se rapport</w:t>
      </w:r>
      <w:r w:rsidR="00490506">
        <w:rPr>
          <w:rFonts w:cstheme="minorHAnsi"/>
        </w:rPr>
        <w:t>a</w:t>
      </w:r>
      <w:r w:rsidR="00AE6EC3">
        <w:rPr>
          <w:rFonts w:cstheme="minorHAnsi"/>
        </w:rPr>
        <w:t>nt aux période</w:t>
      </w:r>
      <w:r w:rsidR="00490506">
        <w:rPr>
          <w:rFonts w:cstheme="minorHAnsi"/>
        </w:rPr>
        <w:t>s</w:t>
      </w:r>
      <w:r w:rsidR="00AE6EC3">
        <w:rPr>
          <w:rFonts w:cstheme="minorHAnsi"/>
        </w:rPr>
        <w:t xml:space="preserve"> du 1</w:t>
      </w:r>
      <w:r w:rsidR="00AE6EC3" w:rsidRPr="00582B5B">
        <w:rPr>
          <w:rFonts w:cstheme="minorHAnsi"/>
          <w:vertAlign w:val="superscript"/>
        </w:rPr>
        <w:t>er</w:t>
      </w:r>
      <w:r w:rsidR="00AE6EC3">
        <w:rPr>
          <w:rFonts w:cstheme="minorHAnsi"/>
        </w:rPr>
        <w:t xml:space="preserve"> </w:t>
      </w:r>
      <w:r w:rsidR="00490506">
        <w:rPr>
          <w:rFonts w:cstheme="minorHAnsi"/>
        </w:rPr>
        <w:t>octobre au</w:t>
      </w:r>
      <w:r w:rsidR="00AE6EC3">
        <w:rPr>
          <w:rFonts w:cstheme="minorHAnsi"/>
        </w:rPr>
        <w:t xml:space="preserve"> 30 novembre 2020.</w:t>
      </w:r>
    </w:p>
    <w:bookmarkEnd w:id="143"/>
    <w:p w14:paraId="437076A8" w14:textId="77777777" w:rsidR="006A6106" w:rsidRDefault="006A6106" w:rsidP="006A6106">
      <w:pPr>
        <w:spacing w:beforeAutospacing="1" w:after="100" w:afterAutospacing="1"/>
        <w:rPr>
          <w:rFonts w:cstheme="minorHAnsi"/>
        </w:rPr>
      </w:pPr>
      <w:r>
        <w:rPr>
          <w:rFonts w:cstheme="minorHAnsi"/>
        </w:rPr>
        <w:t xml:space="preserve">Notez que ce dispositif s’applique également en outre-mer, y compris dans les territoires qui n’ont pas été concernés par le couvre-feu et le </w:t>
      </w:r>
      <w:proofErr w:type="spellStart"/>
      <w:r>
        <w:rPr>
          <w:rFonts w:cstheme="minorHAnsi"/>
        </w:rPr>
        <w:t>reconfinement</w:t>
      </w:r>
      <w:proofErr w:type="spellEnd"/>
      <w:r>
        <w:rPr>
          <w:rFonts w:cstheme="minorHAnsi"/>
        </w:rPr>
        <w:t>.</w:t>
      </w:r>
    </w:p>
    <w:p w14:paraId="16E33267" w14:textId="77777777" w:rsidR="00526588" w:rsidRDefault="00526588" w:rsidP="00526588">
      <w:pPr>
        <w:spacing w:beforeAutospacing="1" w:after="100" w:afterAutospacing="1"/>
        <w:rPr>
          <w:rFonts w:cstheme="minorHAnsi"/>
        </w:rPr>
      </w:pPr>
      <w:r>
        <w:rPr>
          <w:rFonts w:cstheme="minorHAnsi"/>
        </w:rPr>
        <w:t xml:space="preserve">Ces dispositions sont applicables </w:t>
      </w:r>
      <w:r w:rsidRPr="005E0087">
        <w:rPr>
          <w:rFonts w:cstheme="minorHAnsi"/>
        </w:rPr>
        <w:t>à Mayotte et à Saint-Pierre-et-Miquelon, sous réserve des adaptations liées aux modalités d’application du régime de sécurité sociale dans ces collectivités.</w:t>
      </w:r>
    </w:p>
    <w:p w14:paraId="2F95E269" w14:textId="525D84F9" w:rsidR="00506F26" w:rsidRDefault="00506F26" w:rsidP="0080689C">
      <w:pPr>
        <w:rPr>
          <w:rFonts w:cstheme="minorHAnsi"/>
        </w:rPr>
      </w:pPr>
    </w:p>
    <w:p w14:paraId="39622A38" w14:textId="62F76302" w:rsidR="00404F02" w:rsidRPr="00F048D5" w:rsidRDefault="00404F02" w:rsidP="00404F02">
      <w:pPr>
        <w:pStyle w:val="Titre3"/>
        <w:pBdr>
          <w:top w:val="single" w:sz="24" w:space="0" w:color="4A66AC" w:themeColor="accent1"/>
        </w:pBdr>
      </w:pPr>
      <w:bookmarkStart w:id="144" w:name="_Toc60781059"/>
      <w:r w:rsidRPr="00F048D5">
        <w:t xml:space="preserve">Slide </w:t>
      </w:r>
      <w:r w:rsidR="00C6782E">
        <w:t>98</w:t>
      </w:r>
      <w:r w:rsidRPr="00F048D5">
        <w:t xml:space="preserve"> : </w:t>
      </w:r>
      <w:r w:rsidRPr="00FC0BBD">
        <w:t>Réduction des cotisations sociales à destination des artistes-auteurs</w:t>
      </w:r>
      <w:bookmarkEnd w:id="144"/>
    </w:p>
    <w:p w14:paraId="05FA6690" w14:textId="3DBE6DA2" w:rsidR="00404F02" w:rsidRPr="005E0087" w:rsidRDefault="00404F02" w:rsidP="00404F02">
      <w:r w:rsidRPr="00B7788A">
        <w:rPr>
          <w:u w:val="single"/>
        </w:rPr>
        <w:t>Source</w:t>
      </w:r>
      <w:r w:rsidRPr="00327CBB">
        <w:t xml:space="preserve"> : Loi de Financement de la sécurité sociale pour 2021, art</w:t>
      </w:r>
      <w:r w:rsidR="00F03514">
        <w:t>icle</w:t>
      </w:r>
      <w:r w:rsidR="00C17475">
        <w:t xml:space="preserve"> </w:t>
      </w:r>
      <w:r>
        <w:t xml:space="preserve">9, V </w:t>
      </w:r>
    </w:p>
    <w:p w14:paraId="723D48F9" w14:textId="24C1D800" w:rsidR="00404F02" w:rsidRPr="00FC0BBD" w:rsidRDefault="00404F02" w:rsidP="00404F02">
      <w:pPr>
        <w:spacing w:beforeAutospacing="1" w:after="100" w:afterAutospacing="1"/>
        <w:rPr>
          <w:rFonts w:cstheme="minorHAnsi"/>
        </w:rPr>
      </w:pPr>
      <w:r>
        <w:rPr>
          <w:rFonts w:cstheme="minorHAnsi"/>
        </w:rPr>
        <w:t>Dans le cadre de la crise sanitaire, l</w:t>
      </w:r>
      <w:r w:rsidRPr="00FC0BBD">
        <w:rPr>
          <w:rFonts w:cstheme="minorHAnsi"/>
        </w:rPr>
        <w:t xml:space="preserve">es artistes-auteurs ayant constaté une baisse de chiffre d’affaires d’au moins 50 % par rapport à la même période de l’année précédente, appréciée au regard de la baisse de la somme déclarée auprès </w:t>
      </w:r>
      <w:r w:rsidR="00554B26">
        <w:rPr>
          <w:rFonts w:cstheme="minorHAnsi"/>
        </w:rPr>
        <w:t>de l’Urssaf,</w:t>
      </w:r>
      <w:r w:rsidRPr="00FC0BBD">
        <w:rPr>
          <w:rFonts w:cstheme="minorHAnsi"/>
        </w:rPr>
        <w:t xml:space="preserve"> peuvent bénéficier d’une réduction des cotisations sociale</w:t>
      </w:r>
      <w:r w:rsidR="00554B26">
        <w:rPr>
          <w:rFonts w:cstheme="minorHAnsi"/>
        </w:rPr>
        <w:t>s</w:t>
      </w:r>
      <w:r w:rsidRPr="00FC0BBD">
        <w:rPr>
          <w:rFonts w:cstheme="minorHAnsi"/>
        </w:rPr>
        <w:t xml:space="preserve">. </w:t>
      </w:r>
    </w:p>
    <w:p w14:paraId="34256E2C" w14:textId="0CCFBD0E" w:rsidR="00404F02" w:rsidRPr="00FC0BBD" w:rsidRDefault="00404F02" w:rsidP="00404F02">
      <w:pPr>
        <w:spacing w:beforeAutospacing="1" w:after="100" w:afterAutospacing="1"/>
        <w:rPr>
          <w:rFonts w:cstheme="minorHAnsi"/>
        </w:rPr>
      </w:pPr>
      <w:r w:rsidRPr="00FC0BBD">
        <w:rPr>
          <w:rFonts w:cstheme="minorHAnsi"/>
        </w:rPr>
        <w:lastRenderedPageBreak/>
        <w:t xml:space="preserve">Le montant de cette réduction sera fixé par décret et tiendra compte de leur revenu artistique en 2019 ainsi </w:t>
      </w:r>
      <w:r w:rsidR="00394844">
        <w:rPr>
          <w:rFonts w:cstheme="minorHAnsi"/>
        </w:rPr>
        <w:t xml:space="preserve">que </w:t>
      </w:r>
      <w:r w:rsidRPr="00FC0BBD">
        <w:rPr>
          <w:rFonts w:cstheme="minorHAnsi"/>
        </w:rPr>
        <w:t>du niveau de la baisse de chiffre d’affaires, apprécié sur l’ensemble de l’année 2020.</w:t>
      </w:r>
    </w:p>
    <w:p w14:paraId="1B004F40" w14:textId="1894738B" w:rsidR="00404F02" w:rsidRPr="00FC0BBD" w:rsidRDefault="00404F02" w:rsidP="00404F02">
      <w:pPr>
        <w:spacing w:beforeAutospacing="1" w:after="100" w:afterAutospacing="1"/>
        <w:rPr>
          <w:rFonts w:cstheme="minorHAnsi"/>
        </w:rPr>
      </w:pPr>
      <w:r w:rsidRPr="00FC0BBD">
        <w:rPr>
          <w:rFonts w:cstheme="minorHAnsi"/>
        </w:rPr>
        <w:t>Cette réduction pourra porter, dans des conditions prévues par décret, sur les cotisations dues au titre de l’année 2020 ou de l’année suivante.</w:t>
      </w:r>
    </w:p>
    <w:p w14:paraId="75ED05BD" w14:textId="77777777" w:rsidR="00404F02" w:rsidRDefault="00404F02" w:rsidP="00404F02">
      <w:pPr>
        <w:spacing w:beforeAutospacing="1" w:after="100" w:afterAutospacing="1"/>
        <w:rPr>
          <w:rFonts w:cstheme="minorHAnsi"/>
        </w:rPr>
      </w:pPr>
      <w:r>
        <w:rPr>
          <w:rFonts w:cstheme="minorHAnsi"/>
        </w:rPr>
        <w:t xml:space="preserve">Ces dispositions sont applicables </w:t>
      </w:r>
      <w:r w:rsidRPr="00FC0BBD">
        <w:rPr>
          <w:rFonts w:cstheme="minorHAnsi"/>
        </w:rPr>
        <w:t>à Mayotte et à Saint-Pierre-et-Miquelon, sous réserve des adaptations liées aux modalités d’application du régime de sécurité sociale dans ces collectivités.</w:t>
      </w:r>
    </w:p>
    <w:p w14:paraId="6F9B97D5" w14:textId="77777777" w:rsidR="00DE36CD" w:rsidRDefault="00DE36CD" w:rsidP="00DE36CD">
      <w:pPr>
        <w:spacing w:beforeAutospacing="1" w:after="100" w:afterAutospacing="1"/>
        <w:rPr>
          <w:rFonts w:cstheme="minorHAnsi"/>
        </w:rPr>
      </w:pPr>
    </w:p>
    <w:p w14:paraId="3F1CC409" w14:textId="73A3B443" w:rsidR="00DE36CD" w:rsidRPr="00F048D5" w:rsidRDefault="00DE36CD" w:rsidP="00DE36CD">
      <w:pPr>
        <w:pStyle w:val="Titre3"/>
        <w:pBdr>
          <w:top w:val="single" w:sz="24" w:space="0" w:color="4A66AC" w:themeColor="accent1"/>
        </w:pBdr>
      </w:pPr>
      <w:bookmarkStart w:id="145" w:name="_Toc60781060"/>
      <w:r w:rsidRPr="00F048D5">
        <w:t xml:space="preserve">Slide </w:t>
      </w:r>
      <w:r w:rsidR="009938C3">
        <w:t>99</w:t>
      </w:r>
      <w:r w:rsidRPr="00F048D5">
        <w:t xml:space="preserve"> : </w:t>
      </w:r>
      <w:r w:rsidRPr="001C7CB6">
        <w:t>Plan d’apurement des dettes pour les travailleurs indépendants</w:t>
      </w:r>
      <w:r w:rsidR="001A16C5">
        <w:t xml:space="preserve"> et les</w:t>
      </w:r>
      <w:r w:rsidR="00A8267C">
        <w:t xml:space="preserve"> </w:t>
      </w:r>
      <w:r w:rsidR="001A16C5">
        <w:t>employeurs</w:t>
      </w:r>
      <w:bookmarkEnd w:id="145"/>
      <w:r w:rsidR="001A16C5">
        <w:t xml:space="preserve"> </w:t>
      </w:r>
    </w:p>
    <w:p w14:paraId="4D995846" w14:textId="412B5AD9" w:rsidR="00DE36CD" w:rsidRDefault="00DE36CD" w:rsidP="00DE36CD">
      <w:r w:rsidRPr="00B7788A">
        <w:rPr>
          <w:u w:val="single"/>
        </w:rPr>
        <w:t>Source</w:t>
      </w:r>
      <w:r w:rsidRPr="00327CBB">
        <w:t xml:space="preserve"> : Loi de Financement de la sécurité sociale pour 2021, art</w:t>
      </w:r>
      <w:r w:rsidR="00F03514">
        <w:t>icle</w:t>
      </w:r>
      <w:r w:rsidR="00EF3650">
        <w:t xml:space="preserve"> </w:t>
      </w:r>
      <w:r>
        <w:t xml:space="preserve">9, VIII </w:t>
      </w:r>
    </w:p>
    <w:p w14:paraId="0EDC4874" w14:textId="77777777" w:rsidR="00DE36CD" w:rsidRDefault="00DE36CD" w:rsidP="00DE36CD">
      <w:r w:rsidRPr="004B65FB">
        <w:t>Les travailleurs indépendants peuvent bénéficier de plans d’apurement conclus avec les organismes de recouvrement.</w:t>
      </w:r>
    </w:p>
    <w:p w14:paraId="2617E31D" w14:textId="69D1BF52" w:rsidR="001A16C5" w:rsidRDefault="001A16C5" w:rsidP="001A16C5">
      <w:r>
        <w:t xml:space="preserve">Peuvent faire l'objet de ces plans d'apurement les charges suivantes, </w:t>
      </w:r>
      <w:r w:rsidR="00476FF3">
        <w:t xml:space="preserve">restant dues </w:t>
      </w:r>
      <w:r>
        <w:t>au 31 décembre 2020</w:t>
      </w:r>
      <w:r w:rsidR="00476FF3">
        <w:t> </w:t>
      </w:r>
      <w:r w:rsidR="00CC32BE">
        <w:t xml:space="preserve"> </w:t>
      </w:r>
      <w:r>
        <w:t xml:space="preserve">: </w:t>
      </w:r>
    </w:p>
    <w:p w14:paraId="750CF4A3" w14:textId="1C259584" w:rsidR="002A783A" w:rsidRDefault="00990C98" w:rsidP="00EE0687">
      <w:pPr>
        <w:pStyle w:val="Paragraphedeliste"/>
        <w:numPr>
          <w:ilvl w:val="0"/>
          <w:numId w:val="262"/>
        </w:numPr>
      </w:pPr>
      <w:r>
        <w:t xml:space="preserve">les </w:t>
      </w:r>
      <w:r w:rsidR="001A16C5">
        <w:t>cotisations à la charge des employeurs ;</w:t>
      </w:r>
    </w:p>
    <w:p w14:paraId="0005EF54" w14:textId="2EA590D2" w:rsidR="002A783A" w:rsidRDefault="00990C98" w:rsidP="00EE0687">
      <w:pPr>
        <w:pStyle w:val="Paragraphedeliste"/>
        <w:numPr>
          <w:ilvl w:val="0"/>
          <w:numId w:val="262"/>
        </w:numPr>
      </w:pPr>
      <w:r>
        <w:t xml:space="preserve">les </w:t>
      </w:r>
      <w:r w:rsidR="001A16C5">
        <w:t>cotisations à la charge des salariés, précomptées sans être reversées, dans le cas où ces plans prévoi</w:t>
      </w:r>
      <w:r w:rsidR="002C1026">
        <w:t>ent</w:t>
      </w:r>
      <w:r w:rsidR="001A16C5">
        <w:t xml:space="preserve"> en priorité leur règlement</w:t>
      </w:r>
      <w:r w:rsidR="002A783A">
        <w:t xml:space="preserve"> ; </w:t>
      </w:r>
    </w:p>
    <w:p w14:paraId="1E459D77" w14:textId="26E686EC" w:rsidR="001718D1" w:rsidRDefault="001718D1" w:rsidP="001718D1">
      <w:pPr>
        <w:spacing w:beforeAutospacing="1" w:after="100" w:afterAutospacing="1"/>
      </w:pPr>
      <w:bookmarkStart w:id="146" w:name="_Hlk59544259"/>
      <w:r w:rsidRPr="00BA22DF">
        <w:rPr>
          <w:rFonts w:cstheme="minorHAnsi"/>
        </w:rPr>
        <w:t xml:space="preserve">Pour les travailleurs </w:t>
      </w:r>
      <w:r>
        <w:rPr>
          <w:rFonts w:cstheme="minorHAnsi"/>
        </w:rPr>
        <w:t>indépendants</w:t>
      </w:r>
      <w:r w:rsidRPr="00BA22DF">
        <w:rPr>
          <w:rFonts w:cstheme="minorHAnsi"/>
        </w:rPr>
        <w:t xml:space="preserve">, ces plans peuvent inclure les dettes constatées au 30 </w:t>
      </w:r>
      <w:r>
        <w:rPr>
          <w:rFonts w:cstheme="minorHAnsi"/>
        </w:rPr>
        <w:t>septembre</w:t>
      </w:r>
      <w:r w:rsidRPr="00BA22DF">
        <w:rPr>
          <w:rFonts w:cstheme="minorHAnsi"/>
        </w:rPr>
        <w:t xml:space="preserve"> 2021</w:t>
      </w:r>
      <w:r w:rsidR="00116D4E">
        <w:rPr>
          <w:rFonts w:cstheme="minorHAnsi"/>
        </w:rPr>
        <w:t xml:space="preserve"> (cotisations et contributions personnelles à leur charge)</w:t>
      </w:r>
      <w:r w:rsidRPr="00BA22DF">
        <w:rPr>
          <w:rFonts w:cstheme="minorHAnsi"/>
        </w:rPr>
        <w:t>.</w:t>
      </w:r>
    </w:p>
    <w:bookmarkEnd w:id="146"/>
    <w:p w14:paraId="1E200F0F" w14:textId="02462845" w:rsidR="001A16C5" w:rsidRDefault="00BA22DF" w:rsidP="00BA22DF">
      <w:pPr>
        <w:spacing w:beforeAutospacing="1" w:after="100" w:afterAutospacing="1"/>
      </w:pPr>
      <w:r w:rsidRPr="00BA22DF">
        <w:rPr>
          <w:rFonts w:cstheme="minorHAnsi"/>
        </w:rPr>
        <w:t>Pour les travailleurs non-salariés agricoles, ces plans peuvent inclure les dettes constatées au 30 avril 2021.</w:t>
      </w:r>
    </w:p>
    <w:p w14:paraId="6CDC9464" w14:textId="77777777" w:rsidR="00DB2AB2" w:rsidRDefault="00DE36CD" w:rsidP="00DE36CD">
      <w:r>
        <w:t xml:space="preserve">Les directeurs des organismes de recouvrement peuvent adresser des propositions de plans d’apurement jusqu’à trois mois </w:t>
      </w:r>
      <w:r w:rsidR="00325FC9">
        <w:t>à compter</w:t>
      </w:r>
      <w:r w:rsidR="00DB2AB2">
        <w:t> :</w:t>
      </w:r>
    </w:p>
    <w:p w14:paraId="7EEBC7AC" w14:textId="77777777" w:rsidR="00DB2AB2" w:rsidRDefault="00DB2AB2" w:rsidP="00EE0687">
      <w:pPr>
        <w:pStyle w:val="Paragraphedeliste"/>
        <w:numPr>
          <w:ilvl w:val="0"/>
          <w:numId w:val="262"/>
        </w:numPr>
      </w:pPr>
      <w:bookmarkStart w:id="147" w:name="_Hlk59544494"/>
      <w:r>
        <w:t>du 31 décembre 2020 pour les employeurs,</w:t>
      </w:r>
    </w:p>
    <w:p w14:paraId="5B0244EA" w14:textId="77777777" w:rsidR="001718D1" w:rsidRDefault="001718D1" w:rsidP="00EE0687">
      <w:pPr>
        <w:pStyle w:val="Paragraphedeliste"/>
        <w:numPr>
          <w:ilvl w:val="0"/>
          <w:numId w:val="262"/>
        </w:numPr>
      </w:pPr>
      <w:r>
        <w:t>du 30 septembre 2021 pour les travailleurs indépendants,</w:t>
      </w:r>
    </w:p>
    <w:p w14:paraId="71C816FF" w14:textId="324CB878" w:rsidR="00DE36CD" w:rsidRDefault="001718D1" w:rsidP="00EE0687">
      <w:pPr>
        <w:pStyle w:val="Paragraphedeliste"/>
        <w:numPr>
          <w:ilvl w:val="0"/>
          <w:numId w:val="262"/>
        </w:numPr>
      </w:pPr>
      <w:r>
        <w:t xml:space="preserve">du 30 avril 2021 pour les travailleurs </w:t>
      </w:r>
      <w:proofErr w:type="spellStart"/>
      <w:r>
        <w:t>non salariés</w:t>
      </w:r>
      <w:proofErr w:type="spellEnd"/>
      <w:r>
        <w:t xml:space="preserve"> agricoles</w:t>
      </w:r>
      <w:bookmarkEnd w:id="147"/>
      <w:r>
        <w:t>.</w:t>
      </w:r>
      <w:r w:rsidR="00DE36CD" w:rsidRPr="00602957">
        <w:t xml:space="preserve"> </w:t>
      </w:r>
    </w:p>
    <w:p w14:paraId="59B02996" w14:textId="3497A76E" w:rsidR="00C34DCC" w:rsidRDefault="00C34DCC" w:rsidP="00DE36CD">
      <w:r w:rsidRPr="00C34DCC">
        <w:t>Les employeurs ou les travailleurs indépendants peuvent également demander aux directeurs des organismes de recouvrement, avant la même date, le bénéfice d'un plan d'apurement.</w:t>
      </w:r>
    </w:p>
    <w:p w14:paraId="13D87E34" w14:textId="5F969612" w:rsidR="00526588" w:rsidRDefault="00DE36CD" w:rsidP="0080689C">
      <w:pPr>
        <w:rPr>
          <w:rFonts w:cstheme="minorHAnsi"/>
        </w:rPr>
      </w:pPr>
      <w:r w:rsidRPr="00D01A95">
        <w:t>Sont concernées les sommes dues aux URSSAF, CGSS et caisses de MSA</w:t>
      </w:r>
      <w:r w:rsidR="008A509D">
        <w:t>.</w:t>
      </w:r>
    </w:p>
    <w:p w14:paraId="098C4E47" w14:textId="77777777" w:rsidR="001B3CE2" w:rsidRPr="00A847B7" w:rsidRDefault="001B3CE2" w:rsidP="0080689C">
      <w:pPr>
        <w:rPr>
          <w:rFonts w:cstheme="minorHAnsi"/>
        </w:rPr>
      </w:pPr>
    </w:p>
    <w:p w14:paraId="41E83A8A" w14:textId="7D688105" w:rsidR="007A23F4" w:rsidRPr="00A847B7" w:rsidRDefault="007A23F4">
      <w:pPr>
        <w:rPr>
          <w:rFonts w:cstheme="minorHAnsi"/>
        </w:rPr>
      </w:pPr>
      <w:r w:rsidRPr="00A847B7">
        <w:rPr>
          <w:rFonts w:cstheme="minorHAnsi"/>
        </w:rPr>
        <w:br w:type="page"/>
      </w:r>
    </w:p>
    <w:p w14:paraId="2D2A893D" w14:textId="22D61248" w:rsidR="00213A7D" w:rsidRDefault="00213A7D" w:rsidP="00213A7D">
      <w:pPr>
        <w:rPr>
          <w:rFonts w:cstheme="minorHAnsi"/>
        </w:rPr>
      </w:pPr>
    </w:p>
    <w:p w14:paraId="09880BE8" w14:textId="433D7C27" w:rsidR="002E64E5" w:rsidRDefault="002E64E5" w:rsidP="00213A7D">
      <w:pPr>
        <w:rPr>
          <w:rFonts w:cstheme="minorHAnsi"/>
        </w:rPr>
      </w:pPr>
    </w:p>
    <w:p w14:paraId="28D0B8D7" w14:textId="06C6E3A7" w:rsidR="002E64E5" w:rsidRDefault="002E64E5" w:rsidP="00213A7D">
      <w:pPr>
        <w:rPr>
          <w:rFonts w:cstheme="minorHAnsi"/>
        </w:rPr>
      </w:pPr>
    </w:p>
    <w:p w14:paraId="17182FDF" w14:textId="3578C5E0" w:rsidR="002E64E5" w:rsidRDefault="002E64E5" w:rsidP="00213A7D">
      <w:pPr>
        <w:rPr>
          <w:rFonts w:cstheme="minorHAnsi"/>
        </w:rPr>
      </w:pPr>
    </w:p>
    <w:p w14:paraId="754C03A1" w14:textId="398F049F" w:rsidR="002E64E5" w:rsidRDefault="002E64E5" w:rsidP="00213A7D">
      <w:pPr>
        <w:rPr>
          <w:rFonts w:cstheme="minorHAnsi"/>
        </w:rPr>
      </w:pPr>
    </w:p>
    <w:p w14:paraId="3EB11A68" w14:textId="1F332025" w:rsidR="002E64E5" w:rsidRDefault="002E64E5" w:rsidP="00213A7D">
      <w:pPr>
        <w:rPr>
          <w:rFonts w:cstheme="minorHAnsi"/>
        </w:rPr>
      </w:pPr>
    </w:p>
    <w:p w14:paraId="0764F001" w14:textId="78F59C6B" w:rsidR="002E64E5" w:rsidRDefault="002E64E5" w:rsidP="00213A7D">
      <w:pPr>
        <w:rPr>
          <w:rFonts w:cstheme="minorHAnsi"/>
        </w:rPr>
      </w:pPr>
    </w:p>
    <w:p w14:paraId="017EA9B0" w14:textId="76BD7394" w:rsidR="002E64E5" w:rsidRDefault="002E64E5" w:rsidP="00213A7D">
      <w:pPr>
        <w:rPr>
          <w:rFonts w:cstheme="minorHAnsi"/>
        </w:rPr>
      </w:pPr>
    </w:p>
    <w:p w14:paraId="5D07E468" w14:textId="77777777" w:rsidR="002E64E5" w:rsidRPr="00A847B7" w:rsidRDefault="002E64E5" w:rsidP="00213A7D">
      <w:pPr>
        <w:rPr>
          <w:rFonts w:cstheme="minorHAnsi"/>
        </w:rPr>
      </w:pPr>
    </w:p>
    <w:p w14:paraId="66050ABE" w14:textId="77777777" w:rsidR="00361A7A" w:rsidRPr="00A847B7" w:rsidRDefault="00361A7A" w:rsidP="00361A7A">
      <w:pPr>
        <w:pStyle w:val="Titre1"/>
        <w:rPr>
          <w:caps/>
        </w:rPr>
      </w:pPr>
      <w:bookmarkStart w:id="148" w:name="_Toc30149317"/>
      <w:bookmarkStart w:id="149" w:name="_Toc60781061"/>
      <w:r w:rsidRPr="00A847B7">
        <w:rPr>
          <w:caps/>
        </w:rPr>
        <w:t>Focus sur les véhicules</w:t>
      </w:r>
      <w:bookmarkEnd w:id="148"/>
      <w:bookmarkEnd w:id="149"/>
    </w:p>
    <w:p w14:paraId="6A7A1887" w14:textId="77777777" w:rsidR="00361A7A" w:rsidRPr="00A847B7" w:rsidRDefault="00361A7A" w:rsidP="00361A7A"/>
    <w:p w14:paraId="690BD665" w14:textId="77777777" w:rsidR="00361A7A" w:rsidRPr="00A847B7" w:rsidRDefault="00361A7A" w:rsidP="00361A7A">
      <w:r w:rsidRPr="00A847B7">
        <w:br w:type="page"/>
      </w:r>
    </w:p>
    <w:p w14:paraId="062CDB5A" w14:textId="77777777" w:rsidR="00361A7A" w:rsidRPr="00A847B7" w:rsidRDefault="00361A7A" w:rsidP="00361A7A">
      <w:pPr>
        <w:jc w:val="center"/>
        <w:rPr>
          <w:b/>
        </w:rPr>
      </w:pPr>
    </w:p>
    <w:p w14:paraId="01E7CC70" w14:textId="6ACA5B69" w:rsidR="00361A7A" w:rsidRDefault="00361A7A" w:rsidP="00361A7A">
      <w:pPr>
        <w:pStyle w:val="Titre2"/>
      </w:pPr>
      <w:bookmarkStart w:id="150" w:name="_Toc30149318"/>
      <w:bookmarkStart w:id="151" w:name="_Toc60781062"/>
      <w:r w:rsidRPr="00A847B7">
        <w:t>Gestion des véhicules</w:t>
      </w:r>
      <w:bookmarkEnd w:id="150"/>
      <w:bookmarkEnd w:id="151"/>
    </w:p>
    <w:p w14:paraId="7021C905" w14:textId="77777777" w:rsidR="002E64E5" w:rsidRPr="002E64E5" w:rsidRDefault="002E64E5" w:rsidP="002E64E5"/>
    <w:p w14:paraId="4B84CECF" w14:textId="69D7CB96" w:rsidR="008F20DB" w:rsidRPr="00A847B7" w:rsidRDefault="008F20DB" w:rsidP="008F20DB">
      <w:pPr>
        <w:pStyle w:val="Titre3"/>
      </w:pPr>
      <w:bookmarkStart w:id="152" w:name="_Toc60781063"/>
      <w:r w:rsidRPr="00A847B7">
        <w:t xml:space="preserve">Slide </w:t>
      </w:r>
      <w:r w:rsidR="00F533CD">
        <w:t>101</w:t>
      </w:r>
      <w:r w:rsidRPr="00A847B7">
        <w:t> : Terminologie commune aux taxes sur les véhicules</w:t>
      </w:r>
      <w:bookmarkEnd w:id="152"/>
    </w:p>
    <w:p w14:paraId="40FEB902" w14:textId="552876F5" w:rsidR="008F20DB" w:rsidRPr="00A847B7" w:rsidRDefault="002E64E5" w:rsidP="002E64E5">
      <w:r w:rsidRPr="004F587E">
        <w:rPr>
          <w:u w:val="single"/>
        </w:rPr>
        <w:t xml:space="preserve">Source </w:t>
      </w:r>
      <w:r w:rsidRPr="00A847B7">
        <w:t>:</w:t>
      </w:r>
      <w:r w:rsidR="008F20DB" w:rsidRPr="00A847B7">
        <w:t xml:space="preserve"> Loi de Finances pour </w:t>
      </w:r>
      <w:r w:rsidR="008F20DB" w:rsidRPr="00F52333">
        <w:t xml:space="preserve">2021, </w:t>
      </w:r>
      <w:r w:rsidR="008F20DB" w:rsidRPr="005A54C4">
        <w:t xml:space="preserve">article </w:t>
      </w:r>
      <w:r w:rsidR="00F52333" w:rsidRPr="00F52333">
        <w:t>55</w:t>
      </w:r>
    </w:p>
    <w:p w14:paraId="070C6B74" w14:textId="73592DE9" w:rsidR="008F20DB" w:rsidRPr="00A847B7" w:rsidRDefault="008F20DB" w:rsidP="008F20DB">
      <w:pPr>
        <w:spacing w:beforeAutospacing="1" w:after="100" w:afterAutospacing="1"/>
        <w:rPr>
          <w:rFonts w:cstheme="minorHAnsi"/>
        </w:rPr>
      </w:pPr>
      <w:r w:rsidRPr="00A847B7">
        <w:rPr>
          <w:rFonts w:cstheme="minorHAnsi"/>
        </w:rPr>
        <w:t xml:space="preserve">A compter </w:t>
      </w:r>
      <w:r w:rsidR="003C5BA6" w:rsidRPr="00A847B7">
        <w:rPr>
          <w:rFonts w:cstheme="minorHAnsi"/>
        </w:rPr>
        <w:t>du 1</w:t>
      </w:r>
      <w:r w:rsidR="003C5BA6" w:rsidRPr="00A847B7">
        <w:rPr>
          <w:rFonts w:cstheme="minorHAnsi"/>
          <w:vertAlign w:val="superscript"/>
        </w:rPr>
        <w:t>er</w:t>
      </w:r>
      <w:r w:rsidR="003C5BA6" w:rsidRPr="00A847B7">
        <w:rPr>
          <w:rFonts w:cstheme="minorHAnsi"/>
        </w:rPr>
        <w:t xml:space="preserve"> janvier 2021</w:t>
      </w:r>
      <w:r w:rsidRPr="00A847B7">
        <w:rPr>
          <w:rFonts w:cstheme="minorHAnsi"/>
        </w:rPr>
        <w:t>, certaines terminologies communes aux différentes taxes sur les véhicules vont évoluer.</w:t>
      </w:r>
    </w:p>
    <w:p w14:paraId="0282FFEF" w14:textId="77777777" w:rsidR="008F20DB" w:rsidRPr="00A847B7" w:rsidRDefault="008F20DB" w:rsidP="002E64E5">
      <w:pPr>
        <w:spacing w:beforeAutospacing="1" w:after="100" w:afterAutospacing="1"/>
        <w:rPr>
          <w:rFonts w:cstheme="minorHAnsi"/>
        </w:rPr>
      </w:pPr>
      <w:r w:rsidRPr="00A847B7">
        <w:rPr>
          <w:rFonts w:cstheme="minorHAnsi"/>
        </w:rPr>
        <w:t>Ainsi, la 1</w:t>
      </w:r>
      <w:r w:rsidRPr="00A847B7">
        <w:rPr>
          <w:rFonts w:cstheme="minorHAnsi"/>
          <w:vertAlign w:val="superscript"/>
        </w:rPr>
        <w:t>ère</w:t>
      </w:r>
      <w:r w:rsidRPr="00A847B7">
        <w:rPr>
          <w:rFonts w:cstheme="minorHAnsi"/>
        </w:rPr>
        <w:t xml:space="preserve"> immatriculation en France d’un véhicule correspondra à la 1</w:t>
      </w:r>
      <w:r w:rsidRPr="00A847B7">
        <w:rPr>
          <w:rFonts w:cstheme="minorHAnsi"/>
          <w:vertAlign w:val="superscript"/>
        </w:rPr>
        <w:t>ère</w:t>
      </w:r>
      <w:r w:rsidRPr="00A847B7">
        <w:rPr>
          <w:rFonts w:cstheme="minorHAnsi"/>
        </w:rPr>
        <w:t xml:space="preserve"> autorisation pour la mise en circulation routière de ce véhicule. Elle sera réputée intervenir en France lorsqu’elle sera délivrée par les autorités françaises, à titre permanent ou dans le cadre d’un transit temporaire.</w:t>
      </w:r>
    </w:p>
    <w:p w14:paraId="76A12F8A" w14:textId="572D6507" w:rsidR="008F20DB" w:rsidRPr="00A847B7" w:rsidRDefault="008F20DB" w:rsidP="008F20DB">
      <w:pPr>
        <w:spacing w:beforeAutospacing="1" w:after="100" w:afterAutospacing="1"/>
        <w:rPr>
          <w:rFonts w:cstheme="minorHAnsi"/>
        </w:rPr>
      </w:pPr>
      <w:r w:rsidRPr="00A847B7">
        <w:rPr>
          <w:rFonts w:cstheme="minorHAnsi"/>
        </w:rPr>
        <w:t>La notion de « véhicule de collection » est, elle aussi, redéfinie. Seront considérés comme des véhicules de collection les véhicules qui présentent, en France, un intérêt historique au sens de la réglementation européenne.</w:t>
      </w:r>
    </w:p>
    <w:p w14:paraId="03899E0E" w14:textId="59031D5F" w:rsidR="00BF4986" w:rsidRPr="00A847B7" w:rsidRDefault="00BF4986" w:rsidP="008F20DB">
      <w:pPr>
        <w:spacing w:beforeAutospacing="1" w:after="100" w:afterAutospacing="1"/>
        <w:rPr>
          <w:rFonts w:cstheme="minorHAnsi"/>
        </w:rPr>
      </w:pPr>
      <w:r w:rsidRPr="00A847B7">
        <w:rPr>
          <w:rFonts w:cstheme="minorHAnsi"/>
        </w:rPr>
        <w:t xml:space="preserve">Enfin, </w:t>
      </w:r>
      <w:r w:rsidR="003704CB" w:rsidRPr="00A847B7">
        <w:rPr>
          <w:rFonts w:cstheme="minorHAnsi"/>
        </w:rPr>
        <w:t xml:space="preserve">les entreprises et activités économiques concernées par les différentes taxes sur les véhicules </w:t>
      </w:r>
      <w:r w:rsidR="008F1E61" w:rsidRPr="00A847B7">
        <w:rPr>
          <w:rFonts w:cstheme="minorHAnsi"/>
        </w:rPr>
        <w:t>sont définies, comme en matière de TVA,</w:t>
      </w:r>
      <w:r w:rsidR="00D113B1" w:rsidRPr="00A847B7">
        <w:rPr>
          <w:rFonts w:cstheme="minorHAnsi"/>
        </w:rPr>
        <w:t xml:space="preserve"> comme les personnes qui effectuent d'une manière indépendante, à titre habituel ou occasionnel, une ou plusieurs opérations soumises à la taxe sur la valeur ajoutée, quels que soient leur statut juridique, leur situation au regard des autres impôts et la forme ou la nature de leur intervention.</w:t>
      </w:r>
    </w:p>
    <w:p w14:paraId="20A9B86C" w14:textId="77777777" w:rsidR="008F20DB" w:rsidRPr="00A847B7" w:rsidRDefault="008F20DB" w:rsidP="008F20DB">
      <w:pPr>
        <w:spacing w:beforeAutospacing="1" w:after="100" w:afterAutospacing="1"/>
        <w:rPr>
          <w:rFonts w:cstheme="minorHAnsi"/>
        </w:rPr>
      </w:pPr>
      <w:r w:rsidRPr="00A847B7">
        <w:rPr>
          <w:rFonts w:cstheme="minorHAnsi"/>
        </w:rPr>
        <w:t>Quant aux véhicules relevant du nouveau dispositif d’immatriculation, la terminologie évolue pour les taxes dont le fait générateur intervient à compter du 1</w:t>
      </w:r>
      <w:r w:rsidRPr="00A847B7">
        <w:rPr>
          <w:rFonts w:cstheme="minorHAnsi"/>
          <w:vertAlign w:val="superscript"/>
        </w:rPr>
        <w:t>er</w:t>
      </w:r>
      <w:r w:rsidRPr="00A847B7">
        <w:rPr>
          <w:rFonts w:cstheme="minorHAnsi"/>
        </w:rPr>
        <w:t xml:space="preserve"> mars 2020 : il s’agira des véhicules des catégories M1, M2, N1 et N2 qui répondent aux 2 conditions cumulatives suivantes :</w:t>
      </w:r>
    </w:p>
    <w:p w14:paraId="2A14D862" w14:textId="77777777" w:rsidR="008F20DB" w:rsidRPr="00A847B7" w:rsidRDefault="008F20DB" w:rsidP="00EE0687">
      <w:pPr>
        <w:pStyle w:val="Paragraphedeliste"/>
        <w:numPr>
          <w:ilvl w:val="0"/>
          <w:numId w:val="61"/>
        </w:numPr>
        <w:spacing w:beforeAutospacing="1" w:after="100" w:afterAutospacing="1"/>
        <w:rPr>
          <w:rFonts w:cstheme="minorHAnsi"/>
        </w:rPr>
      </w:pPr>
      <w:r w:rsidRPr="00A847B7">
        <w:rPr>
          <w:rFonts w:cstheme="minorHAnsi"/>
        </w:rPr>
        <w:t>les émissions de dioxyde de carbone ont été déterminées conformément à la réglementation européenne, ou conformément à une méthode équivalente définie par arrêté du Ministre chargé des transports ;</w:t>
      </w:r>
    </w:p>
    <w:p w14:paraId="7CBDF693" w14:textId="77777777" w:rsidR="008F20DB" w:rsidRPr="00A847B7" w:rsidRDefault="008F20DB" w:rsidP="00EE0687">
      <w:pPr>
        <w:pStyle w:val="Paragraphedeliste"/>
        <w:numPr>
          <w:ilvl w:val="0"/>
          <w:numId w:val="61"/>
        </w:numPr>
        <w:spacing w:beforeAutospacing="1" w:after="100" w:afterAutospacing="1"/>
        <w:rPr>
          <w:rFonts w:cstheme="minorHAnsi"/>
        </w:rPr>
      </w:pPr>
      <w:r w:rsidRPr="00A847B7">
        <w:rPr>
          <w:rFonts w:cstheme="minorHAnsi"/>
        </w:rPr>
        <w:t>la date de 1</w:t>
      </w:r>
      <w:r w:rsidRPr="00A847B7">
        <w:rPr>
          <w:rFonts w:cstheme="minorHAnsi"/>
          <w:vertAlign w:val="superscript"/>
        </w:rPr>
        <w:t>ère</w:t>
      </w:r>
      <w:r w:rsidRPr="00A847B7">
        <w:rPr>
          <w:rFonts w:cstheme="minorHAnsi"/>
        </w:rPr>
        <w:t xml:space="preserve"> immatriculation en France est déterminée en fonction des caractéristiques du véhicule à cette date, conformément au tableau suivant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9"/>
        <w:gridCol w:w="3809"/>
      </w:tblGrid>
      <w:tr w:rsidR="008F20DB" w:rsidRPr="00A847B7" w14:paraId="15D46057" w14:textId="77777777" w:rsidTr="004B159F">
        <w:trPr>
          <w:trHeight w:val="245"/>
          <w:jc w:val="center"/>
        </w:trPr>
        <w:tc>
          <w:tcPr>
            <w:tcW w:w="3809" w:type="dxa"/>
            <w:shd w:val="clear" w:color="auto" w:fill="297FD5" w:themeFill="accent3"/>
          </w:tcPr>
          <w:p w14:paraId="1EA9507A" w14:textId="77777777" w:rsidR="008F20DB" w:rsidRPr="00A847B7" w:rsidRDefault="008F20DB" w:rsidP="004B159F">
            <w:pPr>
              <w:spacing w:beforeAutospacing="1" w:after="100" w:afterAutospacing="1"/>
              <w:rPr>
                <w:rFonts w:cstheme="minorHAnsi"/>
                <w:b/>
                <w:bCs/>
                <w:color w:val="FFFFFF" w:themeColor="background1"/>
                <w:sz w:val="22"/>
                <w:szCs w:val="22"/>
              </w:rPr>
            </w:pPr>
            <w:r w:rsidRPr="00A847B7">
              <w:rPr>
                <w:rFonts w:cstheme="minorHAnsi"/>
                <w:b/>
                <w:bCs/>
                <w:color w:val="FFFFFF" w:themeColor="background1"/>
                <w:sz w:val="22"/>
                <w:szCs w:val="22"/>
              </w:rPr>
              <w:t xml:space="preserve">Caractéristiques du véhicule </w:t>
            </w:r>
          </w:p>
          <w:p w14:paraId="60812186" w14:textId="77777777" w:rsidR="008F20DB" w:rsidRPr="00A847B7" w:rsidRDefault="008F20DB" w:rsidP="004B159F">
            <w:pPr>
              <w:spacing w:beforeAutospacing="1" w:after="100" w:afterAutospacing="1"/>
              <w:rPr>
                <w:rFonts w:cstheme="minorHAnsi"/>
                <w:b/>
                <w:bCs/>
                <w:color w:val="FFFFFF" w:themeColor="background1"/>
                <w:sz w:val="22"/>
                <w:szCs w:val="22"/>
              </w:rPr>
            </w:pPr>
          </w:p>
        </w:tc>
        <w:tc>
          <w:tcPr>
            <w:tcW w:w="3809" w:type="dxa"/>
            <w:shd w:val="clear" w:color="auto" w:fill="297FD5" w:themeFill="accent3"/>
          </w:tcPr>
          <w:p w14:paraId="54EFFD47" w14:textId="77777777" w:rsidR="008F20DB" w:rsidRPr="00A847B7" w:rsidRDefault="008F20DB" w:rsidP="004B159F">
            <w:pPr>
              <w:spacing w:beforeAutospacing="1" w:after="100" w:afterAutospacing="1"/>
              <w:rPr>
                <w:rFonts w:cstheme="minorHAnsi"/>
                <w:b/>
                <w:bCs/>
                <w:color w:val="FFFFFF" w:themeColor="background1"/>
                <w:sz w:val="22"/>
                <w:szCs w:val="22"/>
              </w:rPr>
            </w:pPr>
            <w:r w:rsidRPr="00A847B7">
              <w:rPr>
                <w:rFonts w:cstheme="minorHAnsi"/>
                <w:b/>
                <w:bCs/>
                <w:color w:val="FFFFFF" w:themeColor="background1"/>
                <w:sz w:val="22"/>
                <w:szCs w:val="22"/>
              </w:rPr>
              <w:t>Date de 1</w:t>
            </w:r>
            <w:r w:rsidRPr="00A847B7">
              <w:rPr>
                <w:rFonts w:cstheme="minorHAnsi"/>
                <w:b/>
                <w:bCs/>
                <w:color w:val="FFFFFF" w:themeColor="background1"/>
                <w:sz w:val="22"/>
                <w:szCs w:val="22"/>
                <w:vertAlign w:val="superscript"/>
              </w:rPr>
              <w:t>ère</w:t>
            </w:r>
            <w:r w:rsidRPr="00A847B7">
              <w:rPr>
                <w:rFonts w:cstheme="minorHAnsi"/>
                <w:b/>
                <w:bCs/>
                <w:color w:val="FFFFFF" w:themeColor="background1"/>
                <w:sz w:val="22"/>
                <w:szCs w:val="22"/>
              </w:rPr>
              <w:t xml:space="preserve"> immatriculation en France </w:t>
            </w:r>
          </w:p>
        </w:tc>
      </w:tr>
      <w:tr w:rsidR="008F20DB" w:rsidRPr="00A847B7" w14:paraId="4DFD7BBB" w14:textId="77777777" w:rsidTr="004B159F">
        <w:trPr>
          <w:trHeight w:val="385"/>
          <w:jc w:val="center"/>
        </w:trPr>
        <w:tc>
          <w:tcPr>
            <w:tcW w:w="3809" w:type="dxa"/>
          </w:tcPr>
          <w:p w14:paraId="0F80B164" w14:textId="77777777" w:rsidR="008F20DB" w:rsidRPr="00A847B7" w:rsidRDefault="008F20DB" w:rsidP="004B159F">
            <w:pPr>
              <w:spacing w:beforeAutospacing="1" w:after="100" w:afterAutospacing="1"/>
              <w:rPr>
                <w:rFonts w:cstheme="minorHAnsi"/>
              </w:rPr>
            </w:pPr>
            <w:r w:rsidRPr="00A847B7">
              <w:rPr>
                <w:rFonts w:cstheme="minorHAnsi"/>
              </w:rPr>
              <w:t xml:space="preserve">1. Véhicules des catégories M1 et N1 complets dont la première immatriculation intervient en France, autres que les véhicules à usage spécial </w:t>
            </w:r>
          </w:p>
        </w:tc>
        <w:tc>
          <w:tcPr>
            <w:tcW w:w="3809" w:type="dxa"/>
          </w:tcPr>
          <w:p w14:paraId="5721FD41" w14:textId="77777777" w:rsidR="008F20DB" w:rsidRPr="00A847B7" w:rsidRDefault="008F20DB" w:rsidP="004B159F">
            <w:pPr>
              <w:spacing w:beforeAutospacing="1" w:after="100" w:afterAutospacing="1"/>
              <w:rPr>
                <w:rFonts w:cstheme="minorHAnsi"/>
              </w:rPr>
            </w:pPr>
            <w:r w:rsidRPr="00A847B7">
              <w:rPr>
                <w:rFonts w:cstheme="minorHAnsi"/>
              </w:rPr>
              <w:t>à partir du 1</w:t>
            </w:r>
            <w:r w:rsidRPr="00A847B7">
              <w:rPr>
                <w:rFonts w:cstheme="minorHAnsi"/>
                <w:vertAlign w:val="superscript"/>
              </w:rPr>
              <w:t>er</w:t>
            </w:r>
            <w:r w:rsidRPr="00A847B7">
              <w:rPr>
                <w:rFonts w:cstheme="minorHAnsi"/>
              </w:rPr>
              <w:t xml:space="preserve"> mars 2020 </w:t>
            </w:r>
          </w:p>
        </w:tc>
      </w:tr>
      <w:tr w:rsidR="008F20DB" w:rsidRPr="00A847B7" w14:paraId="684FA117" w14:textId="77777777" w:rsidTr="004B159F">
        <w:trPr>
          <w:trHeight w:val="523"/>
          <w:jc w:val="center"/>
        </w:trPr>
        <w:tc>
          <w:tcPr>
            <w:tcW w:w="3809" w:type="dxa"/>
          </w:tcPr>
          <w:p w14:paraId="10809BF7" w14:textId="77777777" w:rsidR="008F20DB" w:rsidRPr="00A847B7" w:rsidRDefault="008F20DB" w:rsidP="004B159F">
            <w:pPr>
              <w:spacing w:beforeAutospacing="1" w:after="100" w:afterAutospacing="1"/>
              <w:rPr>
                <w:rFonts w:cstheme="minorHAnsi"/>
              </w:rPr>
            </w:pPr>
            <w:r w:rsidRPr="00A847B7">
              <w:rPr>
                <w:rFonts w:cstheme="minorHAnsi"/>
              </w:rPr>
              <w:t xml:space="preserve">2. Véhicules des catégories M1 et N1 complets à usage spécial dont la première immatriculation intervient en France, autres que les véhicules accessibles en fauteuil roulant </w:t>
            </w:r>
          </w:p>
        </w:tc>
        <w:tc>
          <w:tcPr>
            <w:tcW w:w="3809" w:type="dxa"/>
          </w:tcPr>
          <w:p w14:paraId="30EBFCD7" w14:textId="77777777" w:rsidR="008F20DB" w:rsidRPr="00A847B7" w:rsidRDefault="008F20DB" w:rsidP="004B159F">
            <w:pPr>
              <w:spacing w:beforeAutospacing="1" w:after="100" w:afterAutospacing="1"/>
              <w:rPr>
                <w:rFonts w:cstheme="minorHAnsi"/>
              </w:rPr>
            </w:pPr>
            <w:r w:rsidRPr="00A847B7">
              <w:rPr>
                <w:rFonts w:cstheme="minorHAnsi"/>
              </w:rPr>
              <w:t>à partir du 1</w:t>
            </w:r>
            <w:r w:rsidRPr="00A847B7">
              <w:rPr>
                <w:rFonts w:cstheme="minorHAnsi"/>
                <w:vertAlign w:val="superscript"/>
              </w:rPr>
              <w:t>er</w:t>
            </w:r>
            <w:r w:rsidRPr="00A847B7">
              <w:rPr>
                <w:rFonts w:cstheme="minorHAnsi"/>
              </w:rPr>
              <w:t xml:space="preserve"> juillet 2020 </w:t>
            </w:r>
          </w:p>
        </w:tc>
      </w:tr>
      <w:tr w:rsidR="008F20DB" w:rsidRPr="00A847B7" w14:paraId="241B89D8" w14:textId="77777777" w:rsidTr="004B159F">
        <w:trPr>
          <w:trHeight w:val="523"/>
          <w:jc w:val="center"/>
        </w:trPr>
        <w:tc>
          <w:tcPr>
            <w:tcW w:w="3809" w:type="dxa"/>
          </w:tcPr>
          <w:p w14:paraId="51E3D927" w14:textId="77777777" w:rsidR="008F20DB" w:rsidRPr="00A847B7" w:rsidRDefault="008F20DB" w:rsidP="004B159F">
            <w:pPr>
              <w:spacing w:beforeAutospacing="1" w:after="100" w:afterAutospacing="1"/>
              <w:rPr>
                <w:rFonts w:cstheme="minorHAnsi"/>
              </w:rPr>
            </w:pPr>
            <w:r w:rsidRPr="00A847B7">
              <w:rPr>
                <w:rFonts w:cstheme="minorHAnsi"/>
              </w:rPr>
              <w:lastRenderedPageBreak/>
              <w:t xml:space="preserve">3. Véhicules des catégories M1 et N1 complets ayant préalablement fait l’objet d’une immatriculation hors de France, autres que les véhicules accessibles en fauteuil roulant </w:t>
            </w:r>
          </w:p>
        </w:tc>
        <w:tc>
          <w:tcPr>
            <w:tcW w:w="3809" w:type="dxa"/>
          </w:tcPr>
          <w:p w14:paraId="2D0E994A" w14:textId="77777777" w:rsidR="008F20DB" w:rsidRPr="00A847B7" w:rsidRDefault="008F20DB" w:rsidP="004B159F">
            <w:pPr>
              <w:spacing w:beforeAutospacing="1" w:after="100" w:afterAutospacing="1"/>
              <w:rPr>
                <w:rFonts w:cstheme="minorHAnsi"/>
              </w:rPr>
            </w:pPr>
            <w:r w:rsidRPr="00A847B7">
              <w:rPr>
                <w:rFonts w:cstheme="minorHAnsi"/>
              </w:rPr>
              <w:t>à partir du 1</w:t>
            </w:r>
            <w:r w:rsidRPr="00A847B7">
              <w:rPr>
                <w:rFonts w:cstheme="minorHAnsi"/>
                <w:vertAlign w:val="superscript"/>
              </w:rPr>
              <w:t xml:space="preserve">er </w:t>
            </w:r>
            <w:r w:rsidRPr="00A847B7">
              <w:rPr>
                <w:rFonts w:cstheme="minorHAnsi"/>
              </w:rPr>
              <w:t xml:space="preserve">janvier 2021 </w:t>
            </w:r>
          </w:p>
        </w:tc>
      </w:tr>
      <w:tr w:rsidR="008F20DB" w:rsidRPr="00A847B7" w14:paraId="240F9B5E" w14:textId="77777777" w:rsidTr="004B159F">
        <w:trPr>
          <w:trHeight w:val="409"/>
          <w:jc w:val="center"/>
        </w:trPr>
        <w:tc>
          <w:tcPr>
            <w:tcW w:w="3809" w:type="dxa"/>
          </w:tcPr>
          <w:p w14:paraId="4F83F4C4" w14:textId="77777777" w:rsidR="008F20DB" w:rsidRPr="00A847B7" w:rsidRDefault="008F20DB" w:rsidP="004B159F">
            <w:pPr>
              <w:spacing w:beforeAutospacing="1" w:after="100" w:afterAutospacing="1"/>
              <w:rPr>
                <w:rFonts w:cstheme="minorHAnsi"/>
              </w:rPr>
            </w:pPr>
            <w:r w:rsidRPr="00A847B7">
              <w:rPr>
                <w:rFonts w:cstheme="minorHAnsi"/>
              </w:rPr>
              <w:t xml:space="preserve">4. Véhicules complétés, véhicules accessibles en fauteuil roulant et véhicules des catégories M2 et N2 </w:t>
            </w:r>
          </w:p>
        </w:tc>
        <w:tc>
          <w:tcPr>
            <w:tcW w:w="3809" w:type="dxa"/>
          </w:tcPr>
          <w:p w14:paraId="1451E01E" w14:textId="77777777" w:rsidR="008F20DB" w:rsidRPr="00A847B7" w:rsidRDefault="008F20DB" w:rsidP="004B159F">
            <w:pPr>
              <w:spacing w:beforeAutospacing="1" w:after="100" w:afterAutospacing="1"/>
              <w:rPr>
                <w:rFonts w:cstheme="minorHAnsi"/>
              </w:rPr>
            </w:pPr>
            <w:r w:rsidRPr="00A847B7">
              <w:rPr>
                <w:rFonts w:cstheme="minorHAnsi"/>
              </w:rPr>
              <w:t>à partir de dates fixées par Décret, au plus tard le 1</w:t>
            </w:r>
            <w:r w:rsidRPr="00A847B7">
              <w:rPr>
                <w:rFonts w:cstheme="minorHAnsi"/>
                <w:vertAlign w:val="superscript"/>
              </w:rPr>
              <w:t>er</w:t>
            </w:r>
            <w:r w:rsidRPr="00A847B7">
              <w:rPr>
                <w:rFonts w:cstheme="minorHAnsi"/>
              </w:rPr>
              <w:t xml:space="preserve"> janvier 2024 </w:t>
            </w:r>
          </w:p>
        </w:tc>
      </w:tr>
    </w:tbl>
    <w:p w14:paraId="05C82F08" w14:textId="77777777" w:rsidR="008F20DB" w:rsidRPr="00A847B7" w:rsidRDefault="008F20DB" w:rsidP="008F20DB">
      <w:pPr>
        <w:spacing w:beforeAutospacing="1" w:after="100" w:afterAutospacing="1"/>
        <w:rPr>
          <w:rFonts w:cstheme="minorHAnsi"/>
        </w:rPr>
      </w:pPr>
      <w:r w:rsidRPr="00A847B7">
        <w:rPr>
          <w:rFonts w:cstheme="minorHAnsi"/>
        </w:rPr>
        <w:t>Les émissions de dioxyde de carbone d'un véhicule à moteur ayant fait l'objet d'une réception européenne utilisées pour l'assujettissement ou la liquidation des taxes sur les véhicules correspondent à la quantité de dioxyde de carbone rapportée à la distance parcourue, déterminée dans les conditions prévues par la règlementation européenne.</w:t>
      </w:r>
    </w:p>
    <w:p w14:paraId="6BC0FD20" w14:textId="77777777" w:rsidR="008F20DB" w:rsidRPr="00A847B7" w:rsidRDefault="008F20DB" w:rsidP="008F20DB">
      <w:pPr>
        <w:spacing w:beforeAutospacing="1" w:after="100" w:afterAutospacing="1"/>
        <w:rPr>
          <w:rFonts w:cstheme="minorHAnsi"/>
        </w:rPr>
      </w:pPr>
      <w:r w:rsidRPr="00A847B7">
        <w:rPr>
          <w:rFonts w:cstheme="minorHAnsi"/>
        </w:rPr>
        <w:t>Pour les véhicules n'ayant pas fait l'objet d'une réception européenne, il est recouru, lorsque cela est possible, à la méthode équivalente définie par arrêté du Ministre chargé des transports.</w:t>
      </w:r>
    </w:p>
    <w:p w14:paraId="65BBAFCE" w14:textId="77777777" w:rsidR="008F20DB" w:rsidRPr="00A847B7" w:rsidRDefault="008F20DB" w:rsidP="008F20DB">
      <w:pPr>
        <w:spacing w:beforeAutospacing="1" w:after="100" w:afterAutospacing="1"/>
        <w:rPr>
          <w:rFonts w:cstheme="minorHAnsi"/>
        </w:rPr>
      </w:pPr>
    </w:p>
    <w:p w14:paraId="2C7639AC" w14:textId="79B3CCFE" w:rsidR="00956262" w:rsidRPr="00A847B7" w:rsidRDefault="00956262" w:rsidP="00956262">
      <w:pPr>
        <w:pStyle w:val="Titre3"/>
      </w:pPr>
      <w:bookmarkStart w:id="153" w:name="_Toc60781064"/>
      <w:r w:rsidRPr="00A847B7">
        <w:t xml:space="preserve">Slide </w:t>
      </w:r>
      <w:r w:rsidR="002A6862">
        <w:t>102</w:t>
      </w:r>
      <w:r w:rsidRPr="00A847B7">
        <w:t xml:space="preserve"> : </w:t>
      </w:r>
      <w:r w:rsidR="00687DE0" w:rsidRPr="00A847B7">
        <w:t>Malus automobile pour 2021</w:t>
      </w:r>
      <w:bookmarkEnd w:id="153"/>
    </w:p>
    <w:p w14:paraId="6F7D1FC9" w14:textId="04E65A90" w:rsidR="004E63A5" w:rsidRPr="00A847B7" w:rsidRDefault="002E64E5" w:rsidP="002E64E5">
      <w:r w:rsidRPr="004F587E">
        <w:rPr>
          <w:u w:val="single"/>
        </w:rPr>
        <w:t xml:space="preserve">Source </w:t>
      </w:r>
      <w:r w:rsidRPr="00A847B7">
        <w:t>:</w:t>
      </w:r>
      <w:r w:rsidR="004E63A5" w:rsidRPr="00A847B7">
        <w:t xml:space="preserve"> Loi de Finances pour 2021, </w:t>
      </w:r>
      <w:r w:rsidR="004E63A5" w:rsidRPr="005A54C4">
        <w:t xml:space="preserve">article </w:t>
      </w:r>
      <w:r w:rsidR="00F11C7D" w:rsidRPr="003E1502">
        <w:t>55</w:t>
      </w:r>
    </w:p>
    <w:p w14:paraId="2E39594F" w14:textId="69F3CC56" w:rsidR="004E63A5" w:rsidRPr="00A847B7" w:rsidRDefault="00BD6EC5" w:rsidP="004E63A5">
      <w:pPr>
        <w:spacing w:beforeAutospacing="1" w:after="100" w:afterAutospacing="1"/>
      </w:pPr>
      <w:r w:rsidRPr="00A847B7">
        <w:t>Le tarif du malus en euros est déterminé à partir des émissions de dioxyde de carbone, en g/km, ou à partir de la puissance administrative</w:t>
      </w:r>
      <w:r w:rsidR="00DD1426" w:rsidRPr="00A847B7">
        <w:t xml:space="preserve">, en chevaux administratifs, au moyen des barèmes suivants : </w:t>
      </w:r>
    </w:p>
    <w:tbl>
      <w:tblPr>
        <w:tblStyle w:val="Grilledutableau"/>
        <w:tblW w:w="0" w:type="auto"/>
        <w:tblLook w:val="04A0" w:firstRow="1" w:lastRow="0" w:firstColumn="1" w:lastColumn="0" w:noHBand="0" w:noVBand="1"/>
      </w:tblPr>
      <w:tblGrid>
        <w:gridCol w:w="3007"/>
        <w:gridCol w:w="3009"/>
        <w:gridCol w:w="3008"/>
        <w:gridCol w:w="38"/>
      </w:tblGrid>
      <w:tr w:rsidR="00C03489" w:rsidRPr="00A847B7" w14:paraId="37D946F3" w14:textId="77777777" w:rsidTr="00CD2552">
        <w:trPr>
          <w:gridAfter w:val="1"/>
          <w:wAfter w:w="38" w:type="dxa"/>
        </w:trPr>
        <w:tc>
          <w:tcPr>
            <w:tcW w:w="3020" w:type="dxa"/>
            <w:shd w:val="clear" w:color="auto" w:fill="297FD5" w:themeFill="accent3"/>
          </w:tcPr>
          <w:p w14:paraId="27788105" w14:textId="22F28316" w:rsidR="00C03489" w:rsidRPr="00A847B7" w:rsidRDefault="00C03489" w:rsidP="00CD2552">
            <w:pPr>
              <w:spacing w:beforeAutospacing="1" w:after="100" w:afterAutospacing="1"/>
              <w:jc w:val="center"/>
              <w:rPr>
                <w:b/>
                <w:bCs/>
                <w:color w:val="FFFFFF" w:themeColor="background1"/>
                <w:sz w:val="22"/>
                <w:szCs w:val="22"/>
              </w:rPr>
            </w:pPr>
            <w:r w:rsidRPr="00A847B7">
              <w:rPr>
                <w:b/>
                <w:bCs/>
                <w:color w:val="FFFFFF" w:themeColor="background1"/>
                <w:sz w:val="22"/>
                <w:szCs w:val="22"/>
              </w:rPr>
              <w:t>Type de véhicule (nature du barème)</w:t>
            </w:r>
          </w:p>
        </w:tc>
        <w:tc>
          <w:tcPr>
            <w:tcW w:w="3021" w:type="dxa"/>
            <w:shd w:val="clear" w:color="auto" w:fill="297FD5" w:themeFill="accent3"/>
          </w:tcPr>
          <w:p w14:paraId="54FA6FB0" w14:textId="6B95533D" w:rsidR="00C03489" w:rsidRPr="00A847B7" w:rsidRDefault="00C03489" w:rsidP="00CD2552">
            <w:pPr>
              <w:spacing w:beforeAutospacing="1" w:after="100" w:afterAutospacing="1"/>
              <w:jc w:val="center"/>
              <w:rPr>
                <w:b/>
                <w:bCs/>
                <w:color w:val="FFFFFF" w:themeColor="background1"/>
                <w:sz w:val="22"/>
                <w:szCs w:val="22"/>
              </w:rPr>
            </w:pPr>
            <w:r w:rsidRPr="00A847B7">
              <w:rPr>
                <w:b/>
                <w:bCs/>
                <w:color w:val="FFFFFF" w:themeColor="background1"/>
                <w:sz w:val="22"/>
                <w:szCs w:val="22"/>
              </w:rPr>
              <w:t>Date de 1</w:t>
            </w:r>
            <w:r w:rsidRPr="00A847B7">
              <w:rPr>
                <w:b/>
                <w:bCs/>
                <w:color w:val="FFFFFF" w:themeColor="background1"/>
                <w:sz w:val="22"/>
                <w:szCs w:val="22"/>
                <w:vertAlign w:val="superscript"/>
              </w:rPr>
              <w:t>ère</w:t>
            </w:r>
            <w:r w:rsidRPr="00A847B7">
              <w:rPr>
                <w:b/>
                <w:bCs/>
                <w:color w:val="FFFFFF" w:themeColor="background1"/>
                <w:sz w:val="22"/>
                <w:szCs w:val="22"/>
              </w:rPr>
              <w:t xml:space="preserve"> immatriculation</w:t>
            </w:r>
          </w:p>
        </w:tc>
        <w:tc>
          <w:tcPr>
            <w:tcW w:w="3021" w:type="dxa"/>
            <w:shd w:val="clear" w:color="auto" w:fill="297FD5" w:themeFill="accent3"/>
          </w:tcPr>
          <w:p w14:paraId="269B88BB" w14:textId="5B474F67" w:rsidR="00C03489" w:rsidRPr="00A847B7" w:rsidRDefault="00C03489" w:rsidP="00CD2552">
            <w:pPr>
              <w:spacing w:beforeAutospacing="1" w:after="100" w:afterAutospacing="1"/>
              <w:jc w:val="center"/>
              <w:rPr>
                <w:b/>
                <w:bCs/>
                <w:color w:val="FFFFFF" w:themeColor="background1"/>
                <w:sz w:val="22"/>
                <w:szCs w:val="22"/>
              </w:rPr>
            </w:pPr>
            <w:r w:rsidRPr="00A847B7">
              <w:rPr>
                <w:b/>
                <w:bCs/>
                <w:color w:val="FFFFFF" w:themeColor="background1"/>
                <w:sz w:val="22"/>
                <w:szCs w:val="22"/>
              </w:rPr>
              <w:t>Barème applicable</w:t>
            </w:r>
          </w:p>
        </w:tc>
      </w:tr>
      <w:tr w:rsidR="00BB1F3F" w:rsidRPr="00A847B7" w14:paraId="476F504A" w14:textId="77777777" w:rsidTr="00C03489">
        <w:tc>
          <w:tcPr>
            <w:tcW w:w="3020" w:type="dxa"/>
            <w:vMerge w:val="restart"/>
          </w:tcPr>
          <w:p w14:paraId="62DC58C9" w14:textId="77777777" w:rsidR="00BB1F3F" w:rsidRPr="00A847B7" w:rsidRDefault="00BB1F3F" w:rsidP="005E020B">
            <w:pPr>
              <w:spacing w:beforeAutospacing="1" w:after="100" w:afterAutospacing="1"/>
              <w:jc w:val="center"/>
            </w:pPr>
            <w:r w:rsidRPr="00A847B7">
              <w:t>Véhicules relevant du nouveau dispositif d’immatriculation</w:t>
            </w:r>
          </w:p>
          <w:p w14:paraId="2583AA07" w14:textId="3A470B16" w:rsidR="00BB1F3F" w:rsidRPr="00A847B7" w:rsidRDefault="00BB1F3F" w:rsidP="005E020B">
            <w:pPr>
              <w:spacing w:beforeAutospacing="1" w:after="100" w:afterAutospacing="1"/>
              <w:jc w:val="center"/>
            </w:pPr>
            <w:r w:rsidRPr="00A847B7">
              <w:t>(barème CO2 – WLTP)</w:t>
            </w:r>
          </w:p>
        </w:tc>
        <w:tc>
          <w:tcPr>
            <w:tcW w:w="3021" w:type="dxa"/>
          </w:tcPr>
          <w:p w14:paraId="471E888A" w14:textId="44DBC257" w:rsidR="00BB1F3F" w:rsidRPr="00A847B7" w:rsidRDefault="005E020B" w:rsidP="005E020B">
            <w:pPr>
              <w:spacing w:beforeAutospacing="1" w:after="100" w:afterAutospacing="1"/>
              <w:jc w:val="center"/>
            </w:pPr>
            <w:r w:rsidRPr="00A847B7">
              <w:t>à compter du 1</w:t>
            </w:r>
            <w:r w:rsidRPr="00A847B7">
              <w:rPr>
                <w:vertAlign w:val="superscript"/>
              </w:rPr>
              <w:t>er</w:t>
            </w:r>
            <w:r w:rsidRPr="00A847B7">
              <w:t xml:space="preserve"> janvier 2021</w:t>
            </w:r>
          </w:p>
        </w:tc>
        <w:tc>
          <w:tcPr>
            <w:tcW w:w="3021" w:type="dxa"/>
            <w:gridSpan w:val="2"/>
          </w:tcPr>
          <w:p w14:paraId="7968E03C" w14:textId="0669EDED" w:rsidR="00BB1F3F" w:rsidRPr="00A847B7" w:rsidRDefault="004B161B" w:rsidP="005E020B">
            <w:pPr>
              <w:spacing w:beforeAutospacing="1" w:after="100" w:afterAutospacing="1"/>
              <w:jc w:val="center"/>
            </w:pPr>
            <w:r w:rsidRPr="00A847B7">
              <w:t>B</w:t>
            </w:r>
            <w:r w:rsidR="008C3FCA" w:rsidRPr="00A847B7">
              <w:t>arème des émissions de dioxyde de carbone du malu</w:t>
            </w:r>
            <w:r w:rsidR="001727A8" w:rsidRPr="00A847B7">
              <w:t>s, dans sa rédaction en vigueur à la date de 1</w:t>
            </w:r>
            <w:r w:rsidR="001727A8" w:rsidRPr="00A847B7">
              <w:rPr>
                <w:vertAlign w:val="superscript"/>
              </w:rPr>
              <w:t>ère</w:t>
            </w:r>
            <w:r w:rsidR="001727A8" w:rsidRPr="00A847B7">
              <w:t xml:space="preserve"> immatriculation</w:t>
            </w:r>
          </w:p>
        </w:tc>
      </w:tr>
      <w:tr w:rsidR="00BB1F3F" w:rsidRPr="00A847B7" w14:paraId="4418183F" w14:textId="77777777" w:rsidTr="00C03489">
        <w:tc>
          <w:tcPr>
            <w:tcW w:w="3020" w:type="dxa"/>
            <w:vMerge/>
          </w:tcPr>
          <w:p w14:paraId="1467EF57" w14:textId="368C58C2" w:rsidR="00BB1F3F" w:rsidRPr="00A847B7" w:rsidRDefault="00BB1F3F" w:rsidP="005E020B">
            <w:pPr>
              <w:spacing w:beforeAutospacing="1" w:after="100" w:afterAutospacing="1"/>
              <w:jc w:val="center"/>
            </w:pPr>
          </w:p>
        </w:tc>
        <w:tc>
          <w:tcPr>
            <w:tcW w:w="3021" w:type="dxa"/>
          </w:tcPr>
          <w:p w14:paraId="7255A8E1" w14:textId="3AF627D9" w:rsidR="00BB1F3F" w:rsidRPr="00A847B7" w:rsidRDefault="005E020B" w:rsidP="005E020B">
            <w:pPr>
              <w:spacing w:beforeAutospacing="1" w:after="100" w:afterAutospacing="1"/>
              <w:jc w:val="center"/>
            </w:pPr>
            <w:r w:rsidRPr="00A847B7">
              <w:t>jusqu’au 31 décembre 2020</w:t>
            </w:r>
          </w:p>
        </w:tc>
        <w:tc>
          <w:tcPr>
            <w:tcW w:w="3021" w:type="dxa"/>
            <w:gridSpan w:val="2"/>
          </w:tcPr>
          <w:p w14:paraId="5B3CBC7E" w14:textId="0C34652E" w:rsidR="00BB1F3F" w:rsidRPr="00A847B7" w:rsidRDefault="004B161B" w:rsidP="005E020B">
            <w:pPr>
              <w:spacing w:beforeAutospacing="1" w:after="100" w:afterAutospacing="1"/>
              <w:jc w:val="center"/>
            </w:pPr>
            <w:r w:rsidRPr="00A847B7">
              <w:t xml:space="preserve">Barème du malus auto </w:t>
            </w:r>
            <w:r w:rsidR="00DA07DA" w:rsidRPr="00A847B7">
              <w:t>(taxe sur les certificats d’immatriculation des véhicules) dans sa rédaction en vigueur au 1</w:t>
            </w:r>
            <w:r w:rsidR="00DA07DA" w:rsidRPr="00A847B7">
              <w:rPr>
                <w:vertAlign w:val="superscript"/>
              </w:rPr>
              <w:t>er</w:t>
            </w:r>
            <w:r w:rsidR="00DA07DA" w:rsidRPr="00A847B7">
              <w:t xml:space="preserve"> mars 2020</w:t>
            </w:r>
          </w:p>
        </w:tc>
      </w:tr>
      <w:tr w:rsidR="00BB1F3F" w:rsidRPr="00A847B7" w14:paraId="1CA054AA" w14:textId="77777777" w:rsidTr="00C03489">
        <w:tc>
          <w:tcPr>
            <w:tcW w:w="3020" w:type="dxa"/>
            <w:vMerge w:val="restart"/>
          </w:tcPr>
          <w:p w14:paraId="4135D6E8" w14:textId="77777777" w:rsidR="00BB1F3F" w:rsidRPr="00A847B7" w:rsidRDefault="00BB1F3F" w:rsidP="005E020B">
            <w:pPr>
              <w:spacing w:beforeAutospacing="1" w:after="100" w:afterAutospacing="1"/>
              <w:jc w:val="center"/>
            </w:pPr>
            <w:r w:rsidRPr="00A847B7">
              <w:t>Véhicules réceptionnés UE et ne relevant pas du nouveau dispositif d’immatriculation</w:t>
            </w:r>
          </w:p>
          <w:p w14:paraId="6B6706FF" w14:textId="49824BB6" w:rsidR="00BB1F3F" w:rsidRPr="00A847B7" w:rsidRDefault="00BB1F3F" w:rsidP="005E020B">
            <w:pPr>
              <w:spacing w:beforeAutospacing="1" w:after="100" w:afterAutospacing="1"/>
              <w:jc w:val="center"/>
            </w:pPr>
            <w:r w:rsidRPr="00A847B7">
              <w:t>(barème CO2 – NEDC)</w:t>
            </w:r>
          </w:p>
        </w:tc>
        <w:tc>
          <w:tcPr>
            <w:tcW w:w="3021" w:type="dxa"/>
          </w:tcPr>
          <w:p w14:paraId="6A8443DE" w14:textId="21A437F2" w:rsidR="00BB1F3F" w:rsidRPr="00A847B7" w:rsidRDefault="004C2FC8" w:rsidP="005E020B">
            <w:pPr>
              <w:spacing w:beforeAutospacing="1" w:after="100" w:afterAutospacing="1"/>
              <w:jc w:val="center"/>
            </w:pPr>
            <w:r w:rsidRPr="00A847B7">
              <w:t>à compter du 1</w:t>
            </w:r>
            <w:r w:rsidRPr="00A847B7">
              <w:rPr>
                <w:vertAlign w:val="superscript"/>
              </w:rPr>
              <w:t>er</w:t>
            </w:r>
            <w:r w:rsidRPr="00A847B7">
              <w:t xml:space="preserve"> janvier 2020</w:t>
            </w:r>
          </w:p>
        </w:tc>
        <w:tc>
          <w:tcPr>
            <w:tcW w:w="3021" w:type="dxa"/>
            <w:gridSpan w:val="2"/>
          </w:tcPr>
          <w:p w14:paraId="6F2C96C1" w14:textId="333817B0" w:rsidR="00BB1F3F" w:rsidRPr="00A847B7" w:rsidRDefault="00DA07DA" w:rsidP="005E020B">
            <w:pPr>
              <w:spacing w:beforeAutospacing="1" w:after="100" w:afterAutospacing="1"/>
              <w:jc w:val="center"/>
            </w:pPr>
            <w:r w:rsidRPr="00A847B7">
              <w:t>Barème du malus auto (taxe sur les certificats d’immatriculation des véhicules) dans sa rédaction en vigueur au 1</w:t>
            </w:r>
            <w:r w:rsidRPr="00A847B7">
              <w:rPr>
                <w:vertAlign w:val="superscript"/>
              </w:rPr>
              <w:t>er</w:t>
            </w:r>
            <w:r w:rsidRPr="00A847B7">
              <w:t xml:space="preserve"> janvier 2020</w:t>
            </w:r>
          </w:p>
        </w:tc>
      </w:tr>
      <w:tr w:rsidR="00BB1F3F" w:rsidRPr="00A847B7" w14:paraId="1FB73098" w14:textId="77777777" w:rsidTr="00C03489">
        <w:tc>
          <w:tcPr>
            <w:tcW w:w="3020" w:type="dxa"/>
            <w:vMerge/>
          </w:tcPr>
          <w:p w14:paraId="4DDCBC9F" w14:textId="77777777" w:rsidR="00BB1F3F" w:rsidRPr="00A847B7" w:rsidRDefault="00BB1F3F" w:rsidP="005E020B">
            <w:pPr>
              <w:spacing w:beforeAutospacing="1" w:after="100" w:afterAutospacing="1"/>
              <w:jc w:val="center"/>
            </w:pPr>
          </w:p>
        </w:tc>
        <w:tc>
          <w:tcPr>
            <w:tcW w:w="3021" w:type="dxa"/>
          </w:tcPr>
          <w:p w14:paraId="283D08D0" w14:textId="28972924" w:rsidR="00BB1F3F" w:rsidRPr="00A847B7" w:rsidRDefault="004C2FC8" w:rsidP="005E020B">
            <w:pPr>
              <w:spacing w:beforeAutospacing="1" w:after="100" w:afterAutospacing="1"/>
              <w:jc w:val="center"/>
            </w:pPr>
            <w:r w:rsidRPr="00A847B7">
              <w:t>jusqu’au 31 décembre 2019</w:t>
            </w:r>
          </w:p>
        </w:tc>
        <w:tc>
          <w:tcPr>
            <w:tcW w:w="3021" w:type="dxa"/>
            <w:gridSpan w:val="2"/>
          </w:tcPr>
          <w:p w14:paraId="4887E05D" w14:textId="754E4790" w:rsidR="00BB1F3F" w:rsidRPr="00A847B7" w:rsidRDefault="00DA07DA" w:rsidP="005E020B">
            <w:pPr>
              <w:spacing w:beforeAutospacing="1" w:after="100" w:afterAutospacing="1"/>
              <w:jc w:val="center"/>
            </w:pPr>
            <w:r w:rsidRPr="00A847B7">
              <w:t xml:space="preserve">Barème du malus auto (taxe sur les certificats d’immatriculation des véhicules) dans sa rédaction en vigueur </w:t>
            </w:r>
            <w:r w:rsidR="009F327C" w:rsidRPr="00A847B7">
              <w:t>à la date de 1</w:t>
            </w:r>
            <w:r w:rsidR="009F327C" w:rsidRPr="00A847B7">
              <w:rPr>
                <w:vertAlign w:val="superscript"/>
              </w:rPr>
              <w:t>ère</w:t>
            </w:r>
            <w:r w:rsidR="009F327C" w:rsidRPr="00A847B7">
              <w:t xml:space="preserve"> immatriculation du véhicule</w:t>
            </w:r>
          </w:p>
        </w:tc>
      </w:tr>
      <w:tr w:rsidR="00BB1F3F" w:rsidRPr="00A847B7" w14:paraId="230AE7A4" w14:textId="77777777" w:rsidTr="00C03489">
        <w:tc>
          <w:tcPr>
            <w:tcW w:w="3020" w:type="dxa"/>
            <w:vMerge w:val="restart"/>
          </w:tcPr>
          <w:p w14:paraId="1768974D" w14:textId="77777777" w:rsidR="00820752" w:rsidRPr="00A847B7" w:rsidRDefault="00820752" w:rsidP="005E020B">
            <w:pPr>
              <w:spacing w:beforeAutospacing="1" w:after="100" w:afterAutospacing="1"/>
              <w:jc w:val="center"/>
            </w:pPr>
            <w:r w:rsidRPr="00A847B7">
              <w:t>Véhicules non réceptionnés UE et ne relevant pas du nouveau dispositif d’immatriculation</w:t>
            </w:r>
          </w:p>
          <w:p w14:paraId="51D004C5" w14:textId="2281348C" w:rsidR="00BB1F3F" w:rsidRPr="00A847B7" w:rsidRDefault="00820752" w:rsidP="005E020B">
            <w:pPr>
              <w:spacing w:beforeAutospacing="1" w:after="100" w:afterAutospacing="1"/>
              <w:jc w:val="center"/>
            </w:pPr>
            <w:r w:rsidRPr="00A847B7">
              <w:t>(barème en puissance administrative)</w:t>
            </w:r>
          </w:p>
        </w:tc>
        <w:tc>
          <w:tcPr>
            <w:tcW w:w="3021" w:type="dxa"/>
          </w:tcPr>
          <w:p w14:paraId="3453D355" w14:textId="0F5B0E01" w:rsidR="00BB1F3F" w:rsidRPr="00A847B7" w:rsidRDefault="004C2FC8" w:rsidP="005E020B">
            <w:pPr>
              <w:spacing w:beforeAutospacing="1" w:after="100" w:afterAutospacing="1"/>
              <w:jc w:val="center"/>
            </w:pPr>
            <w:r w:rsidRPr="00A847B7">
              <w:t>à compter du 1</w:t>
            </w:r>
            <w:r w:rsidRPr="00A847B7">
              <w:rPr>
                <w:vertAlign w:val="superscript"/>
              </w:rPr>
              <w:t>er</w:t>
            </w:r>
            <w:r w:rsidRPr="00A847B7">
              <w:t xml:space="preserve"> janvier 2021</w:t>
            </w:r>
          </w:p>
        </w:tc>
        <w:tc>
          <w:tcPr>
            <w:tcW w:w="3021" w:type="dxa"/>
            <w:gridSpan w:val="2"/>
          </w:tcPr>
          <w:p w14:paraId="0EDF2E96" w14:textId="021385FE" w:rsidR="00BB1F3F" w:rsidRPr="00A847B7" w:rsidRDefault="009F327C" w:rsidP="005E020B">
            <w:pPr>
              <w:spacing w:beforeAutospacing="1" w:after="100" w:afterAutospacing="1"/>
              <w:jc w:val="center"/>
            </w:pPr>
            <w:r w:rsidRPr="00A847B7">
              <w:t>Barème des puissances fiscales du malus</w:t>
            </w:r>
            <w:r w:rsidR="001F743B" w:rsidRPr="00A847B7">
              <w:t>, dans sa rédaction en vigueur à la date de 1</w:t>
            </w:r>
            <w:r w:rsidR="001F743B" w:rsidRPr="00A847B7">
              <w:rPr>
                <w:vertAlign w:val="superscript"/>
              </w:rPr>
              <w:t>ère</w:t>
            </w:r>
            <w:r w:rsidR="001F743B" w:rsidRPr="00A847B7">
              <w:t xml:space="preserve"> immatriculation du véhicule</w:t>
            </w:r>
          </w:p>
        </w:tc>
      </w:tr>
      <w:tr w:rsidR="00636269" w:rsidRPr="00A847B7" w14:paraId="1DC02D11" w14:textId="77777777" w:rsidTr="00C03489">
        <w:tc>
          <w:tcPr>
            <w:tcW w:w="3020" w:type="dxa"/>
            <w:vMerge/>
          </w:tcPr>
          <w:p w14:paraId="74654C6D" w14:textId="77777777" w:rsidR="00636269" w:rsidRPr="00A847B7" w:rsidRDefault="00636269" w:rsidP="00636269">
            <w:pPr>
              <w:spacing w:beforeAutospacing="1" w:after="100" w:afterAutospacing="1"/>
              <w:jc w:val="center"/>
            </w:pPr>
          </w:p>
        </w:tc>
        <w:tc>
          <w:tcPr>
            <w:tcW w:w="3021" w:type="dxa"/>
          </w:tcPr>
          <w:p w14:paraId="6D31E73C" w14:textId="15625C14" w:rsidR="00636269" w:rsidRPr="00A847B7" w:rsidRDefault="00636269" w:rsidP="00636269">
            <w:pPr>
              <w:spacing w:beforeAutospacing="1" w:after="100" w:afterAutospacing="1"/>
              <w:jc w:val="center"/>
            </w:pPr>
            <w:r w:rsidRPr="00A847B7">
              <w:t>jusqu’au 31 décembre 2020</w:t>
            </w:r>
          </w:p>
        </w:tc>
        <w:tc>
          <w:tcPr>
            <w:tcW w:w="3021" w:type="dxa"/>
            <w:gridSpan w:val="2"/>
          </w:tcPr>
          <w:p w14:paraId="2E80C988" w14:textId="748C5E07" w:rsidR="00636269" w:rsidRPr="00A847B7" w:rsidRDefault="00636269" w:rsidP="00636269">
            <w:pPr>
              <w:spacing w:beforeAutospacing="1" w:after="100" w:afterAutospacing="1"/>
              <w:jc w:val="center"/>
            </w:pPr>
            <w:r w:rsidRPr="00A847B7">
              <w:t xml:space="preserve">Barème du malus auto (taxe sur les certificats d’immatriculation des véhicules) dans sa rédaction </w:t>
            </w:r>
            <w:r w:rsidRPr="00A847B7">
              <w:lastRenderedPageBreak/>
              <w:t>en vigueur à la date de 1</w:t>
            </w:r>
            <w:r w:rsidRPr="00A847B7">
              <w:rPr>
                <w:vertAlign w:val="superscript"/>
              </w:rPr>
              <w:t>ère</w:t>
            </w:r>
            <w:r w:rsidRPr="00A847B7">
              <w:t xml:space="preserve"> immatriculation du véhicule</w:t>
            </w:r>
          </w:p>
        </w:tc>
      </w:tr>
    </w:tbl>
    <w:p w14:paraId="247B9922" w14:textId="35DA89D1" w:rsidR="00983BDD" w:rsidRPr="00A847B7" w:rsidRDefault="005277BD" w:rsidP="004E63A5">
      <w:pPr>
        <w:spacing w:beforeAutospacing="1" w:after="100" w:afterAutospacing="1"/>
      </w:pPr>
      <w:r w:rsidRPr="00A847B7">
        <w:rPr>
          <w:rFonts w:cstheme="minorHAnsi"/>
        </w:rPr>
        <w:lastRenderedPageBreak/>
        <w:t>Lorsque le véhicule a fait l'objet, au moins 6 mois avant l'application du malus, d'une immatriculation,</w:t>
      </w:r>
      <w:r w:rsidR="007C1166" w:rsidRPr="00A847B7">
        <w:rPr>
          <w:rFonts w:cstheme="minorHAnsi"/>
        </w:rPr>
        <w:t xml:space="preserve"> le montant résultant du barème appliqué fait l’objet d’</w:t>
      </w:r>
      <w:r w:rsidRPr="00A847B7">
        <w:rPr>
          <w:rFonts w:cstheme="minorHAnsi"/>
        </w:rPr>
        <w:t xml:space="preserve">une réfaction </w:t>
      </w:r>
      <w:r w:rsidR="00C7464C">
        <w:rPr>
          <w:rFonts w:cstheme="minorHAnsi"/>
        </w:rPr>
        <w:t xml:space="preserve">de </w:t>
      </w:r>
      <w:r w:rsidRPr="00A847B7">
        <w:rPr>
          <w:rFonts w:cstheme="minorHAnsi"/>
        </w:rPr>
        <w:t>1/10 pour chaque période de 12 mois entamée depuis la date à laquelle le véhicule a été immatriculé pour la première fois</w:t>
      </w:r>
      <w:r w:rsidR="007C1166" w:rsidRPr="00A847B7">
        <w:rPr>
          <w:rFonts w:cstheme="minorHAnsi"/>
        </w:rPr>
        <w:t>.</w:t>
      </w:r>
    </w:p>
    <w:p w14:paraId="68A44709" w14:textId="659D919D" w:rsidR="00956262" w:rsidRPr="00A847B7" w:rsidRDefault="00C73953" w:rsidP="00956262">
      <w:pPr>
        <w:spacing w:beforeAutospacing="1" w:after="100" w:afterAutospacing="1"/>
        <w:rPr>
          <w:rFonts w:cstheme="minorHAnsi"/>
        </w:rPr>
      </w:pPr>
      <w:r w:rsidRPr="00A847B7">
        <w:rPr>
          <w:rFonts w:cstheme="minorHAnsi"/>
        </w:rPr>
        <w:t>A compter du 1</w:t>
      </w:r>
      <w:r w:rsidRPr="00A847B7">
        <w:rPr>
          <w:rFonts w:cstheme="minorHAnsi"/>
          <w:vertAlign w:val="superscript"/>
        </w:rPr>
        <w:t>er</w:t>
      </w:r>
      <w:r w:rsidRPr="00A847B7">
        <w:rPr>
          <w:rFonts w:cstheme="minorHAnsi"/>
        </w:rPr>
        <w:t xml:space="preserve"> janvier 2021, </w:t>
      </w:r>
      <w:r w:rsidR="00E131B5" w:rsidRPr="00A847B7">
        <w:rPr>
          <w:rFonts w:cstheme="minorHAnsi"/>
        </w:rPr>
        <w:t>le barème en émissions de dioxyde de carbone du malus est fixé de la manière suivante :</w:t>
      </w:r>
    </w:p>
    <w:p w14:paraId="68E82014" w14:textId="772240D2" w:rsidR="00E131B5" w:rsidRPr="00A847B7" w:rsidRDefault="00E131B5" w:rsidP="00EE0687">
      <w:pPr>
        <w:pStyle w:val="Paragraphedeliste"/>
        <w:numPr>
          <w:ilvl w:val="0"/>
          <w:numId w:val="82"/>
        </w:numPr>
        <w:spacing w:beforeAutospacing="1" w:after="100" w:afterAutospacing="1"/>
        <w:rPr>
          <w:rFonts w:cstheme="minorHAnsi"/>
        </w:rPr>
      </w:pPr>
      <w:r w:rsidRPr="00A847B7">
        <w:rPr>
          <w:rFonts w:cstheme="minorHAnsi"/>
        </w:rPr>
        <w:t xml:space="preserve">lorsque les émissions sont inférieures à </w:t>
      </w:r>
      <w:r w:rsidR="00025C97" w:rsidRPr="00A847B7">
        <w:rPr>
          <w:rFonts w:cstheme="minorHAnsi"/>
        </w:rPr>
        <w:t>133 g/km, le tarif est nul ;</w:t>
      </w:r>
    </w:p>
    <w:p w14:paraId="781DB424" w14:textId="3032DDE2" w:rsidR="00025C97" w:rsidRPr="00A847B7" w:rsidRDefault="00025C97" w:rsidP="00EE0687">
      <w:pPr>
        <w:pStyle w:val="Paragraphedeliste"/>
        <w:numPr>
          <w:ilvl w:val="0"/>
          <w:numId w:val="82"/>
        </w:numPr>
        <w:spacing w:beforeAutospacing="1" w:after="100" w:afterAutospacing="1"/>
        <w:rPr>
          <w:rFonts w:cstheme="minorHAnsi"/>
        </w:rPr>
      </w:pPr>
      <w:r w:rsidRPr="00A847B7">
        <w:rPr>
          <w:rFonts w:cstheme="minorHAnsi"/>
        </w:rPr>
        <w:t xml:space="preserve">lorsque les émissions sont supérieures ou égales à 133 g/km et inférieures ou égales à </w:t>
      </w:r>
      <w:r w:rsidR="00F42F80" w:rsidRPr="00A847B7">
        <w:rPr>
          <w:rFonts w:cstheme="minorHAnsi"/>
        </w:rPr>
        <w:t>2</w:t>
      </w:r>
      <w:r w:rsidR="00F42F80">
        <w:rPr>
          <w:rFonts w:cstheme="minorHAnsi"/>
        </w:rPr>
        <w:t>18</w:t>
      </w:r>
      <w:r w:rsidRPr="00A847B7">
        <w:rPr>
          <w:rFonts w:cstheme="minorHAnsi"/>
        </w:rPr>
        <w:t xml:space="preserve"> </w:t>
      </w:r>
      <w:r w:rsidR="001A39E7" w:rsidRPr="00A847B7">
        <w:rPr>
          <w:rFonts w:cstheme="minorHAnsi"/>
        </w:rPr>
        <w:t xml:space="preserve">g/km, le barème est le suivant : </w:t>
      </w:r>
    </w:p>
    <w:tbl>
      <w:tblPr>
        <w:tblW w:w="0" w:type="auto"/>
        <w:tblInd w:w="1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5"/>
        <w:gridCol w:w="2795"/>
      </w:tblGrid>
      <w:tr w:rsidR="001A39E7" w:rsidRPr="00A847B7" w14:paraId="6095F2A0" w14:textId="77777777" w:rsidTr="003F69A4">
        <w:trPr>
          <w:trHeight w:val="242"/>
        </w:trPr>
        <w:tc>
          <w:tcPr>
            <w:tcW w:w="2795" w:type="dxa"/>
            <w:shd w:val="clear" w:color="auto" w:fill="297FD5" w:themeFill="accent3"/>
          </w:tcPr>
          <w:p w14:paraId="00FD2BD5" w14:textId="403CF402" w:rsidR="001A39E7" w:rsidRPr="00A847B7" w:rsidRDefault="001A39E7" w:rsidP="003F69A4">
            <w:pPr>
              <w:spacing w:beforeAutospacing="1" w:after="100" w:afterAutospacing="1"/>
              <w:jc w:val="center"/>
              <w:rPr>
                <w:rFonts w:cstheme="minorHAnsi"/>
                <w:b/>
                <w:bCs/>
                <w:color w:val="FFFFFF" w:themeColor="background1"/>
                <w:sz w:val="22"/>
                <w:szCs w:val="22"/>
              </w:rPr>
            </w:pPr>
            <w:r w:rsidRPr="00A847B7">
              <w:rPr>
                <w:rFonts w:cstheme="minorHAnsi"/>
                <w:b/>
                <w:bCs/>
                <w:color w:val="FFFFFF" w:themeColor="background1"/>
                <w:sz w:val="22"/>
                <w:szCs w:val="22"/>
              </w:rPr>
              <w:t>Émissions de dioxyde de carbone (en grammes par kilomètre)</w:t>
            </w:r>
          </w:p>
        </w:tc>
        <w:tc>
          <w:tcPr>
            <w:tcW w:w="2795" w:type="dxa"/>
            <w:shd w:val="clear" w:color="auto" w:fill="297FD5" w:themeFill="accent3"/>
          </w:tcPr>
          <w:p w14:paraId="0B874CB2" w14:textId="7D69CB29" w:rsidR="001A39E7" w:rsidRPr="00A847B7" w:rsidRDefault="001A39E7" w:rsidP="003F69A4">
            <w:pPr>
              <w:spacing w:beforeAutospacing="1" w:after="100" w:afterAutospacing="1"/>
              <w:jc w:val="center"/>
              <w:rPr>
                <w:rFonts w:cstheme="minorHAnsi"/>
                <w:b/>
                <w:bCs/>
                <w:color w:val="FFFFFF" w:themeColor="background1"/>
                <w:sz w:val="22"/>
                <w:szCs w:val="22"/>
              </w:rPr>
            </w:pPr>
            <w:r w:rsidRPr="00A847B7">
              <w:rPr>
                <w:rFonts w:cstheme="minorHAnsi"/>
                <w:b/>
                <w:bCs/>
                <w:color w:val="FFFFFF" w:themeColor="background1"/>
                <w:sz w:val="22"/>
                <w:szCs w:val="22"/>
              </w:rPr>
              <w:t>Tarif par véhicule (en euros)</w:t>
            </w:r>
          </w:p>
        </w:tc>
      </w:tr>
      <w:tr w:rsidR="001A39E7" w:rsidRPr="00A847B7" w14:paraId="64216CDA" w14:textId="77777777" w:rsidTr="003F69A4">
        <w:trPr>
          <w:trHeight w:val="109"/>
        </w:trPr>
        <w:tc>
          <w:tcPr>
            <w:tcW w:w="2795" w:type="dxa"/>
          </w:tcPr>
          <w:p w14:paraId="7389BEAC" w14:textId="77777777" w:rsidR="001A39E7" w:rsidRPr="00A847B7" w:rsidRDefault="001A39E7" w:rsidP="003F69A4">
            <w:pPr>
              <w:spacing w:beforeAutospacing="1" w:after="100" w:afterAutospacing="1"/>
              <w:rPr>
                <w:rFonts w:cstheme="minorHAnsi"/>
              </w:rPr>
            </w:pPr>
            <w:r w:rsidRPr="00A847B7">
              <w:rPr>
                <w:rFonts w:cstheme="minorHAnsi"/>
              </w:rPr>
              <w:t xml:space="preserve">133 </w:t>
            </w:r>
          </w:p>
        </w:tc>
        <w:tc>
          <w:tcPr>
            <w:tcW w:w="2795" w:type="dxa"/>
          </w:tcPr>
          <w:p w14:paraId="0664CD37" w14:textId="77777777" w:rsidR="001A39E7" w:rsidRPr="00A847B7" w:rsidRDefault="001A39E7" w:rsidP="003F69A4">
            <w:pPr>
              <w:spacing w:beforeAutospacing="1" w:after="100" w:afterAutospacing="1"/>
              <w:rPr>
                <w:rFonts w:cstheme="minorHAnsi"/>
              </w:rPr>
            </w:pPr>
            <w:r w:rsidRPr="00A847B7">
              <w:rPr>
                <w:rFonts w:cstheme="minorHAnsi"/>
              </w:rPr>
              <w:t xml:space="preserve">50 </w:t>
            </w:r>
          </w:p>
        </w:tc>
      </w:tr>
      <w:tr w:rsidR="001A39E7" w:rsidRPr="00A847B7" w14:paraId="09F8BE74" w14:textId="77777777" w:rsidTr="003F69A4">
        <w:trPr>
          <w:trHeight w:val="109"/>
        </w:trPr>
        <w:tc>
          <w:tcPr>
            <w:tcW w:w="2795" w:type="dxa"/>
          </w:tcPr>
          <w:p w14:paraId="7159D809" w14:textId="77777777" w:rsidR="001A39E7" w:rsidRPr="00A847B7" w:rsidRDefault="001A39E7" w:rsidP="003F69A4">
            <w:pPr>
              <w:spacing w:beforeAutospacing="1" w:after="100" w:afterAutospacing="1"/>
              <w:rPr>
                <w:rFonts w:cstheme="minorHAnsi"/>
              </w:rPr>
            </w:pPr>
            <w:r w:rsidRPr="00A847B7">
              <w:rPr>
                <w:rFonts w:cstheme="minorHAnsi"/>
              </w:rPr>
              <w:t xml:space="preserve">134 </w:t>
            </w:r>
          </w:p>
        </w:tc>
        <w:tc>
          <w:tcPr>
            <w:tcW w:w="2795" w:type="dxa"/>
          </w:tcPr>
          <w:p w14:paraId="1EC1C03E" w14:textId="77777777" w:rsidR="001A39E7" w:rsidRPr="00A847B7" w:rsidRDefault="001A39E7" w:rsidP="003F69A4">
            <w:pPr>
              <w:spacing w:beforeAutospacing="1" w:after="100" w:afterAutospacing="1"/>
              <w:rPr>
                <w:rFonts w:cstheme="minorHAnsi"/>
              </w:rPr>
            </w:pPr>
            <w:r w:rsidRPr="00A847B7">
              <w:rPr>
                <w:rFonts w:cstheme="minorHAnsi"/>
              </w:rPr>
              <w:t xml:space="preserve">75 </w:t>
            </w:r>
          </w:p>
        </w:tc>
      </w:tr>
      <w:tr w:rsidR="001A39E7" w:rsidRPr="00A847B7" w14:paraId="0A42D2D2" w14:textId="77777777" w:rsidTr="003F69A4">
        <w:trPr>
          <w:trHeight w:val="109"/>
        </w:trPr>
        <w:tc>
          <w:tcPr>
            <w:tcW w:w="2795" w:type="dxa"/>
          </w:tcPr>
          <w:p w14:paraId="26AF16E6" w14:textId="77777777" w:rsidR="001A39E7" w:rsidRPr="00A847B7" w:rsidRDefault="001A39E7" w:rsidP="003F69A4">
            <w:pPr>
              <w:spacing w:beforeAutospacing="1" w:after="100" w:afterAutospacing="1"/>
              <w:rPr>
                <w:rFonts w:cstheme="minorHAnsi"/>
              </w:rPr>
            </w:pPr>
            <w:r w:rsidRPr="00A847B7">
              <w:rPr>
                <w:rFonts w:cstheme="minorHAnsi"/>
              </w:rPr>
              <w:t xml:space="preserve">135 </w:t>
            </w:r>
          </w:p>
        </w:tc>
        <w:tc>
          <w:tcPr>
            <w:tcW w:w="2795" w:type="dxa"/>
          </w:tcPr>
          <w:p w14:paraId="260E3638" w14:textId="77777777" w:rsidR="001A39E7" w:rsidRPr="00A847B7" w:rsidRDefault="001A39E7" w:rsidP="003F69A4">
            <w:pPr>
              <w:spacing w:beforeAutospacing="1" w:after="100" w:afterAutospacing="1"/>
              <w:rPr>
                <w:rFonts w:cstheme="minorHAnsi"/>
              </w:rPr>
            </w:pPr>
            <w:r w:rsidRPr="00A847B7">
              <w:rPr>
                <w:rFonts w:cstheme="minorHAnsi"/>
              </w:rPr>
              <w:t xml:space="preserve">100 </w:t>
            </w:r>
          </w:p>
        </w:tc>
      </w:tr>
      <w:tr w:rsidR="001A39E7" w:rsidRPr="00A847B7" w14:paraId="57FA172C" w14:textId="77777777" w:rsidTr="003F69A4">
        <w:trPr>
          <w:trHeight w:val="109"/>
        </w:trPr>
        <w:tc>
          <w:tcPr>
            <w:tcW w:w="2795" w:type="dxa"/>
          </w:tcPr>
          <w:p w14:paraId="409E78E9" w14:textId="77777777" w:rsidR="001A39E7" w:rsidRPr="00A847B7" w:rsidRDefault="001A39E7" w:rsidP="003F69A4">
            <w:pPr>
              <w:spacing w:beforeAutospacing="1" w:after="100" w:afterAutospacing="1"/>
              <w:rPr>
                <w:rFonts w:cstheme="minorHAnsi"/>
              </w:rPr>
            </w:pPr>
            <w:r w:rsidRPr="00A847B7">
              <w:rPr>
                <w:rFonts w:cstheme="minorHAnsi"/>
              </w:rPr>
              <w:t xml:space="preserve">136 </w:t>
            </w:r>
          </w:p>
        </w:tc>
        <w:tc>
          <w:tcPr>
            <w:tcW w:w="2795" w:type="dxa"/>
          </w:tcPr>
          <w:p w14:paraId="1A916C72" w14:textId="77777777" w:rsidR="001A39E7" w:rsidRPr="00A847B7" w:rsidRDefault="001A39E7" w:rsidP="003F69A4">
            <w:pPr>
              <w:spacing w:beforeAutospacing="1" w:after="100" w:afterAutospacing="1"/>
              <w:rPr>
                <w:rFonts w:cstheme="minorHAnsi"/>
              </w:rPr>
            </w:pPr>
            <w:r w:rsidRPr="00A847B7">
              <w:rPr>
                <w:rFonts w:cstheme="minorHAnsi"/>
              </w:rPr>
              <w:t xml:space="preserve">125 </w:t>
            </w:r>
          </w:p>
        </w:tc>
      </w:tr>
      <w:tr w:rsidR="001A39E7" w:rsidRPr="00A847B7" w14:paraId="3E89E587" w14:textId="77777777" w:rsidTr="003F69A4">
        <w:trPr>
          <w:trHeight w:val="109"/>
        </w:trPr>
        <w:tc>
          <w:tcPr>
            <w:tcW w:w="2795" w:type="dxa"/>
          </w:tcPr>
          <w:p w14:paraId="3057D0F2" w14:textId="77777777" w:rsidR="001A39E7" w:rsidRPr="00A847B7" w:rsidRDefault="001A39E7" w:rsidP="003F69A4">
            <w:pPr>
              <w:spacing w:beforeAutospacing="1" w:after="100" w:afterAutospacing="1"/>
              <w:rPr>
                <w:rFonts w:cstheme="minorHAnsi"/>
              </w:rPr>
            </w:pPr>
            <w:r w:rsidRPr="00A847B7">
              <w:rPr>
                <w:rFonts w:cstheme="minorHAnsi"/>
              </w:rPr>
              <w:t xml:space="preserve">137 </w:t>
            </w:r>
          </w:p>
        </w:tc>
        <w:tc>
          <w:tcPr>
            <w:tcW w:w="2795" w:type="dxa"/>
          </w:tcPr>
          <w:p w14:paraId="33F7A536" w14:textId="77777777" w:rsidR="001A39E7" w:rsidRPr="00A847B7" w:rsidRDefault="001A39E7" w:rsidP="003F69A4">
            <w:pPr>
              <w:spacing w:beforeAutospacing="1" w:after="100" w:afterAutospacing="1"/>
              <w:rPr>
                <w:rFonts w:cstheme="minorHAnsi"/>
              </w:rPr>
            </w:pPr>
            <w:r w:rsidRPr="00A847B7">
              <w:rPr>
                <w:rFonts w:cstheme="minorHAnsi"/>
              </w:rPr>
              <w:t xml:space="preserve">150 </w:t>
            </w:r>
          </w:p>
        </w:tc>
      </w:tr>
      <w:tr w:rsidR="001A39E7" w:rsidRPr="00A847B7" w14:paraId="7171E832" w14:textId="77777777" w:rsidTr="003F69A4">
        <w:trPr>
          <w:trHeight w:val="109"/>
        </w:trPr>
        <w:tc>
          <w:tcPr>
            <w:tcW w:w="2795" w:type="dxa"/>
          </w:tcPr>
          <w:p w14:paraId="4B374EDF" w14:textId="77777777" w:rsidR="001A39E7" w:rsidRPr="00A847B7" w:rsidRDefault="001A39E7" w:rsidP="003F69A4">
            <w:pPr>
              <w:spacing w:beforeAutospacing="1" w:after="100" w:afterAutospacing="1"/>
              <w:rPr>
                <w:rFonts w:cstheme="minorHAnsi"/>
              </w:rPr>
            </w:pPr>
            <w:r w:rsidRPr="00A847B7">
              <w:rPr>
                <w:rFonts w:cstheme="minorHAnsi"/>
              </w:rPr>
              <w:t xml:space="preserve">138 </w:t>
            </w:r>
          </w:p>
        </w:tc>
        <w:tc>
          <w:tcPr>
            <w:tcW w:w="2795" w:type="dxa"/>
          </w:tcPr>
          <w:p w14:paraId="23D9B142" w14:textId="77777777" w:rsidR="001A39E7" w:rsidRPr="00A847B7" w:rsidRDefault="001A39E7" w:rsidP="003F69A4">
            <w:pPr>
              <w:spacing w:beforeAutospacing="1" w:after="100" w:afterAutospacing="1"/>
              <w:rPr>
                <w:rFonts w:cstheme="minorHAnsi"/>
              </w:rPr>
            </w:pPr>
            <w:r w:rsidRPr="00A847B7">
              <w:rPr>
                <w:rFonts w:cstheme="minorHAnsi"/>
              </w:rPr>
              <w:t xml:space="preserve">170 </w:t>
            </w:r>
          </w:p>
        </w:tc>
      </w:tr>
      <w:tr w:rsidR="001A39E7" w:rsidRPr="00A847B7" w14:paraId="6864FC00" w14:textId="77777777" w:rsidTr="003F69A4">
        <w:trPr>
          <w:trHeight w:val="109"/>
        </w:trPr>
        <w:tc>
          <w:tcPr>
            <w:tcW w:w="2795" w:type="dxa"/>
          </w:tcPr>
          <w:p w14:paraId="39E5C159" w14:textId="77777777" w:rsidR="001A39E7" w:rsidRPr="00A847B7" w:rsidRDefault="001A39E7" w:rsidP="003F69A4">
            <w:pPr>
              <w:spacing w:beforeAutospacing="1" w:after="100" w:afterAutospacing="1"/>
              <w:rPr>
                <w:rFonts w:cstheme="minorHAnsi"/>
              </w:rPr>
            </w:pPr>
            <w:r w:rsidRPr="00A847B7">
              <w:rPr>
                <w:rFonts w:cstheme="minorHAnsi"/>
              </w:rPr>
              <w:t xml:space="preserve">139 </w:t>
            </w:r>
          </w:p>
        </w:tc>
        <w:tc>
          <w:tcPr>
            <w:tcW w:w="2795" w:type="dxa"/>
          </w:tcPr>
          <w:p w14:paraId="3E373E7C" w14:textId="77777777" w:rsidR="001A39E7" w:rsidRPr="00A847B7" w:rsidRDefault="001A39E7" w:rsidP="003F69A4">
            <w:pPr>
              <w:spacing w:beforeAutospacing="1" w:after="100" w:afterAutospacing="1"/>
              <w:rPr>
                <w:rFonts w:cstheme="minorHAnsi"/>
              </w:rPr>
            </w:pPr>
            <w:r w:rsidRPr="00A847B7">
              <w:rPr>
                <w:rFonts w:cstheme="minorHAnsi"/>
              </w:rPr>
              <w:t xml:space="preserve">190 </w:t>
            </w:r>
          </w:p>
        </w:tc>
      </w:tr>
      <w:tr w:rsidR="001A39E7" w:rsidRPr="00A847B7" w14:paraId="73E21F4B" w14:textId="77777777" w:rsidTr="003F69A4">
        <w:trPr>
          <w:trHeight w:val="109"/>
        </w:trPr>
        <w:tc>
          <w:tcPr>
            <w:tcW w:w="2795" w:type="dxa"/>
          </w:tcPr>
          <w:p w14:paraId="05248DDB" w14:textId="77777777" w:rsidR="001A39E7" w:rsidRPr="00A847B7" w:rsidRDefault="001A39E7" w:rsidP="003F69A4">
            <w:pPr>
              <w:spacing w:beforeAutospacing="1" w:after="100" w:afterAutospacing="1"/>
              <w:rPr>
                <w:rFonts w:cstheme="minorHAnsi"/>
              </w:rPr>
            </w:pPr>
            <w:r w:rsidRPr="00A847B7">
              <w:rPr>
                <w:rFonts w:cstheme="minorHAnsi"/>
              </w:rPr>
              <w:t xml:space="preserve">140 </w:t>
            </w:r>
          </w:p>
        </w:tc>
        <w:tc>
          <w:tcPr>
            <w:tcW w:w="2795" w:type="dxa"/>
          </w:tcPr>
          <w:p w14:paraId="6662B5B7" w14:textId="77777777" w:rsidR="001A39E7" w:rsidRPr="00A847B7" w:rsidRDefault="001A39E7" w:rsidP="003F69A4">
            <w:pPr>
              <w:spacing w:beforeAutospacing="1" w:after="100" w:afterAutospacing="1"/>
              <w:rPr>
                <w:rFonts w:cstheme="minorHAnsi"/>
              </w:rPr>
            </w:pPr>
            <w:r w:rsidRPr="00A847B7">
              <w:rPr>
                <w:rFonts w:cstheme="minorHAnsi"/>
              </w:rPr>
              <w:t xml:space="preserve">210 </w:t>
            </w:r>
          </w:p>
        </w:tc>
      </w:tr>
      <w:tr w:rsidR="001A39E7" w:rsidRPr="00A847B7" w14:paraId="2F4F70D4" w14:textId="77777777" w:rsidTr="003F69A4">
        <w:trPr>
          <w:trHeight w:val="109"/>
        </w:trPr>
        <w:tc>
          <w:tcPr>
            <w:tcW w:w="2795" w:type="dxa"/>
          </w:tcPr>
          <w:p w14:paraId="44D77D14" w14:textId="77777777" w:rsidR="001A39E7" w:rsidRPr="00A847B7" w:rsidRDefault="001A39E7" w:rsidP="003F69A4">
            <w:pPr>
              <w:spacing w:beforeAutospacing="1" w:after="100" w:afterAutospacing="1"/>
              <w:rPr>
                <w:rFonts w:cstheme="minorHAnsi"/>
              </w:rPr>
            </w:pPr>
            <w:r w:rsidRPr="00A847B7">
              <w:rPr>
                <w:rFonts w:cstheme="minorHAnsi"/>
              </w:rPr>
              <w:t xml:space="preserve">141 </w:t>
            </w:r>
          </w:p>
        </w:tc>
        <w:tc>
          <w:tcPr>
            <w:tcW w:w="2795" w:type="dxa"/>
          </w:tcPr>
          <w:p w14:paraId="19E6336C" w14:textId="77777777" w:rsidR="001A39E7" w:rsidRPr="00A847B7" w:rsidRDefault="001A39E7" w:rsidP="003F69A4">
            <w:pPr>
              <w:spacing w:beforeAutospacing="1" w:after="100" w:afterAutospacing="1"/>
              <w:rPr>
                <w:rFonts w:cstheme="minorHAnsi"/>
              </w:rPr>
            </w:pPr>
            <w:r w:rsidRPr="00A847B7">
              <w:rPr>
                <w:rFonts w:cstheme="minorHAnsi"/>
              </w:rPr>
              <w:t xml:space="preserve">230 </w:t>
            </w:r>
          </w:p>
        </w:tc>
      </w:tr>
      <w:tr w:rsidR="001A39E7" w:rsidRPr="00A847B7" w14:paraId="2FA43F6B" w14:textId="77777777" w:rsidTr="003F69A4">
        <w:trPr>
          <w:trHeight w:val="109"/>
        </w:trPr>
        <w:tc>
          <w:tcPr>
            <w:tcW w:w="2795" w:type="dxa"/>
          </w:tcPr>
          <w:p w14:paraId="15A85082" w14:textId="77777777" w:rsidR="001A39E7" w:rsidRPr="00A847B7" w:rsidRDefault="001A39E7" w:rsidP="003F69A4">
            <w:pPr>
              <w:spacing w:beforeAutospacing="1" w:after="100" w:afterAutospacing="1"/>
              <w:rPr>
                <w:rFonts w:cstheme="minorHAnsi"/>
              </w:rPr>
            </w:pPr>
            <w:r w:rsidRPr="00A847B7">
              <w:rPr>
                <w:rFonts w:cstheme="minorHAnsi"/>
              </w:rPr>
              <w:t xml:space="preserve">142 </w:t>
            </w:r>
          </w:p>
        </w:tc>
        <w:tc>
          <w:tcPr>
            <w:tcW w:w="2795" w:type="dxa"/>
          </w:tcPr>
          <w:p w14:paraId="75253662" w14:textId="77777777" w:rsidR="001A39E7" w:rsidRPr="00A847B7" w:rsidRDefault="001A39E7" w:rsidP="003F69A4">
            <w:pPr>
              <w:spacing w:beforeAutospacing="1" w:after="100" w:afterAutospacing="1"/>
              <w:rPr>
                <w:rFonts w:cstheme="minorHAnsi"/>
              </w:rPr>
            </w:pPr>
            <w:r w:rsidRPr="00A847B7">
              <w:rPr>
                <w:rFonts w:cstheme="minorHAnsi"/>
              </w:rPr>
              <w:t xml:space="preserve">240 </w:t>
            </w:r>
          </w:p>
        </w:tc>
      </w:tr>
      <w:tr w:rsidR="001A39E7" w:rsidRPr="00A847B7" w14:paraId="5EFFF395" w14:textId="77777777" w:rsidTr="003F69A4">
        <w:trPr>
          <w:trHeight w:val="109"/>
        </w:trPr>
        <w:tc>
          <w:tcPr>
            <w:tcW w:w="2795" w:type="dxa"/>
          </w:tcPr>
          <w:p w14:paraId="4B21C26A" w14:textId="77777777" w:rsidR="001A39E7" w:rsidRPr="00A847B7" w:rsidRDefault="001A39E7" w:rsidP="003F69A4">
            <w:pPr>
              <w:spacing w:beforeAutospacing="1" w:after="100" w:afterAutospacing="1"/>
              <w:rPr>
                <w:rFonts w:cstheme="minorHAnsi"/>
              </w:rPr>
            </w:pPr>
            <w:r w:rsidRPr="00A847B7">
              <w:rPr>
                <w:rFonts w:cstheme="minorHAnsi"/>
              </w:rPr>
              <w:t xml:space="preserve">143 </w:t>
            </w:r>
          </w:p>
        </w:tc>
        <w:tc>
          <w:tcPr>
            <w:tcW w:w="2795" w:type="dxa"/>
          </w:tcPr>
          <w:p w14:paraId="692C2E7A" w14:textId="77777777" w:rsidR="001A39E7" w:rsidRPr="00A847B7" w:rsidRDefault="001A39E7" w:rsidP="003F69A4">
            <w:pPr>
              <w:spacing w:beforeAutospacing="1" w:after="100" w:afterAutospacing="1"/>
              <w:rPr>
                <w:rFonts w:cstheme="minorHAnsi"/>
              </w:rPr>
            </w:pPr>
            <w:r w:rsidRPr="00A847B7">
              <w:rPr>
                <w:rFonts w:cstheme="minorHAnsi"/>
              </w:rPr>
              <w:t xml:space="preserve">260 </w:t>
            </w:r>
          </w:p>
        </w:tc>
      </w:tr>
      <w:tr w:rsidR="001A39E7" w:rsidRPr="00A847B7" w14:paraId="5EF2269D" w14:textId="77777777" w:rsidTr="003F69A4">
        <w:trPr>
          <w:trHeight w:val="109"/>
        </w:trPr>
        <w:tc>
          <w:tcPr>
            <w:tcW w:w="2795" w:type="dxa"/>
          </w:tcPr>
          <w:p w14:paraId="1C307F3C" w14:textId="77777777" w:rsidR="001A39E7" w:rsidRPr="00A847B7" w:rsidRDefault="001A39E7" w:rsidP="003F69A4">
            <w:pPr>
              <w:spacing w:beforeAutospacing="1" w:after="100" w:afterAutospacing="1"/>
              <w:rPr>
                <w:rFonts w:cstheme="minorHAnsi"/>
              </w:rPr>
            </w:pPr>
            <w:r w:rsidRPr="00A847B7">
              <w:rPr>
                <w:rFonts w:cstheme="minorHAnsi"/>
              </w:rPr>
              <w:t xml:space="preserve">144 </w:t>
            </w:r>
          </w:p>
        </w:tc>
        <w:tc>
          <w:tcPr>
            <w:tcW w:w="2795" w:type="dxa"/>
          </w:tcPr>
          <w:p w14:paraId="0B8DEE0D" w14:textId="77777777" w:rsidR="001A39E7" w:rsidRPr="00A847B7" w:rsidRDefault="001A39E7" w:rsidP="003F69A4">
            <w:pPr>
              <w:spacing w:beforeAutospacing="1" w:after="100" w:afterAutospacing="1"/>
              <w:rPr>
                <w:rFonts w:cstheme="minorHAnsi"/>
              </w:rPr>
            </w:pPr>
            <w:r w:rsidRPr="00A847B7">
              <w:rPr>
                <w:rFonts w:cstheme="minorHAnsi"/>
              </w:rPr>
              <w:t xml:space="preserve">280 </w:t>
            </w:r>
          </w:p>
        </w:tc>
      </w:tr>
      <w:tr w:rsidR="001A39E7" w:rsidRPr="00A847B7" w14:paraId="43682CC8" w14:textId="77777777" w:rsidTr="003F69A4">
        <w:trPr>
          <w:trHeight w:val="109"/>
        </w:trPr>
        <w:tc>
          <w:tcPr>
            <w:tcW w:w="2795" w:type="dxa"/>
          </w:tcPr>
          <w:p w14:paraId="0AC0303A" w14:textId="77777777" w:rsidR="001A39E7" w:rsidRPr="00A847B7" w:rsidRDefault="001A39E7" w:rsidP="003F69A4">
            <w:pPr>
              <w:spacing w:beforeAutospacing="1" w:after="100" w:afterAutospacing="1"/>
              <w:rPr>
                <w:rFonts w:cstheme="minorHAnsi"/>
              </w:rPr>
            </w:pPr>
            <w:r w:rsidRPr="00A847B7">
              <w:rPr>
                <w:rFonts w:cstheme="minorHAnsi"/>
              </w:rPr>
              <w:t xml:space="preserve">145 </w:t>
            </w:r>
          </w:p>
        </w:tc>
        <w:tc>
          <w:tcPr>
            <w:tcW w:w="2795" w:type="dxa"/>
          </w:tcPr>
          <w:p w14:paraId="0A06D6B9" w14:textId="77777777" w:rsidR="001A39E7" w:rsidRPr="00A847B7" w:rsidRDefault="001A39E7" w:rsidP="003F69A4">
            <w:pPr>
              <w:spacing w:beforeAutospacing="1" w:after="100" w:afterAutospacing="1"/>
              <w:rPr>
                <w:rFonts w:cstheme="minorHAnsi"/>
              </w:rPr>
            </w:pPr>
            <w:r w:rsidRPr="00A847B7">
              <w:rPr>
                <w:rFonts w:cstheme="minorHAnsi"/>
              </w:rPr>
              <w:t xml:space="preserve">310 </w:t>
            </w:r>
          </w:p>
        </w:tc>
      </w:tr>
      <w:tr w:rsidR="001A39E7" w:rsidRPr="00A847B7" w14:paraId="47248EB2" w14:textId="77777777" w:rsidTr="003F69A4">
        <w:trPr>
          <w:trHeight w:val="109"/>
        </w:trPr>
        <w:tc>
          <w:tcPr>
            <w:tcW w:w="2795" w:type="dxa"/>
          </w:tcPr>
          <w:p w14:paraId="0E8AC9A1" w14:textId="77777777" w:rsidR="001A39E7" w:rsidRPr="00A847B7" w:rsidRDefault="001A39E7" w:rsidP="003F69A4">
            <w:pPr>
              <w:spacing w:beforeAutospacing="1" w:after="100" w:afterAutospacing="1"/>
              <w:rPr>
                <w:rFonts w:cstheme="minorHAnsi"/>
              </w:rPr>
            </w:pPr>
            <w:r w:rsidRPr="00A847B7">
              <w:rPr>
                <w:rFonts w:cstheme="minorHAnsi"/>
              </w:rPr>
              <w:t xml:space="preserve">146 </w:t>
            </w:r>
          </w:p>
        </w:tc>
        <w:tc>
          <w:tcPr>
            <w:tcW w:w="2795" w:type="dxa"/>
          </w:tcPr>
          <w:p w14:paraId="7D65D836" w14:textId="77777777" w:rsidR="001A39E7" w:rsidRPr="00A847B7" w:rsidRDefault="001A39E7" w:rsidP="003F69A4">
            <w:pPr>
              <w:spacing w:beforeAutospacing="1" w:after="100" w:afterAutospacing="1"/>
              <w:rPr>
                <w:rFonts w:cstheme="minorHAnsi"/>
              </w:rPr>
            </w:pPr>
            <w:r w:rsidRPr="00A847B7">
              <w:rPr>
                <w:rFonts w:cstheme="minorHAnsi"/>
              </w:rPr>
              <w:t xml:space="preserve">330 </w:t>
            </w:r>
          </w:p>
        </w:tc>
      </w:tr>
      <w:tr w:rsidR="001A39E7" w:rsidRPr="00A847B7" w14:paraId="7ADD67A8" w14:textId="77777777" w:rsidTr="003F69A4">
        <w:trPr>
          <w:trHeight w:val="109"/>
        </w:trPr>
        <w:tc>
          <w:tcPr>
            <w:tcW w:w="2795" w:type="dxa"/>
          </w:tcPr>
          <w:p w14:paraId="60831EE6" w14:textId="77777777" w:rsidR="001A39E7" w:rsidRPr="00A847B7" w:rsidRDefault="001A39E7" w:rsidP="003F69A4">
            <w:pPr>
              <w:spacing w:beforeAutospacing="1" w:after="100" w:afterAutospacing="1"/>
              <w:rPr>
                <w:rFonts w:cstheme="minorHAnsi"/>
              </w:rPr>
            </w:pPr>
            <w:r w:rsidRPr="00A847B7">
              <w:rPr>
                <w:rFonts w:cstheme="minorHAnsi"/>
              </w:rPr>
              <w:t xml:space="preserve">147 </w:t>
            </w:r>
          </w:p>
        </w:tc>
        <w:tc>
          <w:tcPr>
            <w:tcW w:w="2795" w:type="dxa"/>
          </w:tcPr>
          <w:p w14:paraId="21454E66" w14:textId="77777777" w:rsidR="001A39E7" w:rsidRPr="00A847B7" w:rsidRDefault="001A39E7" w:rsidP="003F69A4">
            <w:pPr>
              <w:spacing w:beforeAutospacing="1" w:after="100" w:afterAutospacing="1"/>
              <w:rPr>
                <w:rFonts w:cstheme="minorHAnsi"/>
              </w:rPr>
            </w:pPr>
            <w:r w:rsidRPr="00A847B7">
              <w:rPr>
                <w:rFonts w:cstheme="minorHAnsi"/>
              </w:rPr>
              <w:t xml:space="preserve">360 </w:t>
            </w:r>
          </w:p>
        </w:tc>
      </w:tr>
      <w:tr w:rsidR="001A39E7" w:rsidRPr="00A847B7" w14:paraId="2D227170" w14:textId="77777777" w:rsidTr="003F69A4">
        <w:trPr>
          <w:trHeight w:val="109"/>
        </w:trPr>
        <w:tc>
          <w:tcPr>
            <w:tcW w:w="2795" w:type="dxa"/>
          </w:tcPr>
          <w:p w14:paraId="1ADE989C" w14:textId="77777777" w:rsidR="001A39E7" w:rsidRPr="00A847B7" w:rsidRDefault="001A39E7" w:rsidP="003F69A4">
            <w:pPr>
              <w:spacing w:beforeAutospacing="1" w:after="100" w:afterAutospacing="1"/>
              <w:rPr>
                <w:rFonts w:cstheme="minorHAnsi"/>
              </w:rPr>
            </w:pPr>
            <w:r w:rsidRPr="00A847B7">
              <w:rPr>
                <w:rFonts w:cstheme="minorHAnsi"/>
              </w:rPr>
              <w:t xml:space="preserve">148 </w:t>
            </w:r>
          </w:p>
        </w:tc>
        <w:tc>
          <w:tcPr>
            <w:tcW w:w="2795" w:type="dxa"/>
          </w:tcPr>
          <w:p w14:paraId="689166D2" w14:textId="77777777" w:rsidR="001A39E7" w:rsidRPr="00A847B7" w:rsidRDefault="001A39E7" w:rsidP="003F69A4">
            <w:pPr>
              <w:spacing w:beforeAutospacing="1" w:after="100" w:afterAutospacing="1"/>
              <w:rPr>
                <w:rFonts w:cstheme="minorHAnsi"/>
              </w:rPr>
            </w:pPr>
            <w:r w:rsidRPr="00A847B7">
              <w:rPr>
                <w:rFonts w:cstheme="minorHAnsi"/>
              </w:rPr>
              <w:t xml:space="preserve">400 </w:t>
            </w:r>
          </w:p>
        </w:tc>
      </w:tr>
      <w:tr w:rsidR="001A39E7" w:rsidRPr="00A847B7" w14:paraId="54024315" w14:textId="77777777" w:rsidTr="003F69A4">
        <w:trPr>
          <w:trHeight w:val="109"/>
        </w:trPr>
        <w:tc>
          <w:tcPr>
            <w:tcW w:w="2795" w:type="dxa"/>
          </w:tcPr>
          <w:p w14:paraId="1D66A5CA" w14:textId="77777777" w:rsidR="001A39E7" w:rsidRPr="00A847B7" w:rsidRDefault="001A39E7" w:rsidP="003F69A4">
            <w:pPr>
              <w:spacing w:beforeAutospacing="1" w:after="100" w:afterAutospacing="1"/>
              <w:rPr>
                <w:rFonts w:cstheme="minorHAnsi"/>
              </w:rPr>
            </w:pPr>
            <w:r w:rsidRPr="00A847B7">
              <w:rPr>
                <w:rFonts w:cstheme="minorHAnsi"/>
              </w:rPr>
              <w:t xml:space="preserve">149 </w:t>
            </w:r>
          </w:p>
        </w:tc>
        <w:tc>
          <w:tcPr>
            <w:tcW w:w="2795" w:type="dxa"/>
          </w:tcPr>
          <w:p w14:paraId="05F2F088" w14:textId="77777777" w:rsidR="001A39E7" w:rsidRPr="00A847B7" w:rsidRDefault="001A39E7" w:rsidP="003F69A4">
            <w:pPr>
              <w:spacing w:beforeAutospacing="1" w:after="100" w:afterAutospacing="1"/>
              <w:rPr>
                <w:rFonts w:cstheme="minorHAnsi"/>
              </w:rPr>
            </w:pPr>
            <w:r w:rsidRPr="00A847B7">
              <w:rPr>
                <w:rFonts w:cstheme="minorHAnsi"/>
              </w:rPr>
              <w:t xml:space="preserve">450 </w:t>
            </w:r>
          </w:p>
        </w:tc>
      </w:tr>
      <w:tr w:rsidR="001A39E7" w:rsidRPr="00A847B7" w14:paraId="4F279F39" w14:textId="77777777" w:rsidTr="003F69A4">
        <w:trPr>
          <w:trHeight w:val="109"/>
        </w:trPr>
        <w:tc>
          <w:tcPr>
            <w:tcW w:w="2795" w:type="dxa"/>
          </w:tcPr>
          <w:p w14:paraId="75D466E0" w14:textId="77777777" w:rsidR="001A39E7" w:rsidRPr="00A847B7" w:rsidRDefault="001A39E7" w:rsidP="003F69A4">
            <w:pPr>
              <w:spacing w:beforeAutospacing="1" w:after="100" w:afterAutospacing="1"/>
              <w:rPr>
                <w:rFonts w:cstheme="minorHAnsi"/>
              </w:rPr>
            </w:pPr>
            <w:r w:rsidRPr="00A847B7">
              <w:rPr>
                <w:rFonts w:cstheme="minorHAnsi"/>
              </w:rPr>
              <w:t xml:space="preserve">150 </w:t>
            </w:r>
          </w:p>
        </w:tc>
        <w:tc>
          <w:tcPr>
            <w:tcW w:w="2795" w:type="dxa"/>
          </w:tcPr>
          <w:p w14:paraId="707B8EF1" w14:textId="77777777" w:rsidR="001A39E7" w:rsidRPr="00A847B7" w:rsidRDefault="001A39E7" w:rsidP="003F69A4">
            <w:pPr>
              <w:spacing w:beforeAutospacing="1" w:after="100" w:afterAutospacing="1"/>
              <w:rPr>
                <w:rFonts w:cstheme="minorHAnsi"/>
              </w:rPr>
            </w:pPr>
            <w:r w:rsidRPr="00A847B7">
              <w:rPr>
                <w:rFonts w:cstheme="minorHAnsi"/>
              </w:rPr>
              <w:t xml:space="preserve">540 </w:t>
            </w:r>
          </w:p>
        </w:tc>
      </w:tr>
      <w:tr w:rsidR="001A39E7" w:rsidRPr="00A847B7" w14:paraId="010E18B5" w14:textId="77777777" w:rsidTr="003F69A4">
        <w:trPr>
          <w:trHeight w:val="109"/>
        </w:trPr>
        <w:tc>
          <w:tcPr>
            <w:tcW w:w="2795" w:type="dxa"/>
          </w:tcPr>
          <w:p w14:paraId="3E14284C" w14:textId="77777777" w:rsidR="001A39E7" w:rsidRPr="00A847B7" w:rsidRDefault="001A39E7" w:rsidP="003F69A4">
            <w:pPr>
              <w:spacing w:beforeAutospacing="1" w:after="100" w:afterAutospacing="1"/>
              <w:rPr>
                <w:rFonts w:cstheme="minorHAnsi"/>
              </w:rPr>
            </w:pPr>
            <w:r w:rsidRPr="00A847B7">
              <w:rPr>
                <w:rFonts w:cstheme="minorHAnsi"/>
              </w:rPr>
              <w:t xml:space="preserve">151 </w:t>
            </w:r>
          </w:p>
        </w:tc>
        <w:tc>
          <w:tcPr>
            <w:tcW w:w="2795" w:type="dxa"/>
          </w:tcPr>
          <w:p w14:paraId="265AB63D" w14:textId="77777777" w:rsidR="001A39E7" w:rsidRPr="00A847B7" w:rsidRDefault="001A39E7" w:rsidP="003F69A4">
            <w:pPr>
              <w:spacing w:beforeAutospacing="1" w:after="100" w:afterAutospacing="1"/>
              <w:rPr>
                <w:rFonts w:cstheme="minorHAnsi"/>
              </w:rPr>
            </w:pPr>
            <w:r w:rsidRPr="00A847B7">
              <w:rPr>
                <w:rFonts w:cstheme="minorHAnsi"/>
              </w:rPr>
              <w:t xml:space="preserve">650 </w:t>
            </w:r>
          </w:p>
        </w:tc>
      </w:tr>
      <w:tr w:rsidR="001A39E7" w:rsidRPr="00A847B7" w14:paraId="64360A2E" w14:textId="77777777" w:rsidTr="003F69A4">
        <w:trPr>
          <w:trHeight w:val="109"/>
        </w:trPr>
        <w:tc>
          <w:tcPr>
            <w:tcW w:w="2795" w:type="dxa"/>
          </w:tcPr>
          <w:p w14:paraId="14D6835D" w14:textId="77777777" w:rsidR="001A39E7" w:rsidRPr="00A847B7" w:rsidRDefault="001A39E7" w:rsidP="003F69A4">
            <w:pPr>
              <w:spacing w:beforeAutospacing="1" w:after="100" w:afterAutospacing="1"/>
              <w:rPr>
                <w:rFonts w:cstheme="minorHAnsi"/>
              </w:rPr>
            </w:pPr>
            <w:r w:rsidRPr="00A847B7">
              <w:rPr>
                <w:rFonts w:cstheme="minorHAnsi"/>
              </w:rPr>
              <w:t xml:space="preserve">152 </w:t>
            </w:r>
          </w:p>
        </w:tc>
        <w:tc>
          <w:tcPr>
            <w:tcW w:w="2795" w:type="dxa"/>
          </w:tcPr>
          <w:p w14:paraId="047A55B1" w14:textId="77777777" w:rsidR="001A39E7" w:rsidRPr="00A847B7" w:rsidRDefault="001A39E7" w:rsidP="003F69A4">
            <w:pPr>
              <w:spacing w:beforeAutospacing="1" w:after="100" w:afterAutospacing="1"/>
              <w:rPr>
                <w:rFonts w:cstheme="minorHAnsi"/>
              </w:rPr>
            </w:pPr>
            <w:r w:rsidRPr="00A847B7">
              <w:rPr>
                <w:rFonts w:cstheme="minorHAnsi"/>
              </w:rPr>
              <w:t xml:space="preserve">740 </w:t>
            </w:r>
          </w:p>
        </w:tc>
      </w:tr>
      <w:tr w:rsidR="001A39E7" w:rsidRPr="00A847B7" w14:paraId="5BA64482" w14:textId="77777777" w:rsidTr="003F69A4">
        <w:trPr>
          <w:trHeight w:val="109"/>
        </w:trPr>
        <w:tc>
          <w:tcPr>
            <w:tcW w:w="2795" w:type="dxa"/>
          </w:tcPr>
          <w:p w14:paraId="0831629D" w14:textId="77777777" w:rsidR="001A39E7" w:rsidRPr="00A847B7" w:rsidRDefault="001A39E7" w:rsidP="003F69A4">
            <w:pPr>
              <w:spacing w:beforeAutospacing="1" w:after="100" w:afterAutospacing="1"/>
              <w:rPr>
                <w:rFonts w:cstheme="minorHAnsi"/>
              </w:rPr>
            </w:pPr>
            <w:r w:rsidRPr="00A847B7">
              <w:rPr>
                <w:rFonts w:cstheme="minorHAnsi"/>
              </w:rPr>
              <w:t xml:space="preserve">153 </w:t>
            </w:r>
          </w:p>
        </w:tc>
        <w:tc>
          <w:tcPr>
            <w:tcW w:w="2795" w:type="dxa"/>
          </w:tcPr>
          <w:p w14:paraId="69A0DF60" w14:textId="77777777" w:rsidR="001A39E7" w:rsidRPr="00A847B7" w:rsidRDefault="001A39E7" w:rsidP="003F69A4">
            <w:pPr>
              <w:spacing w:beforeAutospacing="1" w:after="100" w:afterAutospacing="1"/>
              <w:rPr>
                <w:rFonts w:cstheme="minorHAnsi"/>
              </w:rPr>
            </w:pPr>
            <w:r w:rsidRPr="00A847B7">
              <w:rPr>
                <w:rFonts w:cstheme="minorHAnsi"/>
              </w:rPr>
              <w:t xml:space="preserve">818 </w:t>
            </w:r>
          </w:p>
        </w:tc>
      </w:tr>
      <w:tr w:rsidR="001A39E7" w:rsidRPr="00A847B7" w14:paraId="6D1C7F26" w14:textId="77777777" w:rsidTr="003F69A4">
        <w:trPr>
          <w:trHeight w:val="109"/>
        </w:trPr>
        <w:tc>
          <w:tcPr>
            <w:tcW w:w="2795" w:type="dxa"/>
          </w:tcPr>
          <w:p w14:paraId="149F18E1" w14:textId="77777777" w:rsidR="001A39E7" w:rsidRPr="00A847B7" w:rsidRDefault="001A39E7" w:rsidP="003F69A4">
            <w:pPr>
              <w:spacing w:beforeAutospacing="1" w:after="100" w:afterAutospacing="1"/>
              <w:rPr>
                <w:rFonts w:cstheme="minorHAnsi"/>
              </w:rPr>
            </w:pPr>
            <w:r w:rsidRPr="00A847B7">
              <w:rPr>
                <w:rFonts w:cstheme="minorHAnsi"/>
              </w:rPr>
              <w:t xml:space="preserve">154 </w:t>
            </w:r>
          </w:p>
        </w:tc>
        <w:tc>
          <w:tcPr>
            <w:tcW w:w="2795" w:type="dxa"/>
          </w:tcPr>
          <w:p w14:paraId="368A2790" w14:textId="77777777" w:rsidR="001A39E7" w:rsidRPr="00A847B7" w:rsidRDefault="001A39E7" w:rsidP="003F69A4">
            <w:pPr>
              <w:spacing w:beforeAutospacing="1" w:after="100" w:afterAutospacing="1"/>
              <w:rPr>
                <w:rFonts w:cstheme="minorHAnsi"/>
              </w:rPr>
            </w:pPr>
            <w:r w:rsidRPr="00A847B7">
              <w:rPr>
                <w:rFonts w:cstheme="minorHAnsi"/>
              </w:rPr>
              <w:t xml:space="preserve">898 </w:t>
            </w:r>
          </w:p>
        </w:tc>
      </w:tr>
      <w:tr w:rsidR="001A39E7" w:rsidRPr="00A847B7" w14:paraId="6619DAF2" w14:textId="77777777" w:rsidTr="003F69A4">
        <w:trPr>
          <w:trHeight w:val="109"/>
        </w:trPr>
        <w:tc>
          <w:tcPr>
            <w:tcW w:w="2795" w:type="dxa"/>
          </w:tcPr>
          <w:p w14:paraId="7946CBB6" w14:textId="77777777" w:rsidR="001A39E7" w:rsidRPr="00A847B7" w:rsidRDefault="001A39E7" w:rsidP="003F69A4">
            <w:pPr>
              <w:spacing w:beforeAutospacing="1" w:after="100" w:afterAutospacing="1"/>
              <w:rPr>
                <w:rFonts w:cstheme="minorHAnsi"/>
              </w:rPr>
            </w:pPr>
            <w:r w:rsidRPr="00A847B7">
              <w:rPr>
                <w:rFonts w:cstheme="minorHAnsi"/>
              </w:rPr>
              <w:t xml:space="preserve">155 </w:t>
            </w:r>
          </w:p>
        </w:tc>
        <w:tc>
          <w:tcPr>
            <w:tcW w:w="2795" w:type="dxa"/>
          </w:tcPr>
          <w:p w14:paraId="2C020F83" w14:textId="77777777" w:rsidR="001A39E7" w:rsidRPr="00A847B7" w:rsidRDefault="001A39E7" w:rsidP="003F69A4">
            <w:pPr>
              <w:spacing w:beforeAutospacing="1" w:after="100" w:afterAutospacing="1"/>
              <w:rPr>
                <w:rFonts w:cstheme="minorHAnsi"/>
              </w:rPr>
            </w:pPr>
            <w:r w:rsidRPr="00A847B7">
              <w:rPr>
                <w:rFonts w:cstheme="minorHAnsi"/>
              </w:rPr>
              <w:t xml:space="preserve">983 </w:t>
            </w:r>
          </w:p>
        </w:tc>
      </w:tr>
      <w:tr w:rsidR="001A39E7" w:rsidRPr="00A847B7" w14:paraId="6A1D5F07" w14:textId="77777777" w:rsidTr="003F69A4">
        <w:trPr>
          <w:trHeight w:val="109"/>
        </w:trPr>
        <w:tc>
          <w:tcPr>
            <w:tcW w:w="2795" w:type="dxa"/>
          </w:tcPr>
          <w:p w14:paraId="08F16543" w14:textId="77777777" w:rsidR="001A39E7" w:rsidRPr="00A847B7" w:rsidRDefault="001A39E7" w:rsidP="003F69A4">
            <w:pPr>
              <w:spacing w:beforeAutospacing="1" w:after="100" w:afterAutospacing="1"/>
              <w:rPr>
                <w:rFonts w:cstheme="minorHAnsi"/>
              </w:rPr>
            </w:pPr>
            <w:r w:rsidRPr="00A847B7">
              <w:rPr>
                <w:rFonts w:cstheme="minorHAnsi"/>
              </w:rPr>
              <w:t xml:space="preserve">156 </w:t>
            </w:r>
          </w:p>
        </w:tc>
        <w:tc>
          <w:tcPr>
            <w:tcW w:w="2795" w:type="dxa"/>
          </w:tcPr>
          <w:p w14:paraId="2FC66BAB" w14:textId="77777777" w:rsidR="001A39E7" w:rsidRPr="00A847B7" w:rsidRDefault="001A39E7" w:rsidP="003F69A4">
            <w:pPr>
              <w:spacing w:beforeAutospacing="1" w:after="100" w:afterAutospacing="1"/>
              <w:rPr>
                <w:rFonts w:cstheme="minorHAnsi"/>
              </w:rPr>
            </w:pPr>
            <w:r w:rsidRPr="00A847B7">
              <w:rPr>
                <w:rFonts w:cstheme="minorHAnsi"/>
              </w:rPr>
              <w:t xml:space="preserve">1 074 </w:t>
            </w:r>
          </w:p>
        </w:tc>
      </w:tr>
      <w:tr w:rsidR="001A39E7" w:rsidRPr="00A847B7" w14:paraId="3C2788D4" w14:textId="77777777" w:rsidTr="003F69A4">
        <w:trPr>
          <w:trHeight w:val="109"/>
        </w:trPr>
        <w:tc>
          <w:tcPr>
            <w:tcW w:w="2795" w:type="dxa"/>
          </w:tcPr>
          <w:p w14:paraId="03D37C91" w14:textId="77777777" w:rsidR="001A39E7" w:rsidRPr="00A847B7" w:rsidRDefault="001A39E7" w:rsidP="003F69A4">
            <w:pPr>
              <w:spacing w:beforeAutospacing="1" w:after="100" w:afterAutospacing="1"/>
              <w:rPr>
                <w:rFonts w:cstheme="minorHAnsi"/>
              </w:rPr>
            </w:pPr>
            <w:r w:rsidRPr="00A847B7">
              <w:rPr>
                <w:rFonts w:cstheme="minorHAnsi"/>
              </w:rPr>
              <w:t xml:space="preserve">157 </w:t>
            </w:r>
          </w:p>
        </w:tc>
        <w:tc>
          <w:tcPr>
            <w:tcW w:w="2795" w:type="dxa"/>
          </w:tcPr>
          <w:p w14:paraId="635E852A" w14:textId="77777777" w:rsidR="001A39E7" w:rsidRPr="00A847B7" w:rsidRDefault="001A39E7" w:rsidP="003F69A4">
            <w:pPr>
              <w:spacing w:beforeAutospacing="1" w:after="100" w:afterAutospacing="1"/>
              <w:rPr>
                <w:rFonts w:cstheme="minorHAnsi"/>
              </w:rPr>
            </w:pPr>
            <w:r w:rsidRPr="00A847B7">
              <w:rPr>
                <w:rFonts w:cstheme="minorHAnsi"/>
              </w:rPr>
              <w:t xml:space="preserve">1 172 </w:t>
            </w:r>
          </w:p>
        </w:tc>
      </w:tr>
      <w:tr w:rsidR="001A39E7" w:rsidRPr="00A847B7" w14:paraId="125764C8" w14:textId="77777777" w:rsidTr="003F69A4">
        <w:trPr>
          <w:trHeight w:val="109"/>
        </w:trPr>
        <w:tc>
          <w:tcPr>
            <w:tcW w:w="2795" w:type="dxa"/>
          </w:tcPr>
          <w:p w14:paraId="53B90E6C" w14:textId="77777777" w:rsidR="001A39E7" w:rsidRPr="00A847B7" w:rsidRDefault="001A39E7" w:rsidP="003F69A4">
            <w:pPr>
              <w:spacing w:beforeAutospacing="1" w:after="100" w:afterAutospacing="1"/>
              <w:rPr>
                <w:rFonts w:cstheme="minorHAnsi"/>
              </w:rPr>
            </w:pPr>
            <w:r w:rsidRPr="00A847B7">
              <w:rPr>
                <w:rFonts w:cstheme="minorHAnsi"/>
              </w:rPr>
              <w:t xml:space="preserve">158 </w:t>
            </w:r>
          </w:p>
        </w:tc>
        <w:tc>
          <w:tcPr>
            <w:tcW w:w="2795" w:type="dxa"/>
          </w:tcPr>
          <w:p w14:paraId="7D6B242A" w14:textId="77777777" w:rsidR="001A39E7" w:rsidRPr="00A847B7" w:rsidRDefault="001A39E7" w:rsidP="003F69A4">
            <w:pPr>
              <w:spacing w:beforeAutospacing="1" w:after="100" w:afterAutospacing="1"/>
              <w:rPr>
                <w:rFonts w:cstheme="minorHAnsi"/>
              </w:rPr>
            </w:pPr>
            <w:r w:rsidRPr="00A847B7">
              <w:rPr>
                <w:rFonts w:cstheme="minorHAnsi"/>
              </w:rPr>
              <w:t xml:space="preserve">1 276 </w:t>
            </w:r>
          </w:p>
        </w:tc>
      </w:tr>
      <w:tr w:rsidR="001A39E7" w:rsidRPr="00A847B7" w14:paraId="716F5B14" w14:textId="77777777" w:rsidTr="003F69A4">
        <w:trPr>
          <w:trHeight w:val="109"/>
        </w:trPr>
        <w:tc>
          <w:tcPr>
            <w:tcW w:w="2795" w:type="dxa"/>
          </w:tcPr>
          <w:p w14:paraId="3DC21A82" w14:textId="77777777" w:rsidR="001A39E7" w:rsidRPr="00A847B7" w:rsidRDefault="001A39E7" w:rsidP="003F69A4">
            <w:pPr>
              <w:spacing w:beforeAutospacing="1" w:after="100" w:afterAutospacing="1"/>
              <w:rPr>
                <w:rFonts w:cstheme="minorHAnsi"/>
              </w:rPr>
            </w:pPr>
            <w:r w:rsidRPr="00A847B7">
              <w:rPr>
                <w:rFonts w:cstheme="minorHAnsi"/>
              </w:rPr>
              <w:t xml:space="preserve">159 </w:t>
            </w:r>
          </w:p>
        </w:tc>
        <w:tc>
          <w:tcPr>
            <w:tcW w:w="2795" w:type="dxa"/>
          </w:tcPr>
          <w:p w14:paraId="5A7FBC80" w14:textId="77777777" w:rsidR="001A39E7" w:rsidRPr="00A847B7" w:rsidRDefault="001A39E7" w:rsidP="003F69A4">
            <w:pPr>
              <w:spacing w:beforeAutospacing="1" w:after="100" w:afterAutospacing="1"/>
              <w:rPr>
                <w:rFonts w:cstheme="minorHAnsi"/>
              </w:rPr>
            </w:pPr>
            <w:r w:rsidRPr="00A847B7">
              <w:rPr>
                <w:rFonts w:cstheme="minorHAnsi"/>
              </w:rPr>
              <w:t xml:space="preserve">1 386 </w:t>
            </w:r>
          </w:p>
        </w:tc>
      </w:tr>
      <w:tr w:rsidR="001A39E7" w:rsidRPr="00A847B7" w14:paraId="47C70B8C" w14:textId="77777777" w:rsidTr="003F69A4">
        <w:trPr>
          <w:trHeight w:val="109"/>
        </w:trPr>
        <w:tc>
          <w:tcPr>
            <w:tcW w:w="2795" w:type="dxa"/>
          </w:tcPr>
          <w:p w14:paraId="580613A3" w14:textId="77777777" w:rsidR="001A39E7" w:rsidRPr="00A847B7" w:rsidRDefault="001A39E7" w:rsidP="003F69A4">
            <w:pPr>
              <w:spacing w:beforeAutospacing="1" w:after="100" w:afterAutospacing="1"/>
              <w:rPr>
                <w:rFonts w:cstheme="minorHAnsi"/>
              </w:rPr>
            </w:pPr>
            <w:r w:rsidRPr="00A847B7">
              <w:rPr>
                <w:rFonts w:cstheme="minorHAnsi"/>
              </w:rPr>
              <w:t xml:space="preserve">160 </w:t>
            </w:r>
          </w:p>
        </w:tc>
        <w:tc>
          <w:tcPr>
            <w:tcW w:w="2795" w:type="dxa"/>
          </w:tcPr>
          <w:p w14:paraId="7C2C3A57" w14:textId="77777777" w:rsidR="001A39E7" w:rsidRPr="00A847B7" w:rsidRDefault="001A39E7" w:rsidP="003F69A4">
            <w:pPr>
              <w:spacing w:beforeAutospacing="1" w:after="100" w:afterAutospacing="1"/>
              <w:rPr>
                <w:rFonts w:cstheme="minorHAnsi"/>
              </w:rPr>
            </w:pPr>
            <w:r w:rsidRPr="00A847B7">
              <w:rPr>
                <w:rFonts w:cstheme="minorHAnsi"/>
              </w:rPr>
              <w:t xml:space="preserve">1 504 </w:t>
            </w:r>
          </w:p>
        </w:tc>
      </w:tr>
      <w:tr w:rsidR="001A39E7" w:rsidRPr="00A847B7" w14:paraId="7B44566C" w14:textId="77777777" w:rsidTr="003F69A4">
        <w:trPr>
          <w:trHeight w:val="109"/>
        </w:trPr>
        <w:tc>
          <w:tcPr>
            <w:tcW w:w="2795" w:type="dxa"/>
          </w:tcPr>
          <w:p w14:paraId="3A12E216" w14:textId="77777777" w:rsidR="001A39E7" w:rsidRPr="00A847B7" w:rsidRDefault="001A39E7" w:rsidP="003F69A4">
            <w:pPr>
              <w:spacing w:beforeAutospacing="1" w:after="100" w:afterAutospacing="1"/>
              <w:rPr>
                <w:rFonts w:cstheme="minorHAnsi"/>
              </w:rPr>
            </w:pPr>
            <w:r w:rsidRPr="00A847B7">
              <w:rPr>
                <w:rFonts w:cstheme="minorHAnsi"/>
              </w:rPr>
              <w:t xml:space="preserve">161 </w:t>
            </w:r>
          </w:p>
        </w:tc>
        <w:tc>
          <w:tcPr>
            <w:tcW w:w="2795" w:type="dxa"/>
          </w:tcPr>
          <w:p w14:paraId="017832DF" w14:textId="77777777" w:rsidR="001A39E7" w:rsidRPr="00A847B7" w:rsidRDefault="001A39E7" w:rsidP="003F69A4">
            <w:pPr>
              <w:spacing w:beforeAutospacing="1" w:after="100" w:afterAutospacing="1"/>
              <w:rPr>
                <w:rFonts w:cstheme="minorHAnsi"/>
              </w:rPr>
            </w:pPr>
            <w:r w:rsidRPr="00A847B7">
              <w:rPr>
                <w:rFonts w:cstheme="minorHAnsi"/>
              </w:rPr>
              <w:t xml:space="preserve">1 629 </w:t>
            </w:r>
          </w:p>
        </w:tc>
      </w:tr>
      <w:tr w:rsidR="001A39E7" w:rsidRPr="00A847B7" w14:paraId="19583FD8" w14:textId="77777777" w:rsidTr="003F69A4">
        <w:trPr>
          <w:trHeight w:val="109"/>
        </w:trPr>
        <w:tc>
          <w:tcPr>
            <w:tcW w:w="2795" w:type="dxa"/>
          </w:tcPr>
          <w:p w14:paraId="07B45D08" w14:textId="77777777" w:rsidR="001A39E7" w:rsidRPr="00A847B7" w:rsidRDefault="001A39E7" w:rsidP="003F69A4">
            <w:pPr>
              <w:spacing w:beforeAutospacing="1" w:after="100" w:afterAutospacing="1"/>
              <w:rPr>
                <w:rFonts w:cstheme="minorHAnsi"/>
              </w:rPr>
            </w:pPr>
            <w:r w:rsidRPr="00A847B7">
              <w:rPr>
                <w:rFonts w:cstheme="minorHAnsi"/>
              </w:rPr>
              <w:t xml:space="preserve">162 </w:t>
            </w:r>
          </w:p>
        </w:tc>
        <w:tc>
          <w:tcPr>
            <w:tcW w:w="2795" w:type="dxa"/>
          </w:tcPr>
          <w:p w14:paraId="2D61BB39" w14:textId="77777777" w:rsidR="001A39E7" w:rsidRPr="00A847B7" w:rsidRDefault="001A39E7" w:rsidP="003F69A4">
            <w:pPr>
              <w:spacing w:beforeAutospacing="1" w:after="100" w:afterAutospacing="1"/>
              <w:rPr>
                <w:rFonts w:cstheme="minorHAnsi"/>
              </w:rPr>
            </w:pPr>
            <w:r w:rsidRPr="00A847B7">
              <w:rPr>
                <w:rFonts w:cstheme="minorHAnsi"/>
              </w:rPr>
              <w:t xml:space="preserve">1 761 </w:t>
            </w:r>
          </w:p>
        </w:tc>
      </w:tr>
      <w:tr w:rsidR="001A39E7" w:rsidRPr="00A847B7" w14:paraId="5F29D801" w14:textId="77777777" w:rsidTr="003F69A4">
        <w:trPr>
          <w:trHeight w:val="109"/>
        </w:trPr>
        <w:tc>
          <w:tcPr>
            <w:tcW w:w="2795" w:type="dxa"/>
          </w:tcPr>
          <w:p w14:paraId="6995F58B" w14:textId="77777777" w:rsidR="001A39E7" w:rsidRPr="00A847B7" w:rsidRDefault="001A39E7" w:rsidP="003F69A4">
            <w:pPr>
              <w:spacing w:beforeAutospacing="1" w:after="100" w:afterAutospacing="1"/>
              <w:rPr>
                <w:rFonts w:cstheme="minorHAnsi"/>
              </w:rPr>
            </w:pPr>
            <w:r w:rsidRPr="00A847B7">
              <w:rPr>
                <w:rFonts w:cstheme="minorHAnsi"/>
              </w:rPr>
              <w:t xml:space="preserve">163 </w:t>
            </w:r>
          </w:p>
        </w:tc>
        <w:tc>
          <w:tcPr>
            <w:tcW w:w="2795" w:type="dxa"/>
          </w:tcPr>
          <w:p w14:paraId="38F9B88D" w14:textId="77777777" w:rsidR="001A39E7" w:rsidRPr="00A847B7" w:rsidRDefault="001A39E7" w:rsidP="003F69A4">
            <w:pPr>
              <w:spacing w:beforeAutospacing="1" w:after="100" w:afterAutospacing="1"/>
              <w:rPr>
                <w:rFonts w:cstheme="minorHAnsi"/>
              </w:rPr>
            </w:pPr>
            <w:r w:rsidRPr="00A847B7">
              <w:rPr>
                <w:rFonts w:cstheme="minorHAnsi"/>
              </w:rPr>
              <w:t xml:space="preserve">1 901 </w:t>
            </w:r>
          </w:p>
        </w:tc>
      </w:tr>
      <w:tr w:rsidR="001A39E7" w:rsidRPr="00A847B7" w14:paraId="6EBF884B" w14:textId="77777777" w:rsidTr="003F69A4">
        <w:trPr>
          <w:trHeight w:val="109"/>
        </w:trPr>
        <w:tc>
          <w:tcPr>
            <w:tcW w:w="2795" w:type="dxa"/>
          </w:tcPr>
          <w:p w14:paraId="635095F2" w14:textId="77777777" w:rsidR="001A39E7" w:rsidRPr="00A847B7" w:rsidRDefault="001A39E7" w:rsidP="003F69A4">
            <w:pPr>
              <w:spacing w:beforeAutospacing="1" w:after="100" w:afterAutospacing="1"/>
              <w:rPr>
                <w:rFonts w:cstheme="minorHAnsi"/>
              </w:rPr>
            </w:pPr>
            <w:r w:rsidRPr="00A847B7">
              <w:rPr>
                <w:rFonts w:cstheme="minorHAnsi"/>
              </w:rPr>
              <w:lastRenderedPageBreak/>
              <w:t xml:space="preserve">164 </w:t>
            </w:r>
          </w:p>
        </w:tc>
        <w:tc>
          <w:tcPr>
            <w:tcW w:w="2795" w:type="dxa"/>
          </w:tcPr>
          <w:p w14:paraId="25956139" w14:textId="77777777" w:rsidR="001A39E7" w:rsidRPr="00A847B7" w:rsidRDefault="001A39E7" w:rsidP="003F69A4">
            <w:pPr>
              <w:spacing w:beforeAutospacing="1" w:after="100" w:afterAutospacing="1"/>
              <w:rPr>
                <w:rFonts w:cstheme="minorHAnsi"/>
              </w:rPr>
            </w:pPr>
            <w:r w:rsidRPr="00A847B7">
              <w:rPr>
                <w:rFonts w:cstheme="minorHAnsi"/>
              </w:rPr>
              <w:t xml:space="preserve">2 049 </w:t>
            </w:r>
          </w:p>
        </w:tc>
      </w:tr>
      <w:tr w:rsidR="001A39E7" w:rsidRPr="00A847B7" w14:paraId="15120EE0" w14:textId="77777777" w:rsidTr="003F69A4">
        <w:trPr>
          <w:trHeight w:val="109"/>
        </w:trPr>
        <w:tc>
          <w:tcPr>
            <w:tcW w:w="2795" w:type="dxa"/>
          </w:tcPr>
          <w:p w14:paraId="44DC951D" w14:textId="77777777" w:rsidR="001A39E7" w:rsidRPr="00A847B7" w:rsidRDefault="001A39E7" w:rsidP="003F69A4">
            <w:pPr>
              <w:spacing w:beforeAutospacing="1" w:after="100" w:afterAutospacing="1"/>
              <w:rPr>
                <w:rFonts w:cstheme="minorHAnsi"/>
              </w:rPr>
            </w:pPr>
            <w:r w:rsidRPr="00A847B7">
              <w:rPr>
                <w:rFonts w:cstheme="minorHAnsi"/>
              </w:rPr>
              <w:t xml:space="preserve">165 </w:t>
            </w:r>
          </w:p>
        </w:tc>
        <w:tc>
          <w:tcPr>
            <w:tcW w:w="2795" w:type="dxa"/>
          </w:tcPr>
          <w:p w14:paraId="5D515AB7" w14:textId="77777777" w:rsidR="001A39E7" w:rsidRPr="00A847B7" w:rsidRDefault="001A39E7" w:rsidP="003F69A4">
            <w:pPr>
              <w:spacing w:beforeAutospacing="1" w:after="100" w:afterAutospacing="1"/>
              <w:rPr>
                <w:rFonts w:cstheme="minorHAnsi"/>
              </w:rPr>
            </w:pPr>
            <w:r w:rsidRPr="00A847B7">
              <w:rPr>
                <w:rFonts w:cstheme="minorHAnsi"/>
              </w:rPr>
              <w:t xml:space="preserve">2 205 </w:t>
            </w:r>
          </w:p>
        </w:tc>
      </w:tr>
      <w:tr w:rsidR="001A39E7" w:rsidRPr="00A847B7" w14:paraId="2DD77263" w14:textId="77777777" w:rsidTr="003F69A4">
        <w:trPr>
          <w:trHeight w:val="109"/>
        </w:trPr>
        <w:tc>
          <w:tcPr>
            <w:tcW w:w="2795" w:type="dxa"/>
          </w:tcPr>
          <w:p w14:paraId="70D16C88" w14:textId="77777777" w:rsidR="001A39E7" w:rsidRPr="00A847B7" w:rsidRDefault="001A39E7" w:rsidP="003F69A4">
            <w:pPr>
              <w:spacing w:beforeAutospacing="1" w:after="100" w:afterAutospacing="1"/>
              <w:rPr>
                <w:rFonts w:cstheme="minorHAnsi"/>
              </w:rPr>
            </w:pPr>
            <w:r w:rsidRPr="00A847B7">
              <w:rPr>
                <w:rFonts w:cstheme="minorHAnsi"/>
              </w:rPr>
              <w:t xml:space="preserve">166 </w:t>
            </w:r>
          </w:p>
        </w:tc>
        <w:tc>
          <w:tcPr>
            <w:tcW w:w="2795" w:type="dxa"/>
          </w:tcPr>
          <w:p w14:paraId="2D3D9059" w14:textId="77777777" w:rsidR="001A39E7" w:rsidRPr="00A847B7" w:rsidRDefault="001A39E7" w:rsidP="003F69A4">
            <w:pPr>
              <w:spacing w:beforeAutospacing="1" w:after="100" w:afterAutospacing="1"/>
              <w:rPr>
                <w:rFonts w:cstheme="minorHAnsi"/>
              </w:rPr>
            </w:pPr>
            <w:r w:rsidRPr="00A847B7">
              <w:rPr>
                <w:rFonts w:cstheme="minorHAnsi"/>
              </w:rPr>
              <w:t xml:space="preserve">2 370 </w:t>
            </w:r>
          </w:p>
        </w:tc>
      </w:tr>
      <w:tr w:rsidR="001A39E7" w:rsidRPr="00A847B7" w14:paraId="6CEF7726" w14:textId="77777777" w:rsidTr="003F69A4">
        <w:trPr>
          <w:trHeight w:val="109"/>
        </w:trPr>
        <w:tc>
          <w:tcPr>
            <w:tcW w:w="2795" w:type="dxa"/>
          </w:tcPr>
          <w:p w14:paraId="3D4C0174" w14:textId="77777777" w:rsidR="001A39E7" w:rsidRPr="00A847B7" w:rsidRDefault="001A39E7" w:rsidP="003F69A4">
            <w:pPr>
              <w:spacing w:beforeAutospacing="1" w:after="100" w:afterAutospacing="1"/>
              <w:rPr>
                <w:rFonts w:cstheme="minorHAnsi"/>
              </w:rPr>
            </w:pPr>
            <w:r w:rsidRPr="00A847B7">
              <w:rPr>
                <w:rFonts w:cstheme="minorHAnsi"/>
              </w:rPr>
              <w:t xml:space="preserve">167 </w:t>
            </w:r>
          </w:p>
        </w:tc>
        <w:tc>
          <w:tcPr>
            <w:tcW w:w="2795" w:type="dxa"/>
          </w:tcPr>
          <w:p w14:paraId="27E08F8A" w14:textId="77777777" w:rsidR="001A39E7" w:rsidRPr="00A847B7" w:rsidRDefault="001A39E7" w:rsidP="003F69A4">
            <w:pPr>
              <w:spacing w:beforeAutospacing="1" w:after="100" w:afterAutospacing="1"/>
              <w:rPr>
                <w:rFonts w:cstheme="minorHAnsi"/>
              </w:rPr>
            </w:pPr>
            <w:r w:rsidRPr="00A847B7">
              <w:rPr>
                <w:rFonts w:cstheme="minorHAnsi"/>
              </w:rPr>
              <w:t xml:space="preserve">2 544 </w:t>
            </w:r>
          </w:p>
        </w:tc>
      </w:tr>
      <w:tr w:rsidR="001A39E7" w:rsidRPr="00A847B7" w14:paraId="6DF70FFE" w14:textId="77777777" w:rsidTr="003F69A4">
        <w:trPr>
          <w:trHeight w:val="109"/>
        </w:trPr>
        <w:tc>
          <w:tcPr>
            <w:tcW w:w="2795" w:type="dxa"/>
          </w:tcPr>
          <w:p w14:paraId="39BADABA" w14:textId="77777777" w:rsidR="001A39E7" w:rsidRPr="00A847B7" w:rsidRDefault="001A39E7" w:rsidP="003F69A4">
            <w:pPr>
              <w:spacing w:beforeAutospacing="1" w:after="100" w:afterAutospacing="1"/>
              <w:rPr>
                <w:rFonts w:cstheme="minorHAnsi"/>
              </w:rPr>
            </w:pPr>
            <w:r w:rsidRPr="00A847B7">
              <w:rPr>
                <w:rFonts w:cstheme="minorHAnsi"/>
              </w:rPr>
              <w:t xml:space="preserve">168 </w:t>
            </w:r>
          </w:p>
        </w:tc>
        <w:tc>
          <w:tcPr>
            <w:tcW w:w="2795" w:type="dxa"/>
          </w:tcPr>
          <w:p w14:paraId="5065D707" w14:textId="77777777" w:rsidR="001A39E7" w:rsidRPr="00A847B7" w:rsidRDefault="001A39E7" w:rsidP="003F69A4">
            <w:pPr>
              <w:spacing w:beforeAutospacing="1" w:after="100" w:afterAutospacing="1"/>
              <w:rPr>
                <w:rFonts w:cstheme="minorHAnsi"/>
              </w:rPr>
            </w:pPr>
            <w:r w:rsidRPr="00A847B7">
              <w:rPr>
                <w:rFonts w:cstheme="minorHAnsi"/>
              </w:rPr>
              <w:t xml:space="preserve">2 726 </w:t>
            </w:r>
          </w:p>
        </w:tc>
      </w:tr>
      <w:tr w:rsidR="001A39E7" w:rsidRPr="00A847B7" w14:paraId="33FEC9ED" w14:textId="77777777" w:rsidTr="003F69A4">
        <w:trPr>
          <w:trHeight w:val="109"/>
        </w:trPr>
        <w:tc>
          <w:tcPr>
            <w:tcW w:w="2795" w:type="dxa"/>
          </w:tcPr>
          <w:p w14:paraId="3A2D650E" w14:textId="77777777" w:rsidR="001A39E7" w:rsidRPr="00A847B7" w:rsidRDefault="001A39E7" w:rsidP="003F69A4">
            <w:pPr>
              <w:spacing w:beforeAutospacing="1" w:after="100" w:afterAutospacing="1"/>
              <w:rPr>
                <w:rFonts w:cstheme="minorHAnsi"/>
              </w:rPr>
            </w:pPr>
            <w:r w:rsidRPr="00A847B7">
              <w:rPr>
                <w:rFonts w:cstheme="minorHAnsi"/>
              </w:rPr>
              <w:t xml:space="preserve">169 </w:t>
            </w:r>
          </w:p>
        </w:tc>
        <w:tc>
          <w:tcPr>
            <w:tcW w:w="2795" w:type="dxa"/>
          </w:tcPr>
          <w:p w14:paraId="7A8AA592" w14:textId="77777777" w:rsidR="001A39E7" w:rsidRPr="00A847B7" w:rsidRDefault="001A39E7" w:rsidP="003F69A4">
            <w:pPr>
              <w:spacing w:beforeAutospacing="1" w:after="100" w:afterAutospacing="1"/>
              <w:rPr>
                <w:rFonts w:cstheme="minorHAnsi"/>
              </w:rPr>
            </w:pPr>
            <w:r w:rsidRPr="00A847B7">
              <w:rPr>
                <w:rFonts w:cstheme="minorHAnsi"/>
              </w:rPr>
              <w:t xml:space="preserve">2 918 </w:t>
            </w:r>
          </w:p>
        </w:tc>
      </w:tr>
      <w:tr w:rsidR="001A39E7" w:rsidRPr="00A847B7" w14:paraId="316B004E" w14:textId="77777777" w:rsidTr="003F69A4">
        <w:trPr>
          <w:trHeight w:val="109"/>
        </w:trPr>
        <w:tc>
          <w:tcPr>
            <w:tcW w:w="2795" w:type="dxa"/>
          </w:tcPr>
          <w:p w14:paraId="5095548D" w14:textId="77777777" w:rsidR="001A39E7" w:rsidRPr="00A847B7" w:rsidRDefault="001A39E7" w:rsidP="003F69A4">
            <w:pPr>
              <w:spacing w:beforeAutospacing="1" w:after="100" w:afterAutospacing="1"/>
              <w:rPr>
                <w:rFonts w:cstheme="minorHAnsi"/>
              </w:rPr>
            </w:pPr>
            <w:r w:rsidRPr="00A847B7">
              <w:rPr>
                <w:rFonts w:cstheme="minorHAnsi"/>
              </w:rPr>
              <w:t xml:space="preserve">170 </w:t>
            </w:r>
          </w:p>
        </w:tc>
        <w:tc>
          <w:tcPr>
            <w:tcW w:w="2795" w:type="dxa"/>
          </w:tcPr>
          <w:p w14:paraId="0BD97BB2" w14:textId="77777777" w:rsidR="001A39E7" w:rsidRPr="00A847B7" w:rsidRDefault="001A39E7" w:rsidP="003F69A4">
            <w:pPr>
              <w:spacing w:beforeAutospacing="1" w:after="100" w:afterAutospacing="1"/>
              <w:rPr>
                <w:rFonts w:cstheme="minorHAnsi"/>
              </w:rPr>
            </w:pPr>
            <w:r w:rsidRPr="00A847B7">
              <w:rPr>
                <w:rFonts w:cstheme="minorHAnsi"/>
              </w:rPr>
              <w:t xml:space="preserve">3 119 </w:t>
            </w:r>
          </w:p>
        </w:tc>
      </w:tr>
      <w:tr w:rsidR="003F69A4" w:rsidRPr="00A847B7" w14:paraId="7ACDADA7" w14:textId="77777777" w:rsidTr="003F69A4">
        <w:trPr>
          <w:trHeight w:val="109"/>
        </w:trPr>
        <w:tc>
          <w:tcPr>
            <w:tcW w:w="2795" w:type="dxa"/>
          </w:tcPr>
          <w:p w14:paraId="77AD3121" w14:textId="77777777" w:rsidR="003F69A4" w:rsidRPr="00A847B7" w:rsidRDefault="003F69A4" w:rsidP="003F69A4">
            <w:pPr>
              <w:spacing w:beforeAutospacing="1" w:after="100" w:afterAutospacing="1"/>
              <w:rPr>
                <w:rFonts w:cstheme="minorHAnsi"/>
              </w:rPr>
            </w:pPr>
            <w:r w:rsidRPr="00A847B7">
              <w:rPr>
                <w:rFonts w:cstheme="minorHAnsi"/>
              </w:rPr>
              <w:t xml:space="preserve">171 </w:t>
            </w:r>
          </w:p>
        </w:tc>
        <w:tc>
          <w:tcPr>
            <w:tcW w:w="2795" w:type="dxa"/>
          </w:tcPr>
          <w:p w14:paraId="4A42AC02" w14:textId="77777777" w:rsidR="003F69A4" w:rsidRPr="00A847B7" w:rsidRDefault="003F69A4" w:rsidP="003F69A4">
            <w:pPr>
              <w:spacing w:beforeAutospacing="1" w:after="100" w:afterAutospacing="1"/>
              <w:rPr>
                <w:rFonts w:cstheme="minorHAnsi"/>
              </w:rPr>
            </w:pPr>
            <w:r w:rsidRPr="00A847B7">
              <w:rPr>
                <w:rFonts w:cstheme="minorHAnsi"/>
              </w:rPr>
              <w:t xml:space="preserve">3 331 </w:t>
            </w:r>
          </w:p>
        </w:tc>
      </w:tr>
      <w:tr w:rsidR="003F69A4" w:rsidRPr="00A847B7" w14:paraId="14D9CE30" w14:textId="77777777" w:rsidTr="003F69A4">
        <w:trPr>
          <w:trHeight w:val="109"/>
        </w:trPr>
        <w:tc>
          <w:tcPr>
            <w:tcW w:w="2795" w:type="dxa"/>
          </w:tcPr>
          <w:p w14:paraId="3F8BD335" w14:textId="77777777" w:rsidR="003F69A4" w:rsidRPr="00A847B7" w:rsidRDefault="003F69A4" w:rsidP="003F69A4">
            <w:pPr>
              <w:spacing w:beforeAutospacing="1" w:after="100" w:afterAutospacing="1"/>
              <w:rPr>
                <w:rFonts w:cstheme="minorHAnsi"/>
              </w:rPr>
            </w:pPr>
            <w:r w:rsidRPr="00A847B7">
              <w:rPr>
                <w:rFonts w:cstheme="minorHAnsi"/>
              </w:rPr>
              <w:t xml:space="preserve">172 </w:t>
            </w:r>
          </w:p>
        </w:tc>
        <w:tc>
          <w:tcPr>
            <w:tcW w:w="2795" w:type="dxa"/>
          </w:tcPr>
          <w:p w14:paraId="723275B0" w14:textId="77777777" w:rsidR="003F69A4" w:rsidRPr="00A847B7" w:rsidRDefault="003F69A4" w:rsidP="003F69A4">
            <w:pPr>
              <w:spacing w:beforeAutospacing="1" w:after="100" w:afterAutospacing="1"/>
              <w:rPr>
                <w:rFonts w:cstheme="minorHAnsi"/>
              </w:rPr>
            </w:pPr>
            <w:r w:rsidRPr="00A847B7">
              <w:rPr>
                <w:rFonts w:cstheme="minorHAnsi"/>
              </w:rPr>
              <w:t xml:space="preserve">3 552 </w:t>
            </w:r>
          </w:p>
        </w:tc>
      </w:tr>
      <w:tr w:rsidR="003F69A4" w:rsidRPr="00A847B7" w14:paraId="512051C9" w14:textId="77777777" w:rsidTr="003F69A4">
        <w:trPr>
          <w:trHeight w:val="109"/>
        </w:trPr>
        <w:tc>
          <w:tcPr>
            <w:tcW w:w="2795" w:type="dxa"/>
          </w:tcPr>
          <w:p w14:paraId="02C7B4A0" w14:textId="77777777" w:rsidR="003F69A4" w:rsidRPr="00A847B7" w:rsidRDefault="003F69A4" w:rsidP="003F69A4">
            <w:pPr>
              <w:spacing w:beforeAutospacing="1" w:after="100" w:afterAutospacing="1"/>
              <w:rPr>
                <w:rFonts w:cstheme="minorHAnsi"/>
              </w:rPr>
            </w:pPr>
            <w:r w:rsidRPr="00A847B7">
              <w:rPr>
                <w:rFonts w:cstheme="minorHAnsi"/>
              </w:rPr>
              <w:t xml:space="preserve">173 </w:t>
            </w:r>
          </w:p>
        </w:tc>
        <w:tc>
          <w:tcPr>
            <w:tcW w:w="2795" w:type="dxa"/>
          </w:tcPr>
          <w:p w14:paraId="4268FF8B" w14:textId="77777777" w:rsidR="003F69A4" w:rsidRPr="00A847B7" w:rsidRDefault="003F69A4" w:rsidP="003F69A4">
            <w:pPr>
              <w:spacing w:beforeAutospacing="1" w:after="100" w:afterAutospacing="1"/>
              <w:rPr>
                <w:rFonts w:cstheme="minorHAnsi"/>
              </w:rPr>
            </w:pPr>
            <w:r w:rsidRPr="00A847B7">
              <w:rPr>
                <w:rFonts w:cstheme="minorHAnsi"/>
              </w:rPr>
              <w:t xml:space="preserve">3 784 </w:t>
            </w:r>
          </w:p>
        </w:tc>
      </w:tr>
      <w:tr w:rsidR="003F69A4" w:rsidRPr="00A847B7" w14:paraId="0F76DFEF" w14:textId="77777777" w:rsidTr="003F69A4">
        <w:trPr>
          <w:trHeight w:val="109"/>
        </w:trPr>
        <w:tc>
          <w:tcPr>
            <w:tcW w:w="2795" w:type="dxa"/>
          </w:tcPr>
          <w:p w14:paraId="5FEE7824" w14:textId="77777777" w:rsidR="003F69A4" w:rsidRPr="00A847B7" w:rsidRDefault="003F69A4" w:rsidP="003F69A4">
            <w:pPr>
              <w:spacing w:beforeAutospacing="1" w:after="100" w:afterAutospacing="1"/>
              <w:rPr>
                <w:rFonts w:cstheme="minorHAnsi"/>
              </w:rPr>
            </w:pPr>
            <w:r w:rsidRPr="00A847B7">
              <w:rPr>
                <w:rFonts w:cstheme="minorHAnsi"/>
              </w:rPr>
              <w:t xml:space="preserve">174 </w:t>
            </w:r>
          </w:p>
        </w:tc>
        <w:tc>
          <w:tcPr>
            <w:tcW w:w="2795" w:type="dxa"/>
          </w:tcPr>
          <w:p w14:paraId="5A83DB09" w14:textId="77777777" w:rsidR="003F69A4" w:rsidRPr="00A847B7" w:rsidRDefault="003F69A4" w:rsidP="003F69A4">
            <w:pPr>
              <w:spacing w:beforeAutospacing="1" w:after="100" w:afterAutospacing="1"/>
              <w:rPr>
                <w:rFonts w:cstheme="minorHAnsi"/>
              </w:rPr>
            </w:pPr>
            <w:r w:rsidRPr="00A847B7">
              <w:rPr>
                <w:rFonts w:cstheme="minorHAnsi"/>
              </w:rPr>
              <w:t xml:space="preserve">4 026 </w:t>
            </w:r>
          </w:p>
        </w:tc>
      </w:tr>
      <w:tr w:rsidR="003F69A4" w:rsidRPr="00A847B7" w14:paraId="58DD96D9" w14:textId="77777777" w:rsidTr="003F69A4">
        <w:trPr>
          <w:trHeight w:val="109"/>
        </w:trPr>
        <w:tc>
          <w:tcPr>
            <w:tcW w:w="2795" w:type="dxa"/>
          </w:tcPr>
          <w:p w14:paraId="5E798A5F" w14:textId="77777777" w:rsidR="003F69A4" w:rsidRPr="00A847B7" w:rsidRDefault="003F69A4" w:rsidP="003F69A4">
            <w:pPr>
              <w:spacing w:beforeAutospacing="1" w:after="100" w:afterAutospacing="1"/>
              <w:rPr>
                <w:rFonts w:cstheme="minorHAnsi"/>
              </w:rPr>
            </w:pPr>
            <w:r w:rsidRPr="00A847B7">
              <w:rPr>
                <w:rFonts w:cstheme="minorHAnsi"/>
              </w:rPr>
              <w:t xml:space="preserve">175 </w:t>
            </w:r>
          </w:p>
        </w:tc>
        <w:tc>
          <w:tcPr>
            <w:tcW w:w="2795" w:type="dxa"/>
          </w:tcPr>
          <w:p w14:paraId="77BE4157" w14:textId="77777777" w:rsidR="003F69A4" w:rsidRPr="00A847B7" w:rsidRDefault="003F69A4" w:rsidP="003F69A4">
            <w:pPr>
              <w:spacing w:beforeAutospacing="1" w:after="100" w:afterAutospacing="1"/>
              <w:rPr>
                <w:rFonts w:cstheme="minorHAnsi"/>
              </w:rPr>
            </w:pPr>
            <w:r w:rsidRPr="00A847B7">
              <w:rPr>
                <w:rFonts w:cstheme="minorHAnsi"/>
              </w:rPr>
              <w:t xml:space="preserve">4 279 </w:t>
            </w:r>
          </w:p>
        </w:tc>
      </w:tr>
      <w:tr w:rsidR="003F69A4" w:rsidRPr="00A847B7" w14:paraId="0B7E4E3D" w14:textId="77777777" w:rsidTr="003F69A4">
        <w:trPr>
          <w:trHeight w:val="109"/>
        </w:trPr>
        <w:tc>
          <w:tcPr>
            <w:tcW w:w="2795" w:type="dxa"/>
          </w:tcPr>
          <w:p w14:paraId="47F0E091" w14:textId="77777777" w:rsidR="003F69A4" w:rsidRPr="00A847B7" w:rsidRDefault="003F69A4" w:rsidP="003F69A4">
            <w:pPr>
              <w:spacing w:beforeAutospacing="1" w:after="100" w:afterAutospacing="1"/>
              <w:rPr>
                <w:rFonts w:cstheme="minorHAnsi"/>
              </w:rPr>
            </w:pPr>
            <w:r w:rsidRPr="00A847B7">
              <w:rPr>
                <w:rFonts w:cstheme="minorHAnsi"/>
              </w:rPr>
              <w:t xml:space="preserve">176 </w:t>
            </w:r>
          </w:p>
        </w:tc>
        <w:tc>
          <w:tcPr>
            <w:tcW w:w="2795" w:type="dxa"/>
          </w:tcPr>
          <w:p w14:paraId="7EE3FD6E" w14:textId="77777777" w:rsidR="003F69A4" w:rsidRPr="00A847B7" w:rsidRDefault="003F69A4" w:rsidP="003F69A4">
            <w:pPr>
              <w:spacing w:beforeAutospacing="1" w:after="100" w:afterAutospacing="1"/>
              <w:rPr>
                <w:rFonts w:cstheme="minorHAnsi"/>
              </w:rPr>
            </w:pPr>
            <w:r w:rsidRPr="00A847B7">
              <w:rPr>
                <w:rFonts w:cstheme="minorHAnsi"/>
              </w:rPr>
              <w:t xml:space="preserve">4 543 </w:t>
            </w:r>
          </w:p>
        </w:tc>
      </w:tr>
      <w:tr w:rsidR="003F69A4" w:rsidRPr="00A847B7" w14:paraId="255A9144" w14:textId="77777777" w:rsidTr="003F69A4">
        <w:trPr>
          <w:trHeight w:val="109"/>
        </w:trPr>
        <w:tc>
          <w:tcPr>
            <w:tcW w:w="2795" w:type="dxa"/>
          </w:tcPr>
          <w:p w14:paraId="078C3595" w14:textId="77777777" w:rsidR="003F69A4" w:rsidRPr="00A847B7" w:rsidRDefault="003F69A4" w:rsidP="003F69A4">
            <w:pPr>
              <w:spacing w:beforeAutospacing="1" w:after="100" w:afterAutospacing="1"/>
              <w:rPr>
                <w:rFonts w:cstheme="minorHAnsi"/>
              </w:rPr>
            </w:pPr>
            <w:r w:rsidRPr="00A847B7">
              <w:rPr>
                <w:rFonts w:cstheme="minorHAnsi"/>
              </w:rPr>
              <w:t xml:space="preserve">177 </w:t>
            </w:r>
          </w:p>
        </w:tc>
        <w:tc>
          <w:tcPr>
            <w:tcW w:w="2795" w:type="dxa"/>
          </w:tcPr>
          <w:p w14:paraId="28F04A2E" w14:textId="77777777" w:rsidR="003F69A4" w:rsidRPr="00A847B7" w:rsidRDefault="003F69A4" w:rsidP="003F69A4">
            <w:pPr>
              <w:spacing w:beforeAutospacing="1" w:after="100" w:afterAutospacing="1"/>
              <w:rPr>
                <w:rFonts w:cstheme="minorHAnsi"/>
              </w:rPr>
            </w:pPr>
            <w:r w:rsidRPr="00A847B7">
              <w:rPr>
                <w:rFonts w:cstheme="minorHAnsi"/>
              </w:rPr>
              <w:t xml:space="preserve">4 818 </w:t>
            </w:r>
          </w:p>
        </w:tc>
      </w:tr>
      <w:tr w:rsidR="003F69A4" w:rsidRPr="00A847B7" w14:paraId="2DC79CFE" w14:textId="77777777" w:rsidTr="003F69A4">
        <w:trPr>
          <w:trHeight w:val="109"/>
        </w:trPr>
        <w:tc>
          <w:tcPr>
            <w:tcW w:w="2795" w:type="dxa"/>
          </w:tcPr>
          <w:p w14:paraId="1E83AD48" w14:textId="77777777" w:rsidR="003F69A4" w:rsidRPr="00A847B7" w:rsidRDefault="003F69A4" w:rsidP="003F69A4">
            <w:pPr>
              <w:spacing w:beforeAutospacing="1" w:after="100" w:afterAutospacing="1"/>
              <w:rPr>
                <w:rFonts w:cstheme="minorHAnsi"/>
              </w:rPr>
            </w:pPr>
            <w:r w:rsidRPr="00A847B7">
              <w:rPr>
                <w:rFonts w:cstheme="minorHAnsi"/>
              </w:rPr>
              <w:t xml:space="preserve">178 </w:t>
            </w:r>
          </w:p>
        </w:tc>
        <w:tc>
          <w:tcPr>
            <w:tcW w:w="2795" w:type="dxa"/>
          </w:tcPr>
          <w:p w14:paraId="3C9B52E3" w14:textId="77777777" w:rsidR="003F69A4" w:rsidRPr="00A847B7" w:rsidRDefault="003F69A4" w:rsidP="003F69A4">
            <w:pPr>
              <w:spacing w:beforeAutospacing="1" w:after="100" w:afterAutospacing="1"/>
              <w:rPr>
                <w:rFonts w:cstheme="minorHAnsi"/>
              </w:rPr>
            </w:pPr>
            <w:r w:rsidRPr="00A847B7">
              <w:rPr>
                <w:rFonts w:cstheme="minorHAnsi"/>
              </w:rPr>
              <w:t xml:space="preserve">5 105 </w:t>
            </w:r>
          </w:p>
        </w:tc>
      </w:tr>
      <w:tr w:rsidR="003F69A4" w:rsidRPr="00A847B7" w14:paraId="24D72682" w14:textId="77777777" w:rsidTr="003F69A4">
        <w:trPr>
          <w:trHeight w:val="109"/>
        </w:trPr>
        <w:tc>
          <w:tcPr>
            <w:tcW w:w="2795" w:type="dxa"/>
          </w:tcPr>
          <w:p w14:paraId="5DDE7D89" w14:textId="77777777" w:rsidR="003F69A4" w:rsidRPr="00A847B7" w:rsidRDefault="003F69A4" w:rsidP="003F69A4">
            <w:pPr>
              <w:spacing w:beforeAutospacing="1" w:after="100" w:afterAutospacing="1"/>
              <w:rPr>
                <w:rFonts w:cstheme="minorHAnsi"/>
              </w:rPr>
            </w:pPr>
            <w:r w:rsidRPr="00A847B7">
              <w:rPr>
                <w:rFonts w:cstheme="minorHAnsi"/>
              </w:rPr>
              <w:t xml:space="preserve">179 </w:t>
            </w:r>
          </w:p>
        </w:tc>
        <w:tc>
          <w:tcPr>
            <w:tcW w:w="2795" w:type="dxa"/>
          </w:tcPr>
          <w:p w14:paraId="3B82D2A0" w14:textId="77777777" w:rsidR="003F69A4" w:rsidRPr="00A847B7" w:rsidRDefault="003F69A4" w:rsidP="003F69A4">
            <w:pPr>
              <w:spacing w:beforeAutospacing="1" w:after="100" w:afterAutospacing="1"/>
              <w:rPr>
                <w:rFonts w:cstheme="minorHAnsi"/>
              </w:rPr>
            </w:pPr>
            <w:r w:rsidRPr="00A847B7">
              <w:rPr>
                <w:rFonts w:cstheme="minorHAnsi"/>
              </w:rPr>
              <w:t xml:space="preserve">5 404 </w:t>
            </w:r>
          </w:p>
        </w:tc>
      </w:tr>
      <w:tr w:rsidR="003F69A4" w:rsidRPr="00A847B7" w14:paraId="5C5A809D" w14:textId="77777777" w:rsidTr="003F69A4">
        <w:trPr>
          <w:trHeight w:val="109"/>
        </w:trPr>
        <w:tc>
          <w:tcPr>
            <w:tcW w:w="2795" w:type="dxa"/>
          </w:tcPr>
          <w:p w14:paraId="6CED0FA8" w14:textId="77777777" w:rsidR="003F69A4" w:rsidRPr="00A847B7" w:rsidRDefault="003F69A4" w:rsidP="003F69A4">
            <w:pPr>
              <w:spacing w:beforeAutospacing="1" w:after="100" w:afterAutospacing="1"/>
              <w:rPr>
                <w:rFonts w:cstheme="minorHAnsi"/>
              </w:rPr>
            </w:pPr>
            <w:r w:rsidRPr="00A847B7">
              <w:rPr>
                <w:rFonts w:cstheme="minorHAnsi"/>
              </w:rPr>
              <w:t xml:space="preserve">180 </w:t>
            </w:r>
          </w:p>
        </w:tc>
        <w:tc>
          <w:tcPr>
            <w:tcW w:w="2795" w:type="dxa"/>
          </w:tcPr>
          <w:p w14:paraId="5D7E9657" w14:textId="77777777" w:rsidR="003F69A4" w:rsidRPr="00A847B7" w:rsidRDefault="003F69A4" w:rsidP="003F69A4">
            <w:pPr>
              <w:spacing w:beforeAutospacing="1" w:after="100" w:afterAutospacing="1"/>
              <w:rPr>
                <w:rFonts w:cstheme="minorHAnsi"/>
              </w:rPr>
            </w:pPr>
            <w:r w:rsidRPr="00A847B7">
              <w:rPr>
                <w:rFonts w:cstheme="minorHAnsi"/>
              </w:rPr>
              <w:t xml:space="preserve">5 715 </w:t>
            </w:r>
          </w:p>
        </w:tc>
      </w:tr>
      <w:tr w:rsidR="003F69A4" w:rsidRPr="00A847B7" w14:paraId="450A872D" w14:textId="77777777" w:rsidTr="003F69A4">
        <w:trPr>
          <w:trHeight w:val="109"/>
        </w:trPr>
        <w:tc>
          <w:tcPr>
            <w:tcW w:w="2795" w:type="dxa"/>
          </w:tcPr>
          <w:p w14:paraId="1704EE4A" w14:textId="77777777" w:rsidR="003F69A4" w:rsidRPr="00A847B7" w:rsidRDefault="003F69A4" w:rsidP="003F69A4">
            <w:pPr>
              <w:spacing w:beforeAutospacing="1" w:after="100" w:afterAutospacing="1"/>
              <w:rPr>
                <w:rFonts w:cstheme="minorHAnsi"/>
              </w:rPr>
            </w:pPr>
            <w:r w:rsidRPr="00A847B7">
              <w:rPr>
                <w:rFonts w:cstheme="minorHAnsi"/>
              </w:rPr>
              <w:t xml:space="preserve">181 </w:t>
            </w:r>
          </w:p>
        </w:tc>
        <w:tc>
          <w:tcPr>
            <w:tcW w:w="2795" w:type="dxa"/>
          </w:tcPr>
          <w:p w14:paraId="33364BE6" w14:textId="77777777" w:rsidR="003F69A4" w:rsidRPr="00A847B7" w:rsidRDefault="003F69A4" w:rsidP="003F69A4">
            <w:pPr>
              <w:spacing w:beforeAutospacing="1" w:after="100" w:afterAutospacing="1"/>
              <w:rPr>
                <w:rFonts w:cstheme="minorHAnsi"/>
              </w:rPr>
            </w:pPr>
            <w:r w:rsidRPr="00A847B7">
              <w:rPr>
                <w:rFonts w:cstheme="minorHAnsi"/>
              </w:rPr>
              <w:t xml:space="preserve">6 039 </w:t>
            </w:r>
          </w:p>
        </w:tc>
      </w:tr>
      <w:tr w:rsidR="003F69A4" w:rsidRPr="00A847B7" w14:paraId="19C56CA3" w14:textId="77777777" w:rsidTr="003F69A4">
        <w:trPr>
          <w:trHeight w:val="109"/>
        </w:trPr>
        <w:tc>
          <w:tcPr>
            <w:tcW w:w="2795" w:type="dxa"/>
          </w:tcPr>
          <w:p w14:paraId="3FF0B445" w14:textId="77777777" w:rsidR="003F69A4" w:rsidRPr="00A847B7" w:rsidRDefault="003F69A4" w:rsidP="003F69A4">
            <w:pPr>
              <w:spacing w:beforeAutospacing="1" w:after="100" w:afterAutospacing="1"/>
              <w:rPr>
                <w:rFonts w:cstheme="minorHAnsi"/>
              </w:rPr>
            </w:pPr>
            <w:r w:rsidRPr="00A847B7">
              <w:rPr>
                <w:rFonts w:cstheme="minorHAnsi"/>
              </w:rPr>
              <w:t xml:space="preserve">182 </w:t>
            </w:r>
          </w:p>
        </w:tc>
        <w:tc>
          <w:tcPr>
            <w:tcW w:w="2795" w:type="dxa"/>
          </w:tcPr>
          <w:p w14:paraId="10409CA0" w14:textId="77777777" w:rsidR="003F69A4" w:rsidRPr="00A847B7" w:rsidRDefault="003F69A4" w:rsidP="003F69A4">
            <w:pPr>
              <w:spacing w:beforeAutospacing="1" w:after="100" w:afterAutospacing="1"/>
              <w:rPr>
                <w:rFonts w:cstheme="minorHAnsi"/>
              </w:rPr>
            </w:pPr>
            <w:r w:rsidRPr="00A847B7">
              <w:rPr>
                <w:rFonts w:cstheme="minorHAnsi"/>
              </w:rPr>
              <w:t xml:space="preserve">6 375 </w:t>
            </w:r>
          </w:p>
        </w:tc>
      </w:tr>
      <w:tr w:rsidR="003F69A4" w:rsidRPr="00A847B7" w14:paraId="5CADDF1C" w14:textId="77777777" w:rsidTr="003F69A4">
        <w:trPr>
          <w:trHeight w:val="109"/>
        </w:trPr>
        <w:tc>
          <w:tcPr>
            <w:tcW w:w="2795" w:type="dxa"/>
          </w:tcPr>
          <w:p w14:paraId="45E559C5" w14:textId="77777777" w:rsidR="003F69A4" w:rsidRPr="00A847B7" w:rsidRDefault="003F69A4" w:rsidP="003F69A4">
            <w:pPr>
              <w:spacing w:beforeAutospacing="1" w:after="100" w:afterAutospacing="1"/>
              <w:rPr>
                <w:rFonts w:cstheme="minorHAnsi"/>
              </w:rPr>
            </w:pPr>
            <w:r w:rsidRPr="00A847B7">
              <w:rPr>
                <w:rFonts w:cstheme="minorHAnsi"/>
              </w:rPr>
              <w:t xml:space="preserve">183 </w:t>
            </w:r>
          </w:p>
        </w:tc>
        <w:tc>
          <w:tcPr>
            <w:tcW w:w="2795" w:type="dxa"/>
          </w:tcPr>
          <w:p w14:paraId="0AB1A905" w14:textId="77777777" w:rsidR="003F69A4" w:rsidRPr="00A847B7" w:rsidRDefault="003F69A4" w:rsidP="003F69A4">
            <w:pPr>
              <w:spacing w:beforeAutospacing="1" w:after="100" w:afterAutospacing="1"/>
              <w:rPr>
                <w:rFonts w:cstheme="minorHAnsi"/>
              </w:rPr>
            </w:pPr>
            <w:r w:rsidRPr="00A847B7">
              <w:rPr>
                <w:rFonts w:cstheme="minorHAnsi"/>
              </w:rPr>
              <w:t xml:space="preserve">6 724 </w:t>
            </w:r>
          </w:p>
        </w:tc>
      </w:tr>
      <w:tr w:rsidR="003F69A4" w:rsidRPr="00A847B7" w14:paraId="6C7E8F84" w14:textId="77777777" w:rsidTr="003F69A4">
        <w:trPr>
          <w:trHeight w:val="109"/>
        </w:trPr>
        <w:tc>
          <w:tcPr>
            <w:tcW w:w="2795" w:type="dxa"/>
          </w:tcPr>
          <w:p w14:paraId="15551B27" w14:textId="77777777" w:rsidR="003F69A4" w:rsidRPr="00A847B7" w:rsidRDefault="003F69A4" w:rsidP="003F69A4">
            <w:pPr>
              <w:spacing w:beforeAutospacing="1" w:after="100" w:afterAutospacing="1"/>
              <w:rPr>
                <w:rFonts w:cstheme="minorHAnsi"/>
              </w:rPr>
            </w:pPr>
            <w:r w:rsidRPr="00A847B7">
              <w:rPr>
                <w:rFonts w:cstheme="minorHAnsi"/>
              </w:rPr>
              <w:t xml:space="preserve">184 </w:t>
            </w:r>
          </w:p>
        </w:tc>
        <w:tc>
          <w:tcPr>
            <w:tcW w:w="2795" w:type="dxa"/>
          </w:tcPr>
          <w:p w14:paraId="7CFF62CF" w14:textId="77777777" w:rsidR="003F69A4" w:rsidRPr="00A847B7" w:rsidRDefault="003F69A4" w:rsidP="003F69A4">
            <w:pPr>
              <w:spacing w:beforeAutospacing="1" w:after="100" w:afterAutospacing="1"/>
              <w:rPr>
                <w:rFonts w:cstheme="minorHAnsi"/>
              </w:rPr>
            </w:pPr>
            <w:r w:rsidRPr="00A847B7">
              <w:rPr>
                <w:rFonts w:cstheme="minorHAnsi"/>
              </w:rPr>
              <w:t xml:space="preserve">7 086 </w:t>
            </w:r>
          </w:p>
        </w:tc>
      </w:tr>
      <w:tr w:rsidR="003F69A4" w:rsidRPr="00A847B7" w14:paraId="4A2AAF63" w14:textId="77777777" w:rsidTr="003F69A4">
        <w:trPr>
          <w:trHeight w:val="109"/>
        </w:trPr>
        <w:tc>
          <w:tcPr>
            <w:tcW w:w="2795" w:type="dxa"/>
          </w:tcPr>
          <w:p w14:paraId="4E549F95" w14:textId="77777777" w:rsidR="003F69A4" w:rsidRPr="00A847B7" w:rsidRDefault="003F69A4" w:rsidP="003F69A4">
            <w:pPr>
              <w:spacing w:beforeAutospacing="1" w:after="100" w:afterAutospacing="1"/>
              <w:rPr>
                <w:rFonts w:cstheme="minorHAnsi"/>
              </w:rPr>
            </w:pPr>
            <w:r w:rsidRPr="00A847B7">
              <w:rPr>
                <w:rFonts w:cstheme="minorHAnsi"/>
              </w:rPr>
              <w:t xml:space="preserve">185 </w:t>
            </w:r>
          </w:p>
        </w:tc>
        <w:tc>
          <w:tcPr>
            <w:tcW w:w="2795" w:type="dxa"/>
          </w:tcPr>
          <w:p w14:paraId="1F7AEEDF" w14:textId="77777777" w:rsidR="003F69A4" w:rsidRPr="00A847B7" w:rsidRDefault="003F69A4" w:rsidP="003F69A4">
            <w:pPr>
              <w:spacing w:beforeAutospacing="1" w:after="100" w:afterAutospacing="1"/>
              <w:rPr>
                <w:rFonts w:cstheme="minorHAnsi"/>
              </w:rPr>
            </w:pPr>
            <w:r w:rsidRPr="00A847B7">
              <w:rPr>
                <w:rFonts w:cstheme="minorHAnsi"/>
              </w:rPr>
              <w:t xml:space="preserve">7 462 </w:t>
            </w:r>
          </w:p>
        </w:tc>
      </w:tr>
      <w:tr w:rsidR="003F69A4" w:rsidRPr="00A847B7" w14:paraId="6C0F42D5" w14:textId="77777777" w:rsidTr="003F69A4">
        <w:trPr>
          <w:trHeight w:val="109"/>
        </w:trPr>
        <w:tc>
          <w:tcPr>
            <w:tcW w:w="2795" w:type="dxa"/>
          </w:tcPr>
          <w:p w14:paraId="629742A7" w14:textId="77777777" w:rsidR="003F69A4" w:rsidRPr="00A847B7" w:rsidRDefault="003F69A4" w:rsidP="003F69A4">
            <w:pPr>
              <w:spacing w:beforeAutospacing="1" w:after="100" w:afterAutospacing="1"/>
              <w:rPr>
                <w:rFonts w:cstheme="minorHAnsi"/>
              </w:rPr>
            </w:pPr>
            <w:r w:rsidRPr="00A847B7">
              <w:rPr>
                <w:rFonts w:cstheme="minorHAnsi"/>
              </w:rPr>
              <w:t xml:space="preserve">186 </w:t>
            </w:r>
          </w:p>
        </w:tc>
        <w:tc>
          <w:tcPr>
            <w:tcW w:w="2795" w:type="dxa"/>
          </w:tcPr>
          <w:p w14:paraId="5FE4EAC4" w14:textId="77777777" w:rsidR="003F69A4" w:rsidRPr="00A847B7" w:rsidRDefault="003F69A4" w:rsidP="003F69A4">
            <w:pPr>
              <w:spacing w:beforeAutospacing="1" w:after="100" w:afterAutospacing="1"/>
              <w:rPr>
                <w:rFonts w:cstheme="minorHAnsi"/>
              </w:rPr>
            </w:pPr>
            <w:r w:rsidRPr="00A847B7">
              <w:rPr>
                <w:rFonts w:cstheme="minorHAnsi"/>
              </w:rPr>
              <w:t xml:space="preserve">7 851 </w:t>
            </w:r>
          </w:p>
        </w:tc>
      </w:tr>
      <w:tr w:rsidR="003F69A4" w:rsidRPr="00A847B7" w14:paraId="5DB14FA4" w14:textId="77777777" w:rsidTr="003F69A4">
        <w:trPr>
          <w:trHeight w:val="109"/>
        </w:trPr>
        <w:tc>
          <w:tcPr>
            <w:tcW w:w="2795" w:type="dxa"/>
          </w:tcPr>
          <w:p w14:paraId="2083D938" w14:textId="77777777" w:rsidR="003F69A4" w:rsidRPr="00A847B7" w:rsidRDefault="003F69A4" w:rsidP="003F69A4">
            <w:pPr>
              <w:spacing w:beforeAutospacing="1" w:after="100" w:afterAutospacing="1"/>
              <w:rPr>
                <w:rFonts w:cstheme="minorHAnsi"/>
              </w:rPr>
            </w:pPr>
            <w:r w:rsidRPr="00A847B7">
              <w:rPr>
                <w:rFonts w:cstheme="minorHAnsi"/>
              </w:rPr>
              <w:t xml:space="preserve">187 </w:t>
            </w:r>
          </w:p>
        </w:tc>
        <w:tc>
          <w:tcPr>
            <w:tcW w:w="2795" w:type="dxa"/>
          </w:tcPr>
          <w:p w14:paraId="7D310C49" w14:textId="77777777" w:rsidR="003F69A4" w:rsidRPr="00A847B7" w:rsidRDefault="003F69A4" w:rsidP="003F69A4">
            <w:pPr>
              <w:spacing w:beforeAutospacing="1" w:after="100" w:afterAutospacing="1"/>
              <w:rPr>
                <w:rFonts w:cstheme="minorHAnsi"/>
              </w:rPr>
            </w:pPr>
            <w:r w:rsidRPr="00A847B7">
              <w:rPr>
                <w:rFonts w:cstheme="minorHAnsi"/>
              </w:rPr>
              <w:t xml:space="preserve">8 254 </w:t>
            </w:r>
          </w:p>
        </w:tc>
      </w:tr>
      <w:tr w:rsidR="003F69A4" w:rsidRPr="00A847B7" w14:paraId="743C4F0D" w14:textId="77777777" w:rsidTr="003F69A4">
        <w:trPr>
          <w:trHeight w:val="109"/>
        </w:trPr>
        <w:tc>
          <w:tcPr>
            <w:tcW w:w="2795" w:type="dxa"/>
          </w:tcPr>
          <w:p w14:paraId="764941FB" w14:textId="77777777" w:rsidR="003F69A4" w:rsidRPr="00A847B7" w:rsidRDefault="003F69A4" w:rsidP="003F69A4">
            <w:pPr>
              <w:spacing w:beforeAutospacing="1" w:after="100" w:afterAutospacing="1"/>
              <w:rPr>
                <w:rFonts w:cstheme="minorHAnsi"/>
              </w:rPr>
            </w:pPr>
            <w:r w:rsidRPr="00A847B7">
              <w:rPr>
                <w:rFonts w:cstheme="minorHAnsi"/>
              </w:rPr>
              <w:t xml:space="preserve">188 </w:t>
            </w:r>
          </w:p>
        </w:tc>
        <w:tc>
          <w:tcPr>
            <w:tcW w:w="2795" w:type="dxa"/>
          </w:tcPr>
          <w:p w14:paraId="7375409A" w14:textId="77777777" w:rsidR="003F69A4" w:rsidRPr="00A847B7" w:rsidRDefault="003F69A4" w:rsidP="003F69A4">
            <w:pPr>
              <w:spacing w:beforeAutospacing="1" w:after="100" w:afterAutospacing="1"/>
              <w:rPr>
                <w:rFonts w:cstheme="minorHAnsi"/>
              </w:rPr>
            </w:pPr>
            <w:r w:rsidRPr="00A847B7">
              <w:rPr>
                <w:rFonts w:cstheme="minorHAnsi"/>
              </w:rPr>
              <w:t xml:space="preserve">8 671 </w:t>
            </w:r>
          </w:p>
        </w:tc>
      </w:tr>
      <w:tr w:rsidR="003F69A4" w:rsidRPr="00A847B7" w14:paraId="6E6E8C50" w14:textId="77777777" w:rsidTr="003F69A4">
        <w:trPr>
          <w:trHeight w:val="109"/>
        </w:trPr>
        <w:tc>
          <w:tcPr>
            <w:tcW w:w="2795" w:type="dxa"/>
          </w:tcPr>
          <w:p w14:paraId="48B19058" w14:textId="77777777" w:rsidR="003F69A4" w:rsidRPr="00A847B7" w:rsidRDefault="003F69A4" w:rsidP="003F69A4">
            <w:pPr>
              <w:spacing w:beforeAutospacing="1" w:after="100" w:afterAutospacing="1"/>
              <w:rPr>
                <w:rFonts w:cstheme="minorHAnsi"/>
              </w:rPr>
            </w:pPr>
            <w:r w:rsidRPr="00A847B7">
              <w:rPr>
                <w:rFonts w:cstheme="minorHAnsi"/>
              </w:rPr>
              <w:t xml:space="preserve">189 </w:t>
            </w:r>
          </w:p>
        </w:tc>
        <w:tc>
          <w:tcPr>
            <w:tcW w:w="2795" w:type="dxa"/>
          </w:tcPr>
          <w:p w14:paraId="5EFB6C17" w14:textId="77777777" w:rsidR="003F69A4" w:rsidRPr="00A847B7" w:rsidRDefault="003F69A4" w:rsidP="003F69A4">
            <w:pPr>
              <w:spacing w:beforeAutospacing="1" w:after="100" w:afterAutospacing="1"/>
              <w:rPr>
                <w:rFonts w:cstheme="minorHAnsi"/>
              </w:rPr>
            </w:pPr>
            <w:r w:rsidRPr="00A847B7">
              <w:rPr>
                <w:rFonts w:cstheme="minorHAnsi"/>
              </w:rPr>
              <w:t xml:space="preserve">9 103 </w:t>
            </w:r>
          </w:p>
        </w:tc>
      </w:tr>
      <w:tr w:rsidR="003F69A4" w:rsidRPr="00A847B7" w14:paraId="275B0F9A" w14:textId="77777777" w:rsidTr="003F69A4">
        <w:trPr>
          <w:trHeight w:val="109"/>
        </w:trPr>
        <w:tc>
          <w:tcPr>
            <w:tcW w:w="2795" w:type="dxa"/>
          </w:tcPr>
          <w:p w14:paraId="2209D0BA" w14:textId="77777777" w:rsidR="003F69A4" w:rsidRPr="00A847B7" w:rsidRDefault="003F69A4" w:rsidP="003F69A4">
            <w:pPr>
              <w:spacing w:beforeAutospacing="1" w:after="100" w:afterAutospacing="1"/>
              <w:rPr>
                <w:rFonts w:cstheme="minorHAnsi"/>
              </w:rPr>
            </w:pPr>
            <w:r w:rsidRPr="00A847B7">
              <w:rPr>
                <w:rFonts w:cstheme="minorHAnsi"/>
              </w:rPr>
              <w:t xml:space="preserve">190 </w:t>
            </w:r>
          </w:p>
        </w:tc>
        <w:tc>
          <w:tcPr>
            <w:tcW w:w="2795" w:type="dxa"/>
          </w:tcPr>
          <w:p w14:paraId="6D992631" w14:textId="77777777" w:rsidR="003F69A4" w:rsidRPr="00A847B7" w:rsidRDefault="003F69A4" w:rsidP="003F69A4">
            <w:pPr>
              <w:spacing w:beforeAutospacing="1" w:after="100" w:afterAutospacing="1"/>
              <w:rPr>
                <w:rFonts w:cstheme="minorHAnsi"/>
              </w:rPr>
            </w:pPr>
            <w:r w:rsidRPr="00A847B7">
              <w:rPr>
                <w:rFonts w:cstheme="minorHAnsi"/>
              </w:rPr>
              <w:t xml:space="preserve">9 550 </w:t>
            </w:r>
          </w:p>
        </w:tc>
      </w:tr>
      <w:tr w:rsidR="003F69A4" w:rsidRPr="00A847B7" w14:paraId="55571524" w14:textId="77777777" w:rsidTr="003F69A4">
        <w:trPr>
          <w:trHeight w:val="109"/>
        </w:trPr>
        <w:tc>
          <w:tcPr>
            <w:tcW w:w="2795" w:type="dxa"/>
          </w:tcPr>
          <w:p w14:paraId="6B724CB4" w14:textId="77777777" w:rsidR="003F69A4" w:rsidRPr="00A847B7" w:rsidRDefault="003F69A4" w:rsidP="003F69A4">
            <w:pPr>
              <w:spacing w:beforeAutospacing="1" w:after="100" w:afterAutospacing="1"/>
              <w:rPr>
                <w:rFonts w:cstheme="minorHAnsi"/>
              </w:rPr>
            </w:pPr>
            <w:r w:rsidRPr="00A847B7">
              <w:rPr>
                <w:rFonts w:cstheme="minorHAnsi"/>
              </w:rPr>
              <w:t xml:space="preserve">191 </w:t>
            </w:r>
          </w:p>
        </w:tc>
        <w:tc>
          <w:tcPr>
            <w:tcW w:w="2795" w:type="dxa"/>
          </w:tcPr>
          <w:p w14:paraId="1AF5735A" w14:textId="77777777" w:rsidR="003F69A4" w:rsidRPr="00A847B7" w:rsidRDefault="003F69A4" w:rsidP="003F69A4">
            <w:pPr>
              <w:spacing w:beforeAutospacing="1" w:after="100" w:afterAutospacing="1"/>
              <w:rPr>
                <w:rFonts w:cstheme="minorHAnsi"/>
              </w:rPr>
            </w:pPr>
            <w:r w:rsidRPr="00A847B7">
              <w:rPr>
                <w:rFonts w:cstheme="minorHAnsi"/>
              </w:rPr>
              <w:t xml:space="preserve">10 011 </w:t>
            </w:r>
          </w:p>
        </w:tc>
      </w:tr>
      <w:tr w:rsidR="003F69A4" w:rsidRPr="00A847B7" w14:paraId="627BC090" w14:textId="77777777" w:rsidTr="003F69A4">
        <w:trPr>
          <w:trHeight w:val="109"/>
        </w:trPr>
        <w:tc>
          <w:tcPr>
            <w:tcW w:w="2795" w:type="dxa"/>
          </w:tcPr>
          <w:p w14:paraId="08D2F0EE" w14:textId="77777777" w:rsidR="003F69A4" w:rsidRPr="00A847B7" w:rsidRDefault="003F69A4" w:rsidP="003F69A4">
            <w:pPr>
              <w:spacing w:beforeAutospacing="1" w:after="100" w:afterAutospacing="1"/>
              <w:rPr>
                <w:rFonts w:cstheme="minorHAnsi"/>
              </w:rPr>
            </w:pPr>
            <w:r w:rsidRPr="00A847B7">
              <w:rPr>
                <w:rFonts w:cstheme="minorHAnsi"/>
              </w:rPr>
              <w:t xml:space="preserve">192 </w:t>
            </w:r>
          </w:p>
        </w:tc>
        <w:tc>
          <w:tcPr>
            <w:tcW w:w="2795" w:type="dxa"/>
          </w:tcPr>
          <w:p w14:paraId="1F718EB0" w14:textId="77777777" w:rsidR="003F69A4" w:rsidRPr="00A847B7" w:rsidRDefault="003F69A4" w:rsidP="003F69A4">
            <w:pPr>
              <w:spacing w:beforeAutospacing="1" w:after="100" w:afterAutospacing="1"/>
              <w:rPr>
                <w:rFonts w:cstheme="minorHAnsi"/>
              </w:rPr>
            </w:pPr>
            <w:r w:rsidRPr="00A847B7">
              <w:rPr>
                <w:rFonts w:cstheme="minorHAnsi"/>
              </w:rPr>
              <w:t xml:space="preserve">10 488 </w:t>
            </w:r>
          </w:p>
        </w:tc>
      </w:tr>
      <w:tr w:rsidR="003F69A4" w:rsidRPr="00A847B7" w14:paraId="746D2953" w14:textId="77777777" w:rsidTr="003F69A4">
        <w:trPr>
          <w:trHeight w:val="109"/>
        </w:trPr>
        <w:tc>
          <w:tcPr>
            <w:tcW w:w="2795" w:type="dxa"/>
          </w:tcPr>
          <w:p w14:paraId="40975138" w14:textId="77777777" w:rsidR="003F69A4" w:rsidRPr="00A847B7" w:rsidRDefault="003F69A4" w:rsidP="003F69A4">
            <w:pPr>
              <w:spacing w:beforeAutospacing="1" w:after="100" w:afterAutospacing="1"/>
              <w:rPr>
                <w:rFonts w:cstheme="minorHAnsi"/>
              </w:rPr>
            </w:pPr>
            <w:r w:rsidRPr="00A847B7">
              <w:rPr>
                <w:rFonts w:cstheme="minorHAnsi"/>
              </w:rPr>
              <w:t xml:space="preserve">193 </w:t>
            </w:r>
          </w:p>
        </w:tc>
        <w:tc>
          <w:tcPr>
            <w:tcW w:w="2795" w:type="dxa"/>
          </w:tcPr>
          <w:p w14:paraId="0813A352" w14:textId="77777777" w:rsidR="003F69A4" w:rsidRPr="00A847B7" w:rsidRDefault="003F69A4" w:rsidP="003F69A4">
            <w:pPr>
              <w:spacing w:beforeAutospacing="1" w:after="100" w:afterAutospacing="1"/>
              <w:rPr>
                <w:rFonts w:cstheme="minorHAnsi"/>
              </w:rPr>
            </w:pPr>
            <w:r w:rsidRPr="00A847B7">
              <w:rPr>
                <w:rFonts w:cstheme="minorHAnsi"/>
              </w:rPr>
              <w:t xml:space="preserve">10 980 </w:t>
            </w:r>
          </w:p>
        </w:tc>
      </w:tr>
      <w:tr w:rsidR="003F69A4" w:rsidRPr="00A847B7" w14:paraId="4FAAA353" w14:textId="77777777" w:rsidTr="003F69A4">
        <w:trPr>
          <w:trHeight w:val="109"/>
        </w:trPr>
        <w:tc>
          <w:tcPr>
            <w:tcW w:w="2795" w:type="dxa"/>
          </w:tcPr>
          <w:p w14:paraId="1AD73942" w14:textId="77777777" w:rsidR="003F69A4" w:rsidRPr="00A847B7" w:rsidRDefault="003F69A4" w:rsidP="003F69A4">
            <w:pPr>
              <w:spacing w:beforeAutospacing="1" w:after="100" w:afterAutospacing="1"/>
              <w:rPr>
                <w:rFonts w:cstheme="minorHAnsi"/>
              </w:rPr>
            </w:pPr>
            <w:r w:rsidRPr="00A847B7">
              <w:rPr>
                <w:rFonts w:cstheme="minorHAnsi"/>
              </w:rPr>
              <w:t xml:space="preserve">194 </w:t>
            </w:r>
          </w:p>
        </w:tc>
        <w:tc>
          <w:tcPr>
            <w:tcW w:w="2795" w:type="dxa"/>
          </w:tcPr>
          <w:p w14:paraId="4DBC663A" w14:textId="77777777" w:rsidR="003F69A4" w:rsidRPr="00A847B7" w:rsidRDefault="003F69A4" w:rsidP="003F69A4">
            <w:pPr>
              <w:spacing w:beforeAutospacing="1" w:after="100" w:afterAutospacing="1"/>
              <w:rPr>
                <w:rFonts w:cstheme="minorHAnsi"/>
              </w:rPr>
            </w:pPr>
            <w:r w:rsidRPr="00A847B7">
              <w:rPr>
                <w:rFonts w:cstheme="minorHAnsi"/>
              </w:rPr>
              <w:t xml:space="preserve">11 488 </w:t>
            </w:r>
          </w:p>
        </w:tc>
      </w:tr>
      <w:tr w:rsidR="003F69A4" w:rsidRPr="00A847B7" w14:paraId="6A72CC55" w14:textId="77777777" w:rsidTr="003F69A4">
        <w:trPr>
          <w:trHeight w:val="109"/>
        </w:trPr>
        <w:tc>
          <w:tcPr>
            <w:tcW w:w="2795" w:type="dxa"/>
          </w:tcPr>
          <w:p w14:paraId="60488257" w14:textId="77777777" w:rsidR="003F69A4" w:rsidRPr="00A847B7" w:rsidRDefault="003F69A4" w:rsidP="003F69A4">
            <w:pPr>
              <w:spacing w:beforeAutospacing="1" w:after="100" w:afterAutospacing="1"/>
              <w:rPr>
                <w:rFonts w:cstheme="minorHAnsi"/>
              </w:rPr>
            </w:pPr>
            <w:r w:rsidRPr="00A847B7">
              <w:rPr>
                <w:rFonts w:cstheme="minorHAnsi"/>
              </w:rPr>
              <w:t xml:space="preserve">195 </w:t>
            </w:r>
          </w:p>
        </w:tc>
        <w:tc>
          <w:tcPr>
            <w:tcW w:w="2795" w:type="dxa"/>
          </w:tcPr>
          <w:p w14:paraId="58BD1F9E" w14:textId="77777777" w:rsidR="003F69A4" w:rsidRPr="00A847B7" w:rsidRDefault="003F69A4" w:rsidP="003F69A4">
            <w:pPr>
              <w:spacing w:beforeAutospacing="1" w:after="100" w:afterAutospacing="1"/>
              <w:rPr>
                <w:rFonts w:cstheme="minorHAnsi"/>
              </w:rPr>
            </w:pPr>
            <w:r w:rsidRPr="00A847B7">
              <w:rPr>
                <w:rFonts w:cstheme="minorHAnsi"/>
              </w:rPr>
              <w:t xml:space="preserve">12 012 </w:t>
            </w:r>
          </w:p>
        </w:tc>
      </w:tr>
      <w:tr w:rsidR="003F69A4" w:rsidRPr="00A847B7" w14:paraId="010A9C79" w14:textId="77777777" w:rsidTr="003F69A4">
        <w:trPr>
          <w:trHeight w:val="109"/>
        </w:trPr>
        <w:tc>
          <w:tcPr>
            <w:tcW w:w="2795" w:type="dxa"/>
          </w:tcPr>
          <w:p w14:paraId="5115D436" w14:textId="77777777" w:rsidR="003F69A4" w:rsidRPr="00A847B7" w:rsidRDefault="003F69A4" w:rsidP="003F69A4">
            <w:pPr>
              <w:spacing w:beforeAutospacing="1" w:after="100" w:afterAutospacing="1"/>
              <w:rPr>
                <w:rFonts w:cstheme="minorHAnsi"/>
              </w:rPr>
            </w:pPr>
            <w:r w:rsidRPr="00A847B7">
              <w:rPr>
                <w:rFonts w:cstheme="minorHAnsi"/>
              </w:rPr>
              <w:t xml:space="preserve">196 </w:t>
            </w:r>
          </w:p>
        </w:tc>
        <w:tc>
          <w:tcPr>
            <w:tcW w:w="2795" w:type="dxa"/>
          </w:tcPr>
          <w:p w14:paraId="4D7AF4B5" w14:textId="77777777" w:rsidR="003F69A4" w:rsidRPr="00A847B7" w:rsidRDefault="003F69A4" w:rsidP="003F69A4">
            <w:pPr>
              <w:spacing w:beforeAutospacing="1" w:after="100" w:afterAutospacing="1"/>
              <w:rPr>
                <w:rFonts w:cstheme="minorHAnsi"/>
              </w:rPr>
            </w:pPr>
            <w:r w:rsidRPr="00A847B7">
              <w:rPr>
                <w:rFonts w:cstheme="minorHAnsi"/>
              </w:rPr>
              <w:t xml:space="preserve">12 552 </w:t>
            </w:r>
          </w:p>
        </w:tc>
      </w:tr>
      <w:tr w:rsidR="003F69A4" w:rsidRPr="00A847B7" w14:paraId="79506807" w14:textId="77777777" w:rsidTr="003F69A4">
        <w:trPr>
          <w:trHeight w:val="109"/>
        </w:trPr>
        <w:tc>
          <w:tcPr>
            <w:tcW w:w="2795" w:type="dxa"/>
          </w:tcPr>
          <w:p w14:paraId="0F2183D5" w14:textId="77777777" w:rsidR="003F69A4" w:rsidRPr="00A847B7" w:rsidRDefault="003F69A4" w:rsidP="003F69A4">
            <w:pPr>
              <w:spacing w:beforeAutospacing="1" w:after="100" w:afterAutospacing="1"/>
              <w:rPr>
                <w:rFonts w:cstheme="minorHAnsi"/>
              </w:rPr>
            </w:pPr>
            <w:r w:rsidRPr="00A847B7">
              <w:rPr>
                <w:rFonts w:cstheme="minorHAnsi"/>
              </w:rPr>
              <w:t xml:space="preserve">197 </w:t>
            </w:r>
          </w:p>
        </w:tc>
        <w:tc>
          <w:tcPr>
            <w:tcW w:w="2795" w:type="dxa"/>
          </w:tcPr>
          <w:p w14:paraId="13CB4CDD" w14:textId="77777777" w:rsidR="003F69A4" w:rsidRPr="00A847B7" w:rsidRDefault="003F69A4" w:rsidP="003F69A4">
            <w:pPr>
              <w:spacing w:beforeAutospacing="1" w:after="100" w:afterAutospacing="1"/>
              <w:rPr>
                <w:rFonts w:cstheme="minorHAnsi"/>
              </w:rPr>
            </w:pPr>
            <w:r w:rsidRPr="00A847B7">
              <w:rPr>
                <w:rFonts w:cstheme="minorHAnsi"/>
              </w:rPr>
              <w:t xml:space="preserve">13 109 </w:t>
            </w:r>
          </w:p>
        </w:tc>
      </w:tr>
      <w:tr w:rsidR="003F69A4" w:rsidRPr="00A847B7" w14:paraId="69EC30D5" w14:textId="77777777" w:rsidTr="003F69A4">
        <w:trPr>
          <w:trHeight w:val="109"/>
        </w:trPr>
        <w:tc>
          <w:tcPr>
            <w:tcW w:w="2795" w:type="dxa"/>
          </w:tcPr>
          <w:p w14:paraId="1CB3BD68" w14:textId="77777777" w:rsidR="003F69A4" w:rsidRPr="00A847B7" w:rsidRDefault="003F69A4" w:rsidP="003F69A4">
            <w:pPr>
              <w:spacing w:beforeAutospacing="1" w:after="100" w:afterAutospacing="1"/>
              <w:rPr>
                <w:rFonts w:cstheme="minorHAnsi"/>
              </w:rPr>
            </w:pPr>
            <w:r w:rsidRPr="00A847B7">
              <w:rPr>
                <w:rFonts w:cstheme="minorHAnsi"/>
              </w:rPr>
              <w:t xml:space="preserve">198 </w:t>
            </w:r>
          </w:p>
        </w:tc>
        <w:tc>
          <w:tcPr>
            <w:tcW w:w="2795" w:type="dxa"/>
          </w:tcPr>
          <w:p w14:paraId="36760D62" w14:textId="77777777" w:rsidR="003F69A4" w:rsidRPr="00A847B7" w:rsidRDefault="003F69A4" w:rsidP="003F69A4">
            <w:pPr>
              <w:spacing w:beforeAutospacing="1" w:after="100" w:afterAutospacing="1"/>
              <w:rPr>
                <w:rFonts w:cstheme="minorHAnsi"/>
              </w:rPr>
            </w:pPr>
            <w:r w:rsidRPr="00A847B7">
              <w:rPr>
                <w:rFonts w:cstheme="minorHAnsi"/>
              </w:rPr>
              <w:t xml:space="preserve">13 682 </w:t>
            </w:r>
          </w:p>
        </w:tc>
      </w:tr>
      <w:tr w:rsidR="003F69A4" w:rsidRPr="00A847B7" w14:paraId="03C83029" w14:textId="77777777" w:rsidTr="003F69A4">
        <w:trPr>
          <w:trHeight w:val="109"/>
        </w:trPr>
        <w:tc>
          <w:tcPr>
            <w:tcW w:w="2795" w:type="dxa"/>
          </w:tcPr>
          <w:p w14:paraId="251A391E" w14:textId="77777777" w:rsidR="003F69A4" w:rsidRPr="00A847B7" w:rsidRDefault="003F69A4" w:rsidP="003F69A4">
            <w:pPr>
              <w:spacing w:beforeAutospacing="1" w:after="100" w:afterAutospacing="1"/>
              <w:rPr>
                <w:rFonts w:cstheme="minorHAnsi"/>
              </w:rPr>
            </w:pPr>
            <w:r w:rsidRPr="00A847B7">
              <w:rPr>
                <w:rFonts w:cstheme="minorHAnsi"/>
              </w:rPr>
              <w:t xml:space="preserve">199 </w:t>
            </w:r>
          </w:p>
        </w:tc>
        <w:tc>
          <w:tcPr>
            <w:tcW w:w="2795" w:type="dxa"/>
          </w:tcPr>
          <w:p w14:paraId="7A0DF04A" w14:textId="77777777" w:rsidR="003F69A4" w:rsidRPr="00A847B7" w:rsidRDefault="003F69A4" w:rsidP="003F69A4">
            <w:pPr>
              <w:spacing w:beforeAutospacing="1" w:after="100" w:afterAutospacing="1"/>
              <w:rPr>
                <w:rFonts w:cstheme="minorHAnsi"/>
              </w:rPr>
            </w:pPr>
            <w:r w:rsidRPr="00A847B7">
              <w:rPr>
                <w:rFonts w:cstheme="minorHAnsi"/>
              </w:rPr>
              <w:t xml:space="preserve">14 273 </w:t>
            </w:r>
          </w:p>
        </w:tc>
      </w:tr>
      <w:tr w:rsidR="003F69A4" w:rsidRPr="00A847B7" w14:paraId="7CD05ADF" w14:textId="77777777" w:rsidTr="003F69A4">
        <w:trPr>
          <w:trHeight w:val="109"/>
        </w:trPr>
        <w:tc>
          <w:tcPr>
            <w:tcW w:w="2795" w:type="dxa"/>
          </w:tcPr>
          <w:p w14:paraId="31EC5050" w14:textId="77777777" w:rsidR="003F69A4" w:rsidRPr="00A847B7" w:rsidRDefault="003F69A4" w:rsidP="003F69A4">
            <w:pPr>
              <w:spacing w:beforeAutospacing="1" w:after="100" w:afterAutospacing="1"/>
              <w:rPr>
                <w:rFonts w:cstheme="minorHAnsi"/>
              </w:rPr>
            </w:pPr>
            <w:r w:rsidRPr="00A847B7">
              <w:rPr>
                <w:rFonts w:cstheme="minorHAnsi"/>
              </w:rPr>
              <w:t xml:space="preserve">200 </w:t>
            </w:r>
          </w:p>
        </w:tc>
        <w:tc>
          <w:tcPr>
            <w:tcW w:w="2795" w:type="dxa"/>
          </w:tcPr>
          <w:p w14:paraId="51D1E879" w14:textId="77777777" w:rsidR="003F69A4" w:rsidRPr="00A847B7" w:rsidRDefault="003F69A4" w:rsidP="003F69A4">
            <w:pPr>
              <w:spacing w:beforeAutospacing="1" w:after="100" w:afterAutospacing="1"/>
              <w:rPr>
                <w:rFonts w:cstheme="minorHAnsi"/>
              </w:rPr>
            </w:pPr>
            <w:r w:rsidRPr="00A847B7">
              <w:rPr>
                <w:rFonts w:cstheme="minorHAnsi"/>
              </w:rPr>
              <w:t xml:space="preserve">14 881 </w:t>
            </w:r>
          </w:p>
        </w:tc>
      </w:tr>
      <w:tr w:rsidR="003F69A4" w:rsidRPr="00A847B7" w14:paraId="64302CC7" w14:textId="77777777" w:rsidTr="003F69A4">
        <w:trPr>
          <w:trHeight w:val="109"/>
        </w:trPr>
        <w:tc>
          <w:tcPr>
            <w:tcW w:w="2795" w:type="dxa"/>
          </w:tcPr>
          <w:p w14:paraId="603B12F2" w14:textId="77777777" w:rsidR="003F69A4" w:rsidRPr="00A847B7" w:rsidRDefault="003F69A4" w:rsidP="003F69A4">
            <w:pPr>
              <w:spacing w:beforeAutospacing="1" w:after="100" w:afterAutospacing="1"/>
              <w:rPr>
                <w:rFonts w:cstheme="minorHAnsi"/>
              </w:rPr>
            </w:pPr>
            <w:r w:rsidRPr="00A847B7">
              <w:rPr>
                <w:rFonts w:cstheme="minorHAnsi"/>
              </w:rPr>
              <w:t xml:space="preserve">201 </w:t>
            </w:r>
          </w:p>
        </w:tc>
        <w:tc>
          <w:tcPr>
            <w:tcW w:w="2795" w:type="dxa"/>
          </w:tcPr>
          <w:p w14:paraId="5552CA85" w14:textId="77777777" w:rsidR="003F69A4" w:rsidRPr="00A847B7" w:rsidRDefault="003F69A4" w:rsidP="003F69A4">
            <w:pPr>
              <w:spacing w:beforeAutospacing="1" w:after="100" w:afterAutospacing="1"/>
              <w:rPr>
                <w:rFonts w:cstheme="minorHAnsi"/>
              </w:rPr>
            </w:pPr>
            <w:r w:rsidRPr="00A847B7">
              <w:rPr>
                <w:rFonts w:cstheme="minorHAnsi"/>
              </w:rPr>
              <w:t xml:space="preserve">15 506 </w:t>
            </w:r>
          </w:p>
        </w:tc>
      </w:tr>
      <w:tr w:rsidR="003F69A4" w:rsidRPr="00A847B7" w14:paraId="7E74457A" w14:textId="77777777" w:rsidTr="003F69A4">
        <w:trPr>
          <w:trHeight w:val="109"/>
        </w:trPr>
        <w:tc>
          <w:tcPr>
            <w:tcW w:w="2795" w:type="dxa"/>
          </w:tcPr>
          <w:p w14:paraId="2732ADAE" w14:textId="77777777" w:rsidR="003F69A4" w:rsidRPr="00A847B7" w:rsidRDefault="003F69A4" w:rsidP="003F69A4">
            <w:pPr>
              <w:spacing w:beforeAutospacing="1" w:after="100" w:afterAutospacing="1"/>
              <w:rPr>
                <w:rFonts w:cstheme="minorHAnsi"/>
              </w:rPr>
            </w:pPr>
            <w:r w:rsidRPr="00A847B7">
              <w:rPr>
                <w:rFonts w:cstheme="minorHAnsi"/>
              </w:rPr>
              <w:t xml:space="preserve">202 </w:t>
            </w:r>
          </w:p>
        </w:tc>
        <w:tc>
          <w:tcPr>
            <w:tcW w:w="2795" w:type="dxa"/>
          </w:tcPr>
          <w:p w14:paraId="5E3DA874" w14:textId="77777777" w:rsidR="003F69A4" w:rsidRPr="00A847B7" w:rsidRDefault="003F69A4" w:rsidP="003F69A4">
            <w:pPr>
              <w:spacing w:beforeAutospacing="1" w:after="100" w:afterAutospacing="1"/>
              <w:rPr>
                <w:rFonts w:cstheme="minorHAnsi"/>
              </w:rPr>
            </w:pPr>
            <w:r w:rsidRPr="00A847B7">
              <w:rPr>
                <w:rFonts w:cstheme="minorHAnsi"/>
              </w:rPr>
              <w:t xml:space="preserve">16 149 </w:t>
            </w:r>
          </w:p>
        </w:tc>
      </w:tr>
      <w:tr w:rsidR="003F69A4" w:rsidRPr="00A847B7" w14:paraId="316BAB4D" w14:textId="77777777" w:rsidTr="003F69A4">
        <w:trPr>
          <w:trHeight w:val="109"/>
        </w:trPr>
        <w:tc>
          <w:tcPr>
            <w:tcW w:w="2795" w:type="dxa"/>
          </w:tcPr>
          <w:p w14:paraId="4D9A4345" w14:textId="77777777" w:rsidR="003F69A4" w:rsidRPr="00A847B7" w:rsidRDefault="003F69A4" w:rsidP="003F69A4">
            <w:pPr>
              <w:spacing w:beforeAutospacing="1" w:after="100" w:afterAutospacing="1"/>
              <w:rPr>
                <w:rFonts w:cstheme="minorHAnsi"/>
              </w:rPr>
            </w:pPr>
            <w:r w:rsidRPr="00A847B7">
              <w:rPr>
                <w:rFonts w:cstheme="minorHAnsi"/>
              </w:rPr>
              <w:t xml:space="preserve">203 </w:t>
            </w:r>
          </w:p>
        </w:tc>
        <w:tc>
          <w:tcPr>
            <w:tcW w:w="2795" w:type="dxa"/>
          </w:tcPr>
          <w:p w14:paraId="321381EA" w14:textId="77777777" w:rsidR="003F69A4" w:rsidRPr="00A847B7" w:rsidRDefault="003F69A4" w:rsidP="003F69A4">
            <w:pPr>
              <w:spacing w:beforeAutospacing="1" w:after="100" w:afterAutospacing="1"/>
              <w:rPr>
                <w:rFonts w:cstheme="minorHAnsi"/>
              </w:rPr>
            </w:pPr>
            <w:r w:rsidRPr="00A847B7">
              <w:rPr>
                <w:rFonts w:cstheme="minorHAnsi"/>
              </w:rPr>
              <w:t xml:space="preserve">16 810 </w:t>
            </w:r>
          </w:p>
        </w:tc>
      </w:tr>
      <w:tr w:rsidR="003F69A4" w:rsidRPr="00A847B7" w14:paraId="7CB14D95" w14:textId="77777777" w:rsidTr="003F69A4">
        <w:trPr>
          <w:trHeight w:val="109"/>
        </w:trPr>
        <w:tc>
          <w:tcPr>
            <w:tcW w:w="2795" w:type="dxa"/>
          </w:tcPr>
          <w:p w14:paraId="0A9772C8" w14:textId="77777777" w:rsidR="003F69A4" w:rsidRPr="00A847B7" w:rsidRDefault="003F69A4" w:rsidP="003F69A4">
            <w:pPr>
              <w:spacing w:beforeAutospacing="1" w:after="100" w:afterAutospacing="1"/>
              <w:rPr>
                <w:rFonts w:cstheme="minorHAnsi"/>
              </w:rPr>
            </w:pPr>
            <w:r w:rsidRPr="00A847B7">
              <w:rPr>
                <w:rFonts w:cstheme="minorHAnsi"/>
              </w:rPr>
              <w:t xml:space="preserve">204 </w:t>
            </w:r>
          </w:p>
        </w:tc>
        <w:tc>
          <w:tcPr>
            <w:tcW w:w="2795" w:type="dxa"/>
          </w:tcPr>
          <w:p w14:paraId="6F1B12E8" w14:textId="77777777" w:rsidR="003F69A4" w:rsidRPr="00A847B7" w:rsidRDefault="003F69A4" w:rsidP="003F69A4">
            <w:pPr>
              <w:spacing w:beforeAutospacing="1" w:after="100" w:afterAutospacing="1"/>
              <w:rPr>
                <w:rFonts w:cstheme="minorHAnsi"/>
              </w:rPr>
            </w:pPr>
            <w:r w:rsidRPr="00A847B7">
              <w:rPr>
                <w:rFonts w:cstheme="minorHAnsi"/>
              </w:rPr>
              <w:t xml:space="preserve">17 490 </w:t>
            </w:r>
          </w:p>
        </w:tc>
      </w:tr>
      <w:tr w:rsidR="003F69A4" w:rsidRPr="00A847B7" w14:paraId="11DE2B5A" w14:textId="77777777" w:rsidTr="003F69A4">
        <w:trPr>
          <w:trHeight w:val="109"/>
        </w:trPr>
        <w:tc>
          <w:tcPr>
            <w:tcW w:w="2795" w:type="dxa"/>
          </w:tcPr>
          <w:p w14:paraId="38FA3E59" w14:textId="77777777" w:rsidR="003F69A4" w:rsidRPr="00A847B7" w:rsidRDefault="003F69A4" w:rsidP="003F69A4">
            <w:pPr>
              <w:spacing w:beforeAutospacing="1" w:after="100" w:afterAutospacing="1"/>
              <w:rPr>
                <w:rFonts w:cstheme="minorHAnsi"/>
              </w:rPr>
            </w:pPr>
            <w:r w:rsidRPr="00A847B7">
              <w:rPr>
                <w:rFonts w:cstheme="minorHAnsi"/>
              </w:rPr>
              <w:t xml:space="preserve">205 </w:t>
            </w:r>
          </w:p>
        </w:tc>
        <w:tc>
          <w:tcPr>
            <w:tcW w:w="2795" w:type="dxa"/>
          </w:tcPr>
          <w:p w14:paraId="7336A17D" w14:textId="77777777" w:rsidR="003F69A4" w:rsidRPr="00A847B7" w:rsidRDefault="003F69A4" w:rsidP="003F69A4">
            <w:pPr>
              <w:spacing w:beforeAutospacing="1" w:after="100" w:afterAutospacing="1"/>
              <w:rPr>
                <w:rFonts w:cstheme="minorHAnsi"/>
              </w:rPr>
            </w:pPr>
            <w:r w:rsidRPr="00A847B7">
              <w:rPr>
                <w:rFonts w:cstheme="minorHAnsi"/>
              </w:rPr>
              <w:t xml:space="preserve">18 188 </w:t>
            </w:r>
          </w:p>
        </w:tc>
      </w:tr>
      <w:tr w:rsidR="003F69A4" w:rsidRPr="00A847B7" w14:paraId="65EF5E8E" w14:textId="77777777" w:rsidTr="003F69A4">
        <w:trPr>
          <w:trHeight w:val="109"/>
        </w:trPr>
        <w:tc>
          <w:tcPr>
            <w:tcW w:w="2795" w:type="dxa"/>
          </w:tcPr>
          <w:p w14:paraId="1331E7C0" w14:textId="77777777" w:rsidR="003F69A4" w:rsidRPr="00A847B7" w:rsidRDefault="003F69A4" w:rsidP="003F69A4">
            <w:pPr>
              <w:spacing w:beforeAutospacing="1" w:after="100" w:afterAutospacing="1"/>
              <w:rPr>
                <w:rFonts w:cstheme="minorHAnsi"/>
              </w:rPr>
            </w:pPr>
            <w:r w:rsidRPr="00A847B7">
              <w:rPr>
                <w:rFonts w:cstheme="minorHAnsi"/>
              </w:rPr>
              <w:t xml:space="preserve">206 </w:t>
            </w:r>
          </w:p>
        </w:tc>
        <w:tc>
          <w:tcPr>
            <w:tcW w:w="2795" w:type="dxa"/>
          </w:tcPr>
          <w:p w14:paraId="7C94723C" w14:textId="77777777" w:rsidR="003F69A4" w:rsidRPr="00A847B7" w:rsidRDefault="003F69A4" w:rsidP="003F69A4">
            <w:pPr>
              <w:spacing w:beforeAutospacing="1" w:after="100" w:afterAutospacing="1"/>
              <w:rPr>
                <w:rFonts w:cstheme="minorHAnsi"/>
              </w:rPr>
            </w:pPr>
            <w:r w:rsidRPr="00A847B7">
              <w:rPr>
                <w:rFonts w:cstheme="minorHAnsi"/>
              </w:rPr>
              <w:t xml:space="preserve">18 905 </w:t>
            </w:r>
          </w:p>
        </w:tc>
      </w:tr>
      <w:tr w:rsidR="003F69A4" w:rsidRPr="00A847B7" w14:paraId="63D133F1" w14:textId="77777777" w:rsidTr="003F69A4">
        <w:trPr>
          <w:trHeight w:val="109"/>
        </w:trPr>
        <w:tc>
          <w:tcPr>
            <w:tcW w:w="2795" w:type="dxa"/>
          </w:tcPr>
          <w:p w14:paraId="2B0B6A0B" w14:textId="77777777" w:rsidR="003F69A4" w:rsidRPr="00A847B7" w:rsidRDefault="003F69A4" w:rsidP="003F69A4">
            <w:pPr>
              <w:spacing w:beforeAutospacing="1" w:after="100" w:afterAutospacing="1"/>
              <w:rPr>
                <w:rFonts w:cstheme="minorHAnsi"/>
              </w:rPr>
            </w:pPr>
            <w:r w:rsidRPr="00A847B7">
              <w:rPr>
                <w:rFonts w:cstheme="minorHAnsi"/>
              </w:rPr>
              <w:t xml:space="preserve">207 </w:t>
            </w:r>
          </w:p>
        </w:tc>
        <w:tc>
          <w:tcPr>
            <w:tcW w:w="2795" w:type="dxa"/>
          </w:tcPr>
          <w:p w14:paraId="6FEFF685" w14:textId="77777777" w:rsidR="003F69A4" w:rsidRPr="00A847B7" w:rsidRDefault="003F69A4" w:rsidP="003F69A4">
            <w:pPr>
              <w:spacing w:beforeAutospacing="1" w:after="100" w:afterAutospacing="1"/>
              <w:rPr>
                <w:rFonts w:cstheme="minorHAnsi"/>
              </w:rPr>
            </w:pPr>
            <w:r w:rsidRPr="00A847B7">
              <w:rPr>
                <w:rFonts w:cstheme="minorHAnsi"/>
              </w:rPr>
              <w:t xml:space="preserve">19 641 </w:t>
            </w:r>
          </w:p>
        </w:tc>
      </w:tr>
      <w:tr w:rsidR="003F69A4" w:rsidRPr="00A847B7" w14:paraId="4F2A49BB" w14:textId="77777777" w:rsidTr="003F69A4">
        <w:trPr>
          <w:trHeight w:val="109"/>
        </w:trPr>
        <w:tc>
          <w:tcPr>
            <w:tcW w:w="2795" w:type="dxa"/>
          </w:tcPr>
          <w:p w14:paraId="6BC2867B" w14:textId="77777777" w:rsidR="003F69A4" w:rsidRPr="00A847B7" w:rsidRDefault="003F69A4" w:rsidP="003F69A4">
            <w:pPr>
              <w:spacing w:beforeAutospacing="1" w:after="100" w:afterAutospacing="1"/>
              <w:rPr>
                <w:rFonts w:cstheme="minorHAnsi"/>
              </w:rPr>
            </w:pPr>
            <w:r w:rsidRPr="00A847B7">
              <w:rPr>
                <w:rFonts w:cstheme="minorHAnsi"/>
              </w:rPr>
              <w:t xml:space="preserve">208 </w:t>
            </w:r>
          </w:p>
        </w:tc>
        <w:tc>
          <w:tcPr>
            <w:tcW w:w="2795" w:type="dxa"/>
          </w:tcPr>
          <w:p w14:paraId="20AE0609" w14:textId="77777777" w:rsidR="003F69A4" w:rsidRPr="00A847B7" w:rsidRDefault="003F69A4" w:rsidP="003F69A4">
            <w:pPr>
              <w:spacing w:beforeAutospacing="1" w:after="100" w:afterAutospacing="1"/>
              <w:rPr>
                <w:rFonts w:cstheme="minorHAnsi"/>
              </w:rPr>
            </w:pPr>
            <w:r w:rsidRPr="00A847B7">
              <w:rPr>
                <w:rFonts w:cstheme="minorHAnsi"/>
              </w:rPr>
              <w:t xml:space="preserve">20 396 </w:t>
            </w:r>
          </w:p>
        </w:tc>
      </w:tr>
      <w:tr w:rsidR="003F69A4" w:rsidRPr="00A847B7" w14:paraId="52F141E2" w14:textId="77777777" w:rsidTr="003F69A4">
        <w:trPr>
          <w:trHeight w:val="109"/>
        </w:trPr>
        <w:tc>
          <w:tcPr>
            <w:tcW w:w="2795" w:type="dxa"/>
          </w:tcPr>
          <w:p w14:paraId="245B6932" w14:textId="77777777" w:rsidR="003F69A4" w:rsidRPr="00A847B7" w:rsidRDefault="003F69A4" w:rsidP="003F69A4">
            <w:pPr>
              <w:spacing w:beforeAutospacing="1" w:after="100" w:afterAutospacing="1"/>
              <w:rPr>
                <w:rFonts w:cstheme="minorHAnsi"/>
              </w:rPr>
            </w:pPr>
            <w:r w:rsidRPr="00A847B7">
              <w:rPr>
                <w:rFonts w:cstheme="minorHAnsi"/>
              </w:rPr>
              <w:t xml:space="preserve">209 </w:t>
            </w:r>
          </w:p>
        </w:tc>
        <w:tc>
          <w:tcPr>
            <w:tcW w:w="2795" w:type="dxa"/>
          </w:tcPr>
          <w:p w14:paraId="61DF69F8" w14:textId="77777777" w:rsidR="003F69A4" w:rsidRPr="00A847B7" w:rsidRDefault="003F69A4" w:rsidP="003F69A4">
            <w:pPr>
              <w:spacing w:beforeAutospacing="1" w:after="100" w:afterAutospacing="1"/>
              <w:rPr>
                <w:rFonts w:cstheme="minorHAnsi"/>
              </w:rPr>
            </w:pPr>
            <w:r w:rsidRPr="00A847B7">
              <w:rPr>
                <w:rFonts w:cstheme="minorHAnsi"/>
              </w:rPr>
              <w:t xml:space="preserve">21 171 </w:t>
            </w:r>
          </w:p>
        </w:tc>
      </w:tr>
      <w:tr w:rsidR="003F69A4" w:rsidRPr="00A847B7" w14:paraId="3ABA3FEF" w14:textId="77777777" w:rsidTr="003F69A4">
        <w:trPr>
          <w:trHeight w:val="109"/>
        </w:trPr>
        <w:tc>
          <w:tcPr>
            <w:tcW w:w="2795" w:type="dxa"/>
          </w:tcPr>
          <w:p w14:paraId="331ABE39" w14:textId="77777777" w:rsidR="003F69A4" w:rsidRPr="00A847B7" w:rsidRDefault="003F69A4" w:rsidP="003F69A4">
            <w:pPr>
              <w:spacing w:beforeAutospacing="1" w:after="100" w:afterAutospacing="1"/>
              <w:rPr>
                <w:rFonts w:cstheme="minorHAnsi"/>
              </w:rPr>
            </w:pPr>
            <w:r w:rsidRPr="00A847B7">
              <w:rPr>
                <w:rFonts w:cstheme="minorHAnsi"/>
              </w:rPr>
              <w:t xml:space="preserve">210 </w:t>
            </w:r>
          </w:p>
        </w:tc>
        <w:tc>
          <w:tcPr>
            <w:tcW w:w="2795" w:type="dxa"/>
          </w:tcPr>
          <w:p w14:paraId="24004DED" w14:textId="77777777" w:rsidR="003F69A4" w:rsidRPr="00A847B7" w:rsidRDefault="003F69A4" w:rsidP="003F69A4">
            <w:pPr>
              <w:spacing w:beforeAutospacing="1" w:after="100" w:afterAutospacing="1"/>
              <w:rPr>
                <w:rFonts w:cstheme="minorHAnsi"/>
              </w:rPr>
            </w:pPr>
            <w:r w:rsidRPr="00A847B7">
              <w:rPr>
                <w:rFonts w:cstheme="minorHAnsi"/>
              </w:rPr>
              <w:t xml:space="preserve">21 966 </w:t>
            </w:r>
          </w:p>
        </w:tc>
      </w:tr>
      <w:tr w:rsidR="003F69A4" w:rsidRPr="00A847B7" w14:paraId="0308400B" w14:textId="77777777" w:rsidTr="003F69A4">
        <w:trPr>
          <w:trHeight w:val="109"/>
        </w:trPr>
        <w:tc>
          <w:tcPr>
            <w:tcW w:w="2795" w:type="dxa"/>
          </w:tcPr>
          <w:p w14:paraId="16338E91" w14:textId="77777777" w:rsidR="003F69A4" w:rsidRPr="00A847B7" w:rsidRDefault="003F69A4" w:rsidP="003F69A4">
            <w:pPr>
              <w:spacing w:beforeAutospacing="1" w:after="100" w:afterAutospacing="1"/>
              <w:rPr>
                <w:rFonts w:cstheme="minorHAnsi"/>
              </w:rPr>
            </w:pPr>
            <w:r w:rsidRPr="00A847B7">
              <w:rPr>
                <w:rFonts w:cstheme="minorHAnsi"/>
              </w:rPr>
              <w:t xml:space="preserve">211 </w:t>
            </w:r>
          </w:p>
        </w:tc>
        <w:tc>
          <w:tcPr>
            <w:tcW w:w="2795" w:type="dxa"/>
          </w:tcPr>
          <w:p w14:paraId="52F102E0" w14:textId="77777777" w:rsidR="003F69A4" w:rsidRPr="00A847B7" w:rsidRDefault="003F69A4" w:rsidP="003F69A4">
            <w:pPr>
              <w:spacing w:beforeAutospacing="1" w:after="100" w:afterAutospacing="1"/>
              <w:rPr>
                <w:rFonts w:cstheme="minorHAnsi"/>
              </w:rPr>
            </w:pPr>
            <w:r w:rsidRPr="00A847B7">
              <w:rPr>
                <w:rFonts w:cstheme="minorHAnsi"/>
              </w:rPr>
              <w:t xml:space="preserve">22 781 </w:t>
            </w:r>
          </w:p>
        </w:tc>
      </w:tr>
      <w:tr w:rsidR="003F69A4" w:rsidRPr="00A847B7" w14:paraId="1F762D45" w14:textId="77777777" w:rsidTr="003F69A4">
        <w:trPr>
          <w:trHeight w:val="109"/>
        </w:trPr>
        <w:tc>
          <w:tcPr>
            <w:tcW w:w="2795" w:type="dxa"/>
          </w:tcPr>
          <w:p w14:paraId="6E8D925A" w14:textId="77777777" w:rsidR="003F69A4" w:rsidRPr="00A847B7" w:rsidRDefault="003F69A4" w:rsidP="003F69A4">
            <w:pPr>
              <w:spacing w:beforeAutospacing="1" w:after="100" w:afterAutospacing="1"/>
              <w:rPr>
                <w:rFonts w:cstheme="minorHAnsi"/>
              </w:rPr>
            </w:pPr>
            <w:r w:rsidRPr="00A847B7">
              <w:rPr>
                <w:rFonts w:cstheme="minorHAnsi"/>
              </w:rPr>
              <w:lastRenderedPageBreak/>
              <w:t xml:space="preserve">212 </w:t>
            </w:r>
          </w:p>
        </w:tc>
        <w:tc>
          <w:tcPr>
            <w:tcW w:w="2795" w:type="dxa"/>
          </w:tcPr>
          <w:p w14:paraId="483474EB" w14:textId="77777777" w:rsidR="003F69A4" w:rsidRPr="00A847B7" w:rsidRDefault="003F69A4" w:rsidP="003F69A4">
            <w:pPr>
              <w:spacing w:beforeAutospacing="1" w:after="100" w:afterAutospacing="1"/>
              <w:rPr>
                <w:rFonts w:cstheme="minorHAnsi"/>
              </w:rPr>
            </w:pPr>
            <w:r w:rsidRPr="00A847B7">
              <w:rPr>
                <w:rFonts w:cstheme="minorHAnsi"/>
              </w:rPr>
              <w:t xml:space="preserve">23 616 </w:t>
            </w:r>
          </w:p>
        </w:tc>
      </w:tr>
      <w:tr w:rsidR="003F69A4" w:rsidRPr="00A847B7" w14:paraId="52F74029" w14:textId="77777777" w:rsidTr="003F69A4">
        <w:trPr>
          <w:trHeight w:val="109"/>
        </w:trPr>
        <w:tc>
          <w:tcPr>
            <w:tcW w:w="2795" w:type="dxa"/>
          </w:tcPr>
          <w:p w14:paraId="13B37800" w14:textId="77777777" w:rsidR="003F69A4" w:rsidRPr="00A847B7" w:rsidRDefault="003F69A4" w:rsidP="003F69A4">
            <w:pPr>
              <w:spacing w:beforeAutospacing="1" w:after="100" w:afterAutospacing="1"/>
              <w:rPr>
                <w:rFonts w:cstheme="minorHAnsi"/>
              </w:rPr>
            </w:pPr>
            <w:r w:rsidRPr="00A847B7">
              <w:rPr>
                <w:rFonts w:cstheme="minorHAnsi"/>
              </w:rPr>
              <w:t xml:space="preserve">213 </w:t>
            </w:r>
          </w:p>
        </w:tc>
        <w:tc>
          <w:tcPr>
            <w:tcW w:w="2795" w:type="dxa"/>
          </w:tcPr>
          <w:p w14:paraId="670F59DC" w14:textId="77777777" w:rsidR="003F69A4" w:rsidRPr="00A847B7" w:rsidRDefault="003F69A4" w:rsidP="003F69A4">
            <w:pPr>
              <w:spacing w:beforeAutospacing="1" w:after="100" w:afterAutospacing="1"/>
              <w:rPr>
                <w:rFonts w:cstheme="minorHAnsi"/>
              </w:rPr>
            </w:pPr>
            <w:r w:rsidRPr="00A847B7">
              <w:rPr>
                <w:rFonts w:cstheme="minorHAnsi"/>
              </w:rPr>
              <w:t xml:space="preserve">24 472 </w:t>
            </w:r>
          </w:p>
        </w:tc>
      </w:tr>
      <w:tr w:rsidR="003F69A4" w:rsidRPr="00A847B7" w14:paraId="00108A27" w14:textId="77777777" w:rsidTr="003F69A4">
        <w:trPr>
          <w:trHeight w:val="109"/>
        </w:trPr>
        <w:tc>
          <w:tcPr>
            <w:tcW w:w="2795" w:type="dxa"/>
          </w:tcPr>
          <w:p w14:paraId="72654CAB" w14:textId="77777777" w:rsidR="003F69A4" w:rsidRPr="00A847B7" w:rsidRDefault="003F69A4" w:rsidP="003F69A4">
            <w:pPr>
              <w:spacing w:beforeAutospacing="1" w:after="100" w:afterAutospacing="1"/>
              <w:rPr>
                <w:rFonts w:cstheme="minorHAnsi"/>
              </w:rPr>
            </w:pPr>
            <w:r w:rsidRPr="00A847B7">
              <w:rPr>
                <w:rFonts w:cstheme="minorHAnsi"/>
              </w:rPr>
              <w:t xml:space="preserve">214 </w:t>
            </w:r>
          </w:p>
        </w:tc>
        <w:tc>
          <w:tcPr>
            <w:tcW w:w="2795" w:type="dxa"/>
          </w:tcPr>
          <w:p w14:paraId="333B2BEA" w14:textId="77777777" w:rsidR="003F69A4" w:rsidRPr="00A847B7" w:rsidRDefault="003F69A4" w:rsidP="003F69A4">
            <w:pPr>
              <w:spacing w:beforeAutospacing="1" w:after="100" w:afterAutospacing="1"/>
              <w:rPr>
                <w:rFonts w:cstheme="minorHAnsi"/>
              </w:rPr>
            </w:pPr>
            <w:r w:rsidRPr="00A847B7">
              <w:rPr>
                <w:rFonts w:cstheme="minorHAnsi"/>
              </w:rPr>
              <w:t xml:space="preserve">25 349 </w:t>
            </w:r>
          </w:p>
        </w:tc>
      </w:tr>
      <w:tr w:rsidR="003F69A4" w:rsidRPr="00A847B7" w14:paraId="193DC34F" w14:textId="77777777" w:rsidTr="003F69A4">
        <w:trPr>
          <w:trHeight w:val="109"/>
        </w:trPr>
        <w:tc>
          <w:tcPr>
            <w:tcW w:w="2795" w:type="dxa"/>
          </w:tcPr>
          <w:p w14:paraId="15909AFD" w14:textId="77777777" w:rsidR="003F69A4" w:rsidRPr="00A847B7" w:rsidRDefault="003F69A4" w:rsidP="003F69A4">
            <w:pPr>
              <w:spacing w:beforeAutospacing="1" w:after="100" w:afterAutospacing="1"/>
              <w:rPr>
                <w:rFonts w:cstheme="minorHAnsi"/>
              </w:rPr>
            </w:pPr>
            <w:r w:rsidRPr="00A847B7">
              <w:rPr>
                <w:rFonts w:cstheme="minorHAnsi"/>
              </w:rPr>
              <w:t xml:space="preserve">215 </w:t>
            </w:r>
          </w:p>
        </w:tc>
        <w:tc>
          <w:tcPr>
            <w:tcW w:w="2795" w:type="dxa"/>
          </w:tcPr>
          <w:p w14:paraId="6796A4D1" w14:textId="77777777" w:rsidR="003F69A4" w:rsidRPr="00A847B7" w:rsidRDefault="003F69A4" w:rsidP="003F69A4">
            <w:pPr>
              <w:spacing w:beforeAutospacing="1" w:after="100" w:afterAutospacing="1"/>
              <w:rPr>
                <w:rFonts w:cstheme="minorHAnsi"/>
              </w:rPr>
            </w:pPr>
            <w:r w:rsidRPr="00A847B7">
              <w:rPr>
                <w:rFonts w:cstheme="minorHAnsi"/>
              </w:rPr>
              <w:t xml:space="preserve">26 247 </w:t>
            </w:r>
          </w:p>
        </w:tc>
      </w:tr>
      <w:tr w:rsidR="003F69A4" w:rsidRPr="00A847B7" w14:paraId="71034D9C" w14:textId="77777777" w:rsidTr="003F69A4">
        <w:trPr>
          <w:trHeight w:val="109"/>
        </w:trPr>
        <w:tc>
          <w:tcPr>
            <w:tcW w:w="2795" w:type="dxa"/>
          </w:tcPr>
          <w:p w14:paraId="717A65BE" w14:textId="77777777" w:rsidR="003F69A4" w:rsidRPr="00A847B7" w:rsidRDefault="003F69A4" w:rsidP="003F69A4">
            <w:pPr>
              <w:spacing w:beforeAutospacing="1" w:after="100" w:afterAutospacing="1"/>
              <w:rPr>
                <w:rFonts w:cstheme="minorHAnsi"/>
              </w:rPr>
            </w:pPr>
            <w:r w:rsidRPr="00A847B7">
              <w:rPr>
                <w:rFonts w:cstheme="minorHAnsi"/>
              </w:rPr>
              <w:t xml:space="preserve">216 </w:t>
            </w:r>
          </w:p>
        </w:tc>
        <w:tc>
          <w:tcPr>
            <w:tcW w:w="2795" w:type="dxa"/>
          </w:tcPr>
          <w:p w14:paraId="7F9E2521" w14:textId="77777777" w:rsidR="003F69A4" w:rsidRPr="00A847B7" w:rsidRDefault="003F69A4" w:rsidP="003F69A4">
            <w:pPr>
              <w:spacing w:beforeAutospacing="1" w:after="100" w:afterAutospacing="1"/>
              <w:rPr>
                <w:rFonts w:cstheme="minorHAnsi"/>
              </w:rPr>
            </w:pPr>
            <w:r w:rsidRPr="00A847B7">
              <w:rPr>
                <w:rFonts w:cstheme="minorHAnsi"/>
              </w:rPr>
              <w:t xml:space="preserve">27 166 </w:t>
            </w:r>
          </w:p>
        </w:tc>
      </w:tr>
      <w:tr w:rsidR="003F69A4" w:rsidRPr="00A847B7" w14:paraId="768E82EB" w14:textId="77777777" w:rsidTr="003F69A4">
        <w:trPr>
          <w:trHeight w:val="109"/>
        </w:trPr>
        <w:tc>
          <w:tcPr>
            <w:tcW w:w="2795" w:type="dxa"/>
          </w:tcPr>
          <w:p w14:paraId="26C545CC" w14:textId="77777777" w:rsidR="003F69A4" w:rsidRPr="00A847B7" w:rsidRDefault="003F69A4" w:rsidP="003F69A4">
            <w:pPr>
              <w:spacing w:beforeAutospacing="1" w:after="100" w:afterAutospacing="1"/>
              <w:rPr>
                <w:rFonts w:cstheme="minorHAnsi"/>
              </w:rPr>
            </w:pPr>
            <w:r w:rsidRPr="00A847B7">
              <w:rPr>
                <w:rFonts w:cstheme="minorHAnsi"/>
              </w:rPr>
              <w:t xml:space="preserve">217 </w:t>
            </w:r>
          </w:p>
        </w:tc>
        <w:tc>
          <w:tcPr>
            <w:tcW w:w="2795" w:type="dxa"/>
          </w:tcPr>
          <w:p w14:paraId="79135AC7" w14:textId="77777777" w:rsidR="003F69A4" w:rsidRPr="00A847B7" w:rsidRDefault="003F69A4" w:rsidP="003F69A4">
            <w:pPr>
              <w:spacing w:beforeAutospacing="1" w:after="100" w:afterAutospacing="1"/>
              <w:rPr>
                <w:rFonts w:cstheme="minorHAnsi"/>
              </w:rPr>
            </w:pPr>
            <w:r w:rsidRPr="00A847B7">
              <w:rPr>
                <w:rFonts w:cstheme="minorHAnsi"/>
              </w:rPr>
              <w:t xml:space="preserve">28 107 </w:t>
            </w:r>
          </w:p>
        </w:tc>
      </w:tr>
      <w:tr w:rsidR="003F69A4" w:rsidRPr="00A847B7" w14:paraId="3E73297A" w14:textId="77777777" w:rsidTr="003F69A4">
        <w:trPr>
          <w:trHeight w:val="109"/>
        </w:trPr>
        <w:tc>
          <w:tcPr>
            <w:tcW w:w="2795" w:type="dxa"/>
          </w:tcPr>
          <w:p w14:paraId="544170AC" w14:textId="77777777" w:rsidR="003F69A4" w:rsidRPr="00A847B7" w:rsidRDefault="003F69A4" w:rsidP="003F69A4">
            <w:pPr>
              <w:spacing w:beforeAutospacing="1" w:after="100" w:afterAutospacing="1"/>
              <w:rPr>
                <w:rFonts w:cstheme="minorHAnsi"/>
              </w:rPr>
            </w:pPr>
            <w:r w:rsidRPr="00A847B7">
              <w:rPr>
                <w:rFonts w:cstheme="minorHAnsi"/>
              </w:rPr>
              <w:t xml:space="preserve">218 </w:t>
            </w:r>
          </w:p>
        </w:tc>
        <w:tc>
          <w:tcPr>
            <w:tcW w:w="2795" w:type="dxa"/>
          </w:tcPr>
          <w:p w14:paraId="6D8C67B3" w14:textId="77777777" w:rsidR="003F69A4" w:rsidRPr="00A847B7" w:rsidRDefault="003F69A4" w:rsidP="003F69A4">
            <w:pPr>
              <w:spacing w:beforeAutospacing="1" w:after="100" w:afterAutospacing="1"/>
              <w:rPr>
                <w:rFonts w:cstheme="minorHAnsi"/>
              </w:rPr>
            </w:pPr>
            <w:r w:rsidRPr="00A847B7">
              <w:rPr>
                <w:rFonts w:cstheme="minorHAnsi"/>
              </w:rPr>
              <w:t xml:space="preserve">29 070 </w:t>
            </w:r>
          </w:p>
        </w:tc>
      </w:tr>
    </w:tbl>
    <w:p w14:paraId="65ED521F" w14:textId="2DBA205F" w:rsidR="001A39E7" w:rsidRPr="00A847B7" w:rsidRDefault="006A5865" w:rsidP="00EE0687">
      <w:pPr>
        <w:pStyle w:val="Paragraphedeliste"/>
        <w:numPr>
          <w:ilvl w:val="0"/>
          <w:numId w:val="83"/>
        </w:numPr>
        <w:spacing w:beforeAutospacing="1" w:after="100" w:afterAutospacing="1"/>
        <w:rPr>
          <w:rFonts w:cstheme="minorHAnsi"/>
        </w:rPr>
      </w:pPr>
      <w:r w:rsidRPr="00A847B7">
        <w:rPr>
          <w:rFonts w:cstheme="minorHAnsi"/>
        </w:rPr>
        <w:t xml:space="preserve">lorsque les émissions sont supérieures à 218 </w:t>
      </w:r>
      <w:r w:rsidR="00D6796D" w:rsidRPr="00A847B7">
        <w:rPr>
          <w:rFonts w:cstheme="minorHAnsi"/>
        </w:rPr>
        <w:t>g, le tarif est fixé à 30 000 €.</w:t>
      </w:r>
    </w:p>
    <w:p w14:paraId="5878B0F4" w14:textId="149441C2" w:rsidR="00D6796D" w:rsidRPr="00A847B7" w:rsidRDefault="00C36CE8" w:rsidP="00D6796D">
      <w:pPr>
        <w:spacing w:beforeAutospacing="1" w:after="100" w:afterAutospacing="1"/>
        <w:rPr>
          <w:rFonts w:cstheme="minorHAnsi"/>
        </w:rPr>
      </w:pPr>
      <w:r w:rsidRPr="00A847B7">
        <w:rPr>
          <w:rFonts w:cstheme="minorHAnsi"/>
        </w:rPr>
        <w:t xml:space="preserve">Le barème en puissance administrative du malus est fixé comme suit : </w:t>
      </w:r>
    </w:p>
    <w:tbl>
      <w:tblPr>
        <w:tblW w:w="0" w:type="auto"/>
        <w:tblInd w:w="1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3"/>
        <w:gridCol w:w="2573"/>
      </w:tblGrid>
      <w:tr w:rsidR="003D35AB" w:rsidRPr="00A847B7" w14:paraId="1CA0C76E" w14:textId="77777777" w:rsidTr="003D35AB">
        <w:trPr>
          <w:trHeight w:val="242"/>
        </w:trPr>
        <w:tc>
          <w:tcPr>
            <w:tcW w:w="2573" w:type="dxa"/>
            <w:shd w:val="clear" w:color="auto" w:fill="297FD5" w:themeFill="accent3"/>
          </w:tcPr>
          <w:p w14:paraId="65B5E6C9" w14:textId="4FB852D5" w:rsidR="003D35AB" w:rsidRPr="00A847B7" w:rsidRDefault="003D35AB" w:rsidP="003D35AB">
            <w:pPr>
              <w:spacing w:beforeAutospacing="1" w:after="100" w:afterAutospacing="1"/>
              <w:jc w:val="center"/>
              <w:rPr>
                <w:rFonts w:cstheme="minorHAnsi"/>
                <w:b/>
                <w:bCs/>
                <w:color w:val="FFFFFF" w:themeColor="background1"/>
                <w:sz w:val="22"/>
                <w:szCs w:val="22"/>
              </w:rPr>
            </w:pPr>
            <w:r w:rsidRPr="00A847B7">
              <w:rPr>
                <w:rFonts w:cstheme="minorHAnsi"/>
                <w:b/>
                <w:bCs/>
                <w:color w:val="FFFFFF" w:themeColor="background1"/>
                <w:sz w:val="22"/>
                <w:szCs w:val="22"/>
              </w:rPr>
              <w:t>Puissance administrative (en CV)</w:t>
            </w:r>
          </w:p>
        </w:tc>
        <w:tc>
          <w:tcPr>
            <w:tcW w:w="2573" w:type="dxa"/>
            <w:shd w:val="clear" w:color="auto" w:fill="297FD5" w:themeFill="accent3"/>
          </w:tcPr>
          <w:p w14:paraId="0E63903A" w14:textId="6D4E8D91" w:rsidR="003D35AB" w:rsidRPr="00A847B7" w:rsidRDefault="003D35AB" w:rsidP="003D35AB">
            <w:pPr>
              <w:spacing w:beforeAutospacing="1" w:after="100" w:afterAutospacing="1"/>
              <w:jc w:val="center"/>
              <w:rPr>
                <w:rFonts w:cstheme="minorHAnsi"/>
                <w:b/>
                <w:bCs/>
                <w:color w:val="FFFFFF" w:themeColor="background1"/>
                <w:sz w:val="22"/>
                <w:szCs w:val="22"/>
              </w:rPr>
            </w:pPr>
            <w:r w:rsidRPr="00A847B7">
              <w:rPr>
                <w:rFonts w:cstheme="minorHAnsi"/>
                <w:b/>
                <w:bCs/>
                <w:color w:val="FFFFFF" w:themeColor="background1"/>
                <w:sz w:val="22"/>
                <w:szCs w:val="22"/>
              </w:rPr>
              <w:t>Montant de la taxe (en euros)</w:t>
            </w:r>
          </w:p>
        </w:tc>
      </w:tr>
      <w:tr w:rsidR="003D35AB" w:rsidRPr="00A847B7" w14:paraId="10E1156F" w14:textId="77777777" w:rsidTr="003D35AB">
        <w:trPr>
          <w:trHeight w:val="109"/>
        </w:trPr>
        <w:tc>
          <w:tcPr>
            <w:tcW w:w="2573" w:type="dxa"/>
          </w:tcPr>
          <w:p w14:paraId="5F0F8FF1" w14:textId="77777777" w:rsidR="003D35AB" w:rsidRPr="00A847B7" w:rsidRDefault="003D35AB" w:rsidP="003D35AB">
            <w:pPr>
              <w:spacing w:beforeAutospacing="1" w:after="100" w:afterAutospacing="1"/>
              <w:rPr>
                <w:rFonts w:cstheme="minorHAnsi"/>
              </w:rPr>
            </w:pPr>
            <w:r w:rsidRPr="00A847B7">
              <w:rPr>
                <w:rFonts w:cstheme="minorHAnsi"/>
              </w:rPr>
              <w:t xml:space="preserve">jusqu’à 4 </w:t>
            </w:r>
          </w:p>
        </w:tc>
        <w:tc>
          <w:tcPr>
            <w:tcW w:w="2573" w:type="dxa"/>
          </w:tcPr>
          <w:p w14:paraId="7311E73D" w14:textId="77777777" w:rsidR="003D35AB" w:rsidRPr="00A847B7" w:rsidRDefault="003D35AB" w:rsidP="003D35AB">
            <w:pPr>
              <w:spacing w:beforeAutospacing="1" w:after="100" w:afterAutospacing="1"/>
              <w:rPr>
                <w:rFonts w:cstheme="minorHAnsi"/>
              </w:rPr>
            </w:pPr>
            <w:r w:rsidRPr="00A847B7">
              <w:rPr>
                <w:rFonts w:cstheme="minorHAnsi"/>
              </w:rPr>
              <w:t xml:space="preserve">0 </w:t>
            </w:r>
          </w:p>
        </w:tc>
      </w:tr>
      <w:tr w:rsidR="003D35AB" w:rsidRPr="00A847B7" w14:paraId="0F5F90D8" w14:textId="77777777" w:rsidTr="003D35AB">
        <w:trPr>
          <w:trHeight w:val="109"/>
        </w:trPr>
        <w:tc>
          <w:tcPr>
            <w:tcW w:w="2573" w:type="dxa"/>
          </w:tcPr>
          <w:p w14:paraId="260009FC" w14:textId="77777777" w:rsidR="003D35AB" w:rsidRPr="00A847B7" w:rsidRDefault="003D35AB" w:rsidP="003D35AB">
            <w:pPr>
              <w:spacing w:beforeAutospacing="1" w:after="100" w:afterAutospacing="1"/>
              <w:rPr>
                <w:rFonts w:cstheme="minorHAnsi"/>
              </w:rPr>
            </w:pPr>
            <w:r w:rsidRPr="00A847B7">
              <w:rPr>
                <w:rFonts w:cstheme="minorHAnsi"/>
              </w:rPr>
              <w:t xml:space="preserve">5 </w:t>
            </w:r>
          </w:p>
        </w:tc>
        <w:tc>
          <w:tcPr>
            <w:tcW w:w="2573" w:type="dxa"/>
          </w:tcPr>
          <w:p w14:paraId="6A8BC709" w14:textId="77777777" w:rsidR="003D35AB" w:rsidRPr="00A847B7" w:rsidRDefault="003D35AB" w:rsidP="003D35AB">
            <w:pPr>
              <w:spacing w:beforeAutospacing="1" w:after="100" w:afterAutospacing="1"/>
              <w:rPr>
                <w:rFonts w:cstheme="minorHAnsi"/>
              </w:rPr>
            </w:pPr>
            <w:r w:rsidRPr="00A847B7">
              <w:rPr>
                <w:rFonts w:cstheme="minorHAnsi"/>
              </w:rPr>
              <w:t xml:space="preserve">250 </w:t>
            </w:r>
          </w:p>
        </w:tc>
      </w:tr>
      <w:tr w:rsidR="003D35AB" w:rsidRPr="00A847B7" w14:paraId="372AE4D7" w14:textId="77777777" w:rsidTr="003D35AB">
        <w:trPr>
          <w:trHeight w:val="109"/>
        </w:trPr>
        <w:tc>
          <w:tcPr>
            <w:tcW w:w="2573" w:type="dxa"/>
          </w:tcPr>
          <w:p w14:paraId="60446983" w14:textId="77777777" w:rsidR="003D35AB" w:rsidRPr="00A847B7" w:rsidRDefault="003D35AB" w:rsidP="003D35AB">
            <w:pPr>
              <w:spacing w:beforeAutospacing="1" w:after="100" w:afterAutospacing="1"/>
              <w:rPr>
                <w:rFonts w:cstheme="minorHAnsi"/>
              </w:rPr>
            </w:pPr>
            <w:r w:rsidRPr="00A847B7">
              <w:rPr>
                <w:rFonts w:cstheme="minorHAnsi"/>
              </w:rPr>
              <w:t xml:space="preserve">6 </w:t>
            </w:r>
          </w:p>
        </w:tc>
        <w:tc>
          <w:tcPr>
            <w:tcW w:w="2573" w:type="dxa"/>
          </w:tcPr>
          <w:p w14:paraId="3B90A586" w14:textId="77777777" w:rsidR="003D35AB" w:rsidRPr="00A847B7" w:rsidRDefault="003D35AB" w:rsidP="003D35AB">
            <w:pPr>
              <w:spacing w:beforeAutospacing="1" w:after="100" w:afterAutospacing="1"/>
              <w:rPr>
                <w:rFonts w:cstheme="minorHAnsi"/>
              </w:rPr>
            </w:pPr>
            <w:r w:rsidRPr="00A847B7">
              <w:rPr>
                <w:rFonts w:cstheme="minorHAnsi"/>
              </w:rPr>
              <w:t xml:space="preserve">2 825 </w:t>
            </w:r>
          </w:p>
        </w:tc>
      </w:tr>
      <w:tr w:rsidR="003D35AB" w:rsidRPr="00A847B7" w14:paraId="496CBF98" w14:textId="77777777" w:rsidTr="003D35AB">
        <w:trPr>
          <w:trHeight w:val="109"/>
        </w:trPr>
        <w:tc>
          <w:tcPr>
            <w:tcW w:w="2573" w:type="dxa"/>
          </w:tcPr>
          <w:p w14:paraId="0399D9CF" w14:textId="77777777" w:rsidR="003D35AB" w:rsidRPr="00A847B7" w:rsidRDefault="003D35AB" w:rsidP="003D35AB">
            <w:pPr>
              <w:spacing w:beforeAutospacing="1" w:after="100" w:afterAutospacing="1"/>
              <w:rPr>
                <w:rFonts w:cstheme="minorHAnsi"/>
              </w:rPr>
            </w:pPr>
            <w:r w:rsidRPr="00A847B7">
              <w:rPr>
                <w:rFonts w:cstheme="minorHAnsi"/>
              </w:rPr>
              <w:t xml:space="preserve">7 </w:t>
            </w:r>
          </w:p>
        </w:tc>
        <w:tc>
          <w:tcPr>
            <w:tcW w:w="2573" w:type="dxa"/>
          </w:tcPr>
          <w:p w14:paraId="40459B89" w14:textId="77777777" w:rsidR="003D35AB" w:rsidRPr="00A847B7" w:rsidRDefault="003D35AB" w:rsidP="003D35AB">
            <w:pPr>
              <w:spacing w:beforeAutospacing="1" w:after="100" w:afterAutospacing="1"/>
              <w:rPr>
                <w:rFonts w:cstheme="minorHAnsi"/>
              </w:rPr>
            </w:pPr>
            <w:r w:rsidRPr="00A847B7">
              <w:rPr>
                <w:rFonts w:cstheme="minorHAnsi"/>
              </w:rPr>
              <w:t xml:space="preserve">3 425 </w:t>
            </w:r>
          </w:p>
        </w:tc>
      </w:tr>
      <w:tr w:rsidR="003D35AB" w:rsidRPr="00A847B7" w14:paraId="23793747" w14:textId="77777777" w:rsidTr="003D35AB">
        <w:trPr>
          <w:trHeight w:val="109"/>
        </w:trPr>
        <w:tc>
          <w:tcPr>
            <w:tcW w:w="2573" w:type="dxa"/>
          </w:tcPr>
          <w:p w14:paraId="6BFF087A" w14:textId="77777777" w:rsidR="003D35AB" w:rsidRPr="00A847B7" w:rsidRDefault="003D35AB" w:rsidP="003D35AB">
            <w:pPr>
              <w:spacing w:beforeAutospacing="1" w:after="100" w:afterAutospacing="1"/>
              <w:rPr>
                <w:rFonts w:cstheme="minorHAnsi"/>
              </w:rPr>
            </w:pPr>
            <w:r w:rsidRPr="00A847B7">
              <w:rPr>
                <w:rFonts w:cstheme="minorHAnsi"/>
              </w:rPr>
              <w:t xml:space="preserve">8 </w:t>
            </w:r>
          </w:p>
        </w:tc>
        <w:tc>
          <w:tcPr>
            <w:tcW w:w="2573" w:type="dxa"/>
          </w:tcPr>
          <w:p w14:paraId="31F51D7E" w14:textId="77777777" w:rsidR="003D35AB" w:rsidRPr="00A847B7" w:rsidRDefault="003D35AB" w:rsidP="003D35AB">
            <w:pPr>
              <w:spacing w:beforeAutospacing="1" w:after="100" w:afterAutospacing="1"/>
              <w:rPr>
                <w:rFonts w:cstheme="minorHAnsi"/>
              </w:rPr>
            </w:pPr>
            <w:r w:rsidRPr="00A847B7">
              <w:rPr>
                <w:rFonts w:cstheme="minorHAnsi"/>
              </w:rPr>
              <w:t xml:space="preserve">5 950 </w:t>
            </w:r>
          </w:p>
        </w:tc>
      </w:tr>
      <w:tr w:rsidR="003D35AB" w:rsidRPr="00A847B7" w14:paraId="637D76A6" w14:textId="77777777" w:rsidTr="003D35AB">
        <w:trPr>
          <w:trHeight w:val="109"/>
        </w:trPr>
        <w:tc>
          <w:tcPr>
            <w:tcW w:w="2573" w:type="dxa"/>
          </w:tcPr>
          <w:p w14:paraId="7C4A63B9" w14:textId="77777777" w:rsidR="003D35AB" w:rsidRPr="00A847B7" w:rsidRDefault="003D35AB" w:rsidP="003D35AB">
            <w:pPr>
              <w:spacing w:beforeAutospacing="1" w:after="100" w:afterAutospacing="1"/>
              <w:rPr>
                <w:rFonts w:cstheme="minorHAnsi"/>
              </w:rPr>
            </w:pPr>
            <w:r w:rsidRPr="00A847B7">
              <w:rPr>
                <w:rFonts w:cstheme="minorHAnsi"/>
              </w:rPr>
              <w:t xml:space="preserve">9 </w:t>
            </w:r>
          </w:p>
        </w:tc>
        <w:tc>
          <w:tcPr>
            <w:tcW w:w="2573" w:type="dxa"/>
          </w:tcPr>
          <w:p w14:paraId="4CE0B49B" w14:textId="77777777" w:rsidR="003D35AB" w:rsidRPr="00A847B7" w:rsidRDefault="003D35AB" w:rsidP="003D35AB">
            <w:pPr>
              <w:spacing w:beforeAutospacing="1" w:after="100" w:afterAutospacing="1"/>
              <w:rPr>
                <w:rFonts w:cstheme="minorHAnsi"/>
              </w:rPr>
            </w:pPr>
            <w:r w:rsidRPr="00A847B7">
              <w:rPr>
                <w:rFonts w:cstheme="minorHAnsi"/>
              </w:rPr>
              <w:t xml:space="preserve">6 550 </w:t>
            </w:r>
          </w:p>
        </w:tc>
      </w:tr>
      <w:tr w:rsidR="003D35AB" w:rsidRPr="00A847B7" w14:paraId="5ADA0049" w14:textId="77777777" w:rsidTr="003D35AB">
        <w:trPr>
          <w:trHeight w:val="109"/>
        </w:trPr>
        <w:tc>
          <w:tcPr>
            <w:tcW w:w="2573" w:type="dxa"/>
          </w:tcPr>
          <w:p w14:paraId="5F3D9E10" w14:textId="77777777" w:rsidR="003D35AB" w:rsidRPr="00A847B7" w:rsidRDefault="003D35AB" w:rsidP="003D35AB">
            <w:pPr>
              <w:spacing w:beforeAutospacing="1" w:after="100" w:afterAutospacing="1"/>
              <w:rPr>
                <w:rFonts w:cstheme="minorHAnsi"/>
              </w:rPr>
            </w:pPr>
            <w:r w:rsidRPr="00A847B7">
              <w:rPr>
                <w:rFonts w:cstheme="minorHAnsi"/>
              </w:rPr>
              <w:t xml:space="preserve">10 </w:t>
            </w:r>
          </w:p>
        </w:tc>
        <w:tc>
          <w:tcPr>
            <w:tcW w:w="2573" w:type="dxa"/>
          </w:tcPr>
          <w:p w14:paraId="59E5AAE5" w14:textId="77777777" w:rsidR="003D35AB" w:rsidRPr="00A847B7" w:rsidRDefault="003D35AB" w:rsidP="003D35AB">
            <w:pPr>
              <w:spacing w:beforeAutospacing="1" w:after="100" w:afterAutospacing="1"/>
              <w:rPr>
                <w:rFonts w:cstheme="minorHAnsi"/>
              </w:rPr>
            </w:pPr>
            <w:r w:rsidRPr="00A847B7">
              <w:rPr>
                <w:rFonts w:cstheme="minorHAnsi"/>
              </w:rPr>
              <w:t xml:space="preserve">9 075 </w:t>
            </w:r>
          </w:p>
        </w:tc>
      </w:tr>
      <w:tr w:rsidR="003D35AB" w:rsidRPr="00A847B7" w14:paraId="6AD1A104" w14:textId="77777777" w:rsidTr="003D35AB">
        <w:trPr>
          <w:trHeight w:val="109"/>
        </w:trPr>
        <w:tc>
          <w:tcPr>
            <w:tcW w:w="2573" w:type="dxa"/>
          </w:tcPr>
          <w:p w14:paraId="7849DC57" w14:textId="77777777" w:rsidR="003D35AB" w:rsidRPr="00A847B7" w:rsidRDefault="003D35AB" w:rsidP="003D35AB">
            <w:pPr>
              <w:spacing w:beforeAutospacing="1" w:after="100" w:afterAutospacing="1"/>
              <w:rPr>
                <w:rFonts w:cstheme="minorHAnsi"/>
              </w:rPr>
            </w:pPr>
            <w:r w:rsidRPr="00A847B7">
              <w:rPr>
                <w:rFonts w:cstheme="minorHAnsi"/>
              </w:rPr>
              <w:t xml:space="preserve">11 </w:t>
            </w:r>
          </w:p>
        </w:tc>
        <w:tc>
          <w:tcPr>
            <w:tcW w:w="2573" w:type="dxa"/>
          </w:tcPr>
          <w:p w14:paraId="4496DE0E" w14:textId="77777777" w:rsidR="003D35AB" w:rsidRPr="00A847B7" w:rsidRDefault="003D35AB" w:rsidP="003D35AB">
            <w:pPr>
              <w:spacing w:beforeAutospacing="1" w:after="100" w:afterAutospacing="1"/>
              <w:rPr>
                <w:rFonts w:cstheme="minorHAnsi"/>
              </w:rPr>
            </w:pPr>
            <w:r w:rsidRPr="00A847B7">
              <w:rPr>
                <w:rFonts w:cstheme="minorHAnsi"/>
              </w:rPr>
              <w:t xml:space="preserve">9 675 </w:t>
            </w:r>
          </w:p>
        </w:tc>
      </w:tr>
      <w:tr w:rsidR="003D35AB" w:rsidRPr="00A847B7" w14:paraId="374CF5DF" w14:textId="77777777" w:rsidTr="003D35AB">
        <w:trPr>
          <w:trHeight w:val="109"/>
        </w:trPr>
        <w:tc>
          <w:tcPr>
            <w:tcW w:w="2573" w:type="dxa"/>
          </w:tcPr>
          <w:p w14:paraId="071AFFCE" w14:textId="77777777" w:rsidR="003D35AB" w:rsidRPr="00A847B7" w:rsidRDefault="003D35AB" w:rsidP="003D35AB">
            <w:pPr>
              <w:spacing w:beforeAutospacing="1" w:after="100" w:afterAutospacing="1"/>
              <w:rPr>
                <w:rFonts w:cstheme="minorHAnsi"/>
              </w:rPr>
            </w:pPr>
            <w:r w:rsidRPr="00A847B7">
              <w:rPr>
                <w:rFonts w:cstheme="minorHAnsi"/>
              </w:rPr>
              <w:t xml:space="preserve">12 </w:t>
            </w:r>
          </w:p>
        </w:tc>
        <w:tc>
          <w:tcPr>
            <w:tcW w:w="2573" w:type="dxa"/>
          </w:tcPr>
          <w:p w14:paraId="31D4444C" w14:textId="77777777" w:rsidR="003D35AB" w:rsidRPr="00A847B7" w:rsidRDefault="003D35AB" w:rsidP="003D35AB">
            <w:pPr>
              <w:spacing w:beforeAutospacing="1" w:after="100" w:afterAutospacing="1"/>
              <w:rPr>
                <w:rFonts w:cstheme="minorHAnsi"/>
              </w:rPr>
            </w:pPr>
            <w:r w:rsidRPr="00A847B7">
              <w:rPr>
                <w:rFonts w:cstheme="minorHAnsi"/>
              </w:rPr>
              <w:t xml:space="preserve">12 200 </w:t>
            </w:r>
          </w:p>
        </w:tc>
      </w:tr>
      <w:tr w:rsidR="003D35AB" w:rsidRPr="00A847B7" w14:paraId="2FAF46D0" w14:textId="77777777" w:rsidTr="003D35AB">
        <w:trPr>
          <w:trHeight w:val="109"/>
        </w:trPr>
        <w:tc>
          <w:tcPr>
            <w:tcW w:w="2573" w:type="dxa"/>
          </w:tcPr>
          <w:p w14:paraId="1E8132D2" w14:textId="77777777" w:rsidR="003D35AB" w:rsidRPr="00A847B7" w:rsidRDefault="003D35AB" w:rsidP="003D35AB">
            <w:pPr>
              <w:spacing w:beforeAutospacing="1" w:after="100" w:afterAutospacing="1"/>
              <w:rPr>
                <w:rFonts w:cstheme="minorHAnsi"/>
              </w:rPr>
            </w:pPr>
            <w:r w:rsidRPr="00A847B7">
              <w:rPr>
                <w:rFonts w:cstheme="minorHAnsi"/>
              </w:rPr>
              <w:t xml:space="preserve">13 </w:t>
            </w:r>
          </w:p>
        </w:tc>
        <w:tc>
          <w:tcPr>
            <w:tcW w:w="2573" w:type="dxa"/>
          </w:tcPr>
          <w:p w14:paraId="5D876EB7" w14:textId="77777777" w:rsidR="003D35AB" w:rsidRPr="00A847B7" w:rsidRDefault="003D35AB" w:rsidP="003D35AB">
            <w:pPr>
              <w:spacing w:beforeAutospacing="1" w:after="100" w:afterAutospacing="1"/>
              <w:rPr>
                <w:rFonts w:cstheme="minorHAnsi"/>
              </w:rPr>
            </w:pPr>
            <w:r w:rsidRPr="00A847B7">
              <w:rPr>
                <w:rFonts w:cstheme="minorHAnsi"/>
              </w:rPr>
              <w:t xml:space="preserve">12 800 </w:t>
            </w:r>
          </w:p>
        </w:tc>
      </w:tr>
      <w:tr w:rsidR="003D35AB" w:rsidRPr="00A847B7" w14:paraId="090B55AB" w14:textId="77777777" w:rsidTr="003D35AB">
        <w:trPr>
          <w:trHeight w:val="109"/>
        </w:trPr>
        <w:tc>
          <w:tcPr>
            <w:tcW w:w="2573" w:type="dxa"/>
          </w:tcPr>
          <w:p w14:paraId="723C555A" w14:textId="77777777" w:rsidR="003D35AB" w:rsidRPr="00A847B7" w:rsidRDefault="003D35AB" w:rsidP="003D35AB">
            <w:pPr>
              <w:spacing w:beforeAutospacing="1" w:after="100" w:afterAutospacing="1"/>
              <w:rPr>
                <w:rFonts w:cstheme="minorHAnsi"/>
              </w:rPr>
            </w:pPr>
            <w:r w:rsidRPr="00A847B7">
              <w:rPr>
                <w:rFonts w:cstheme="minorHAnsi"/>
              </w:rPr>
              <w:t xml:space="preserve">14 </w:t>
            </w:r>
          </w:p>
        </w:tc>
        <w:tc>
          <w:tcPr>
            <w:tcW w:w="2573" w:type="dxa"/>
          </w:tcPr>
          <w:p w14:paraId="0FA35BF4" w14:textId="77777777" w:rsidR="003D35AB" w:rsidRPr="00A847B7" w:rsidRDefault="003D35AB" w:rsidP="003D35AB">
            <w:pPr>
              <w:spacing w:beforeAutospacing="1" w:after="100" w:afterAutospacing="1"/>
              <w:rPr>
                <w:rFonts w:cstheme="minorHAnsi"/>
              </w:rPr>
            </w:pPr>
            <w:r w:rsidRPr="00A847B7">
              <w:rPr>
                <w:rFonts w:cstheme="minorHAnsi"/>
              </w:rPr>
              <w:t xml:space="preserve">15 325 </w:t>
            </w:r>
          </w:p>
        </w:tc>
      </w:tr>
      <w:tr w:rsidR="003D35AB" w:rsidRPr="00A847B7" w14:paraId="3631F215" w14:textId="77777777" w:rsidTr="003D35AB">
        <w:trPr>
          <w:trHeight w:val="109"/>
        </w:trPr>
        <w:tc>
          <w:tcPr>
            <w:tcW w:w="2573" w:type="dxa"/>
          </w:tcPr>
          <w:p w14:paraId="12E2332D" w14:textId="77777777" w:rsidR="003D35AB" w:rsidRPr="00A847B7" w:rsidRDefault="003D35AB" w:rsidP="003D35AB">
            <w:pPr>
              <w:spacing w:beforeAutospacing="1" w:after="100" w:afterAutospacing="1"/>
              <w:rPr>
                <w:rFonts w:cstheme="minorHAnsi"/>
              </w:rPr>
            </w:pPr>
            <w:r w:rsidRPr="00A847B7">
              <w:rPr>
                <w:rFonts w:cstheme="minorHAnsi"/>
              </w:rPr>
              <w:t xml:space="preserve">15 </w:t>
            </w:r>
          </w:p>
        </w:tc>
        <w:tc>
          <w:tcPr>
            <w:tcW w:w="2573" w:type="dxa"/>
          </w:tcPr>
          <w:p w14:paraId="0AD205B7" w14:textId="77777777" w:rsidR="003D35AB" w:rsidRPr="00A847B7" w:rsidRDefault="003D35AB" w:rsidP="003D35AB">
            <w:pPr>
              <w:spacing w:beforeAutospacing="1" w:after="100" w:afterAutospacing="1"/>
              <w:rPr>
                <w:rFonts w:cstheme="minorHAnsi"/>
              </w:rPr>
            </w:pPr>
            <w:r w:rsidRPr="00A847B7">
              <w:rPr>
                <w:rFonts w:cstheme="minorHAnsi"/>
              </w:rPr>
              <w:t xml:space="preserve">15 925 </w:t>
            </w:r>
          </w:p>
        </w:tc>
      </w:tr>
      <w:tr w:rsidR="003D35AB" w:rsidRPr="00A847B7" w14:paraId="30CE0B6E" w14:textId="77777777" w:rsidTr="003D35AB">
        <w:trPr>
          <w:trHeight w:val="109"/>
        </w:trPr>
        <w:tc>
          <w:tcPr>
            <w:tcW w:w="2573" w:type="dxa"/>
          </w:tcPr>
          <w:p w14:paraId="3520D6BD" w14:textId="77777777" w:rsidR="003D35AB" w:rsidRPr="00A847B7" w:rsidRDefault="003D35AB" w:rsidP="003D35AB">
            <w:pPr>
              <w:spacing w:beforeAutospacing="1" w:after="100" w:afterAutospacing="1"/>
              <w:rPr>
                <w:rFonts w:cstheme="minorHAnsi"/>
              </w:rPr>
            </w:pPr>
            <w:r w:rsidRPr="00A847B7">
              <w:rPr>
                <w:rFonts w:cstheme="minorHAnsi"/>
              </w:rPr>
              <w:t xml:space="preserve">16 </w:t>
            </w:r>
          </w:p>
        </w:tc>
        <w:tc>
          <w:tcPr>
            <w:tcW w:w="2573" w:type="dxa"/>
          </w:tcPr>
          <w:p w14:paraId="47DAD299" w14:textId="77777777" w:rsidR="003D35AB" w:rsidRPr="00A847B7" w:rsidRDefault="003D35AB" w:rsidP="003D35AB">
            <w:pPr>
              <w:spacing w:beforeAutospacing="1" w:after="100" w:afterAutospacing="1"/>
              <w:rPr>
                <w:rFonts w:cstheme="minorHAnsi"/>
              </w:rPr>
            </w:pPr>
            <w:r w:rsidRPr="00A847B7">
              <w:rPr>
                <w:rFonts w:cstheme="minorHAnsi"/>
              </w:rPr>
              <w:t xml:space="preserve">18 450 </w:t>
            </w:r>
          </w:p>
        </w:tc>
      </w:tr>
      <w:tr w:rsidR="003D35AB" w:rsidRPr="00A847B7" w14:paraId="2BFAE291" w14:textId="77777777" w:rsidTr="003D35AB">
        <w:trPr>
          <w:trHeight w:val="109"/>
        </w:trPr>
        <w:tc>
          <w:tcPr>
            <w:tcW w:w="2573" w:type="dxa"/>
          </w:tcPr>
          <w:p w14:paraId="6B993840" w14:textId="77777777" w:rsidR="003D35AB" w:rsidRPr="00A847B7" w:rsidRDefault="003D35AB" w:rsidP="003D35AB">
            <w:pPr>
              <w:spacing w:beforeAutospacing="1" w:after="100" w:afterAutospacing="1"/>
              <w:rPr>
                <w:rFonts w:cstheme="minorHAnsi"/>
              </w:rPr>
            </w:pPr>
            <w:r w:rsidRPr="00A847B7">
              <w:rPr>
                <w:rFonts w:cstheme="minorHAnsi"/>
              </w:rPr>
              <w:t xml:space="preserve">17 </w:t>
            </w:r>
          </w:p>
        </w:tc>
        <w:tc>
          <w:tcPr>
            <w:tcW w:w="2573" w:type="dxa"/>
          </w:tcPr>
          <w:p w14:paraId="700FDF6A" w14:textId="77777777" w:rsidR="003D35AB" w:rsidRPr="00A847B7" w:rsidRDefault="003D35AB" w:rsidP="003D35AB">
            <w:pPr>
              <w:spacing w:beforeAutospacing="1" w:after="100" w:afterAutospacing="1"/>
              <w:rPr>
                <w:rFonts w:cstheme="minorHAnsi"/>
              </w:rPr>
            </w:pPr>
            <w:r w:rsidRPr="00A847B7">
              <w:rPr>
                <w:rFonts w:cstheme="minorHAnsi"/>
              </w:rPr>
              <w:t xml:space="preserve">19 150 </w:t>
            </w:r>
          </w:p>
        </w:tc>
      </w:tr>
      <w:tr w:rsidR="003D35AB" w:rsidRPr="00A847B7" w14:paraId="764D2987" w14:textId="77777777" w:rsidTr="003D35AB">
        <w:trPr>
          <w:trHeight w:val="109"/>
        </w:trPr>
        <w:tc>
          <w:tcPr>
            <w:tcW w:w="2573" w:type="dxa"/>
          </w:tcPr>
          <w:p w14:paraId="52D28E4B" w14:textId="77777777" w:rsidR="003D35AB" w:rsidRPr="00A847B7" w:rsidRDefault="003D35AB" w:rsidP="003D35AB">
            <w:pPr>
              <w:spacing w:beforeAutospacing="1" w:after="100" w:afterAutospacing="1"/>
              <w:rPr>
                <w:rFonts w:cstheme="minorHAnsi"/>
              </w:rPr>
            </w:pPr>
            <w:r w:rsidRPr="00A847B7">
              <w:rPr>
                <w:rFonts w:cstheme="minorHAnsi"/>
              </w:rPr>
              <w:t xml:space="preserve">18 </w:t>
            </w:r>
          </w:p>
        </w:tc>
        <w:tc>
          <w:tcPr>
            <w:tcW w:w="2573" w:type="dxa"/>
          </w:tcPr>
          <w:p w14:paraId="72A9C73B" w14:textId="77777777" w:rsidR="003D35AB" w:rsidRPr="00A847B7" w:rsidRDefault="003D35AB" w:rsidP="003D35AB">
            <w:pPr>
              <w:spacing w:beforeAutospacing="1" w:after="100" w:afterAutospacing="1"/>
              <w:rPr>
                <w:rFonts w:cstheme="minorHAnsi"/>
              </w:rPr>
            </w:pPr>
            <w:r w:rsidRPr="00A847B7">
              <w:rPr>
                <w:rFonts w:cstheme="minorHAnsi"/>
              </w:rPr>
              <w:t xml:space="preserve">22 500 </w:t>
            </w:r>
          </w:p>
        </w:tc>
      </w:tr>
      <w:tr w:rsidR="003D35AB" w:rsidRPr="00A847B7" w14:paraId="74A1A07A" w14:textId="77777777" w:rsidTr="003D35AB">
        <w:trPr>
          <w:trHeight w:val="109"/>
        </w:trPr>
        <w:tc>
          <w:tcPr>
            <w:tcW w:w="2573" w:type="dxa"/>
          </w:tcPr>
          <w:p w14:paraId="2A944922" w14:textId="77777777" w:rsidR="003D35AB" w:rsidRPr="00A847B7" w:rsidRDefault="003D35AB" w:rsidP="003D35AB">
            <w:pPr>
              <w:spacing w:beforeAutospacing="1" w:after="100" w:afterAutospacing="1"/>
              <w:rPr>
                <w:rFonts w:cstheme="minorHAnsi"/>
              </w:rPr>
            </w:pPr>
            <w:r w:rsidRPr="00A847B7">
              <w:rPr>
                <w:rFonts w:cstheme="minorHAnsi"/>
              </w:rPr>
              <w:t xml:space="preserve">19 </w:t>
            </w:r>
          </w:p>
        </w:tc>
        <w:tc>
          <w:tcPr>
            <w:tcW w:w="2573" w:type="dxa"/>
          </w:tcPr>
          <w:p w14:paraId="15C6546D" w14:textId="77777777" w:rsidR="003D35AB" w:rsidRPr="00A847B7" w:rsidRDefault="003D35AB" w:rsidP="003D35AB">
            <w:pPr>
              <w:spacing w:beforeAutospacing="1" w:after="100" w:afterAutospacing="1"/>
              <w:rPr>
                <w:rFonts w:cstheme="minorHAnsi"/>
              </w:rPr>
            </w:pPr>
            <w:r w:rsidRPr="00A847B7">
              <w:rPr>
                <w:rFonts w:cstheme="minorHAnsi"/>
              </w:rPr>
              <w:t xml:space="preserve">25 000 </w:t>
            </w:r>
          </w:p>
        </w:tc>
      </w:tr>
      <w:tr w:rsidR="003D35AB" w:rsidRPr="00A847B7" w14:paraId="546CD96F" w14:textId="77777777" w:rsidTr="003D35AB">
        <w:trPr>
          <w:trHeight w:val="109"/>
        </w:trPr>
        <w:tc>
          <w:tcPr>
            <w:tcW w:w="2573" w:type="dxa"/>
          </w:tcPr>
          <w:p w14:paraId="77966213" w14:textId="77777777" w:rsidR="003D35AB" w:rsidRPr="00A847B7" w:rsidRDefault="003D35AB" w:rsidP="003D35AB">
            <w:pPr>
              <w:spacing w:beforeAutospacing="1" w:after="100" w:afterAutospacing="1"/>
              <w:rPr>
                <w:rFonts w:cstheme="minorHAnsi"/>
              </w:rPr>
            </w:pPr>
            <w:r w:rsidRPr="00A847B7">
              <w:rPr>
                <w:rFonts w:cstheme="minorHAnsi"/>
              </w:rPr>
              <w:t xml:space="preserve">20 </w:t>
            </w:r>
          </w:p>
        </w:tc>
        <w:tc>
          <w:tcPr>
            <w:tcW w:w="2573" w:type="dxa"/>
          </w:tcPr>
          <w:p w14:paraId="5F3D798C" w14:textId="77777777" w:rsidR="003D35AB" w:rsidRPr="00A847B7" w:rsidRDefault="003D35AB" w:rsidP="003D35AB">
            <w:pPr>
              <w:spacing w:beforeAutospacing="1" w:after="100" w:afterAutospacing="1"/>
              <w:rPr>
                <w:rFonts w:cstheme="minorHAnsi"/>
              </w:rPr>
            </w:pPr>
            <w:r w:rsidRPr="00A847B7">
              <w:rPr>
                <w:rFonts w:cstheme="minorHAnsi"/>
              </w:rPr>
              <w:t xml:space="preserve">27 500 </w:t>
            </w:r>
          </w:p>
        </w:tc>
      </w:tr>
      <w:tr w:rsidR="003D35AB" w:rsidRPr="00A847B7" w14:paraId="5103CEC0" w14:textId="77777777" w:rsidTr="003D35AB">
        <w:trPr>
          <w:trHeight w:val="109"/>
        </w:trPr>
        <w:tc>
          <w:tcPr>
            <w:tcW w:w="2573" w:type="dxa"/>
          </w:tcPr>
          <w:p w14:paraId="6EDE4E8A" w14:textId="77777777" w:rsidR="003D35AB" w:rsidRPr="00A847B7" w:rsidRDefault="003D35AB" w:rsidP="003D35AB">
            <w:pPr>
              <w:spacing w:beforeAutospacing="1" w:after="100" w:afterAutospacing="1"/>
              <w:rPr>
                <w:rFonts w:cstheme="minorHAnsi"/>
              </w:rPr>
            </w:pPr>
            <w:r w:rsidRPr="00A847B7">
              <w:rPr>
                <w:rFonts w:cstheme="minorHAnsi"/>
              </w:rPr>
              <w:t xml:space="preserve">à partir de 21 </w:t>
            </w:r>
          </w:p>
        </w:tc>
        <w:tc>
          <w:tcPr>
            <w:tcW w:w="2573" w:type="dxa"/>
          </w:tcPr>
          <w:p w14:paraId="6177EE74" w14:textId="77777777" w:rsidR="003D35AB" w:rsidRPr="00A847B7" w:rsidRDefault="003D35AB" w:rsidP="003D35AB">
            <w:pPr>
              <w:spacing w:beforeAutospacing="1" w:after="100" w:afterAutospacing="1"/>
              <w:rPr>
                <w:rFonts w:cstheme="minorHAnsi"/>
              </w:rPr>
            </w:pPr>
            <w:r w:rsidRPr="00A847B7">
              <w:rPr>
                <w:rFonts w:cstheme="minorHAnsi"/>
              </w:rPr>
              <w:t xml:space="preserve">30 000 </w:t>
            </w:r>
          </w:p>
        </w:tc>
      </w:tr>
    </w:tbl>
    <w:p w14:paraId="0EFA5062" w14:textId="1AB26C29" w:rsidR="006A5865" w:rsidRPr="00A847B7" w:rsidRDefault="00435AC7" w:rsidP="001A39E7">
      <w:pPr>
        <w:spacing w:beforeAutospacing="1" w:after="100" w:afterAutospacing="1"/>
        <w:rPr>
          <w:rFonts w:cstheme="minorHAnsi"/>
        </w:rPr>
      </w:pPr>
      <w:r w:rsidRPr="00A847B7">
        <w:rPr>
          <w:rFonts w:cstheme="minorHAnsi"/>
        </w:rPr>
        <w:t xml:space="preserve">Pour l'application de ces barèmes, les émissions de dioxyde de carbone ou la puissance fiscale font l'objet d’une réfaction </w:t>
      </w:r>
      <w:r w:rsidR="00D62199" w:rsidRPr="00A847B7">
        <w:rPr>
          <w:rFonts w:cstheme="minorHAnsi"/>
        </w:rPr>
        <w:t xml:space="preserve">de 80 g/km </w:t>
      </w:r>
      <w:r w:rsidR="000D7A31" w:rsidRPr="00A847B7">
        <w:rPr>
          <w:rFonts w:cstheme="minorHAnsi"/>
        </w:rPr>
        <w:t xml:space="preserve">lorsque le véhicule est acheté par une personne morale et comporte au </w:t>
      </w:r>
      <w:r w:rsidR="00D62199" w:rsidRPr="00A847B7">
        <w:rPr>
          <w:rFonts w:cstheme="minorHAnsi"/>
        </w:rPr>
        <w:t>moins 8 places assis</w:t>
      </w:r>
      <w:r w:rsidR="00D80CFC" w:rsidRPr="00A847B7">
        <w:rPr>
          <w:rFonts w:cstheme="minorHAnsi"/>
        </w:rPr>
        <w:t>es.</w:t>
      </w:r>
    </w:p>
    <w:p w14:paraId="46140426" w14:textId="1B7C1F9B" w:rsidR="008261A3" w:rsidRPr="00A847B7" w:rsidRDefault="00880934" w:rsidP="008261A3">
      <w:pPr>
        <w:spacing w:beforeAutospacing="1" w:after="100" w:afterAutospacing="1"/>
        <w:rPr>
          <w:rFonts w:cstheme="minorHAnsi"/>
        </w:rPr>
      </w:pPr>
      <w:r w:rsidRPr="00A847B7">
        <w:rPr>
          <w:rFonts w:cstheme="minorHAnsi"/>
        </w:rPr>
        <w:t>Enfin, notez que</w:t>
      </w:r>
      <w:r w:rsidR="00073F61" w:rsidRPr="00A847B7">
        <w:rPr>
          <w:rFonts w:cstheme="minorHAnsi"/>
        </w:rPr>
        <w:t xml:space="preserve"> les véhicules dont la source d’énergie est exclusivement l’électricité, l’hydrogène ou une combinaison des deux sont exonérés de malus.</w:t>
      </w:r>
    </w:p>
    <w:p w14:paraId="29778A3F" w14:textId="127D91EB" w:rsidR="00073F61" w:rsidRPr="00A847B7" w:rsidRDefault="0003593D" w:rsidP="001A39E7">
      <w:pPr>
        <w:spacing w:beforeAutospacing="1" w:after="100" w:afterAutospacing="1"/>
        <w:rPr>
          <w:rFonts w:cstheme="minorHAnsi"/>
        </w:rPr>
      </w:pPr>
      <w:r w:rsidRPr="00A847B7">
        <w:rPr>
          <w:rFonts w:cstheme="minorHAnsi"/>
        </w:rPr>
        <w:t xml:space="preserve">De même, </w:t>
      </w:r>
      <w:r w:rsidR="0033602A" w:rsidRPr="00A847B7">
        <w:rPr>
          <w:rFonts w:cstheme="minorHAnsi"/>
        </w:rPr>
        <w:t>les véhicules de collection sont exonérés de la majoration</w:t>
      </w:r>
      <w:r w:rsidR="00B2049B" w:rsidRPr="00A847B7">
        <w:rPr>
          <w:rFonts w:cstheme="minorHAnsi"/>
        </w:rPr>
        <w:t xml:space="preserve"> prévue pour les véhicules de transport relevant des catégories N, M2 et M3.</w:t>
      </w:r>
    </w:p>
    <w:p w14:paraId="02C0F14E" w14:textId="77777777" w:rsidR="00B2049B" w:rsidRPr="00A847B7" w:rsidRDefault="00B2049B" w:rsidP="001A39E7">
      <w:pPr>
        <w:spacing w:beforeAutospacing="1" w:after="100" w:afterAutospacing="1"/>
        <w:rPr>
          <w:rFonts w:cstheme="minorHAnsi"/>
        </w:rPr>
      </w:pPr>
    </w:p>
    <w:p w14:paraId="2703C4CD" w14:textId="09E95616" w:rsidR="00956262" w:rsidRPr="00A847B7" w:rsidRDefault="00956262" w:rsidP="00956262">
      <w:pPr>
        <w:pStyle w:val="Titre3"/>
      </w:pPr>
      <w:bookmarkStart w:id="154" w:name="_Toc60781065"/>
      <w:r w:rsidRPr="00A847B7">
        <w:t xml:space="preserve">Slide </w:t>
      </w:r>
      <w:r w:rsidR="00B451D9">
        <w:t>103</w:t>
      </w:r>
      <w:r w:rsidRPr="00A847B7">
        <w:t xml:space="preserve"> : </w:t>
      </w:r>
      <w:r w:rsidR="00687DE0" w:rsidRPr="00A847B7">
        <w:t>Malus automobile pour 2022</w:t>
      </w:r>
      <w:bookmarkEnd w:id="154"/>
    </w:p>
    <w:p w14:paraId="21D853ED" w14:textId="5DA59DE7" w:rsidR="002C7B91" w:rsidRPr="00A847B7" w:rsidRDefault="000C668C" w:rsidP="000C668C">
      <w:r w:rsidRPr="004F587E">
        <w:rPr>
          <w:u w:val="single"/>
        </w:rPr>
        <w:t xml:space="preserve">Source </w:t>
      </w:r>
      <w:r w:rsidRPr="00A847B7">
        <w:t>:</w:t>
      </w:r>
      <w:r w:rsidR="002C7B91" w:rsidRPr="00A847B7">
        <w:t xml:space="preserve"> Loi de Finances pour 2021, </w:t>
      </w:r>
      <w:r w:rsidR="002C7B91" w:rsidRPr="005A54C4">
        <w:t xml:space="preserve">article </w:t>
      </w:r>
      <w:r w:rsidR="00F11C7D" w:rsidRPr="003E1502">
        <w:t>55</w:t>
      </w:r>
    </w:p>
    <w:p w14:paraId="312DE4C7" w14:textId="3794DC19" w:rsidR="00B21F1D" w:rsidRPr="00A847B7" w:rsidRDefault="00B21F1D" w:rsidP="00EE0687">
      <w:pPr>
        <w:pStyle w:val="Paragraphedeliste"/>
        <w:numPr>
          <w:ilvl w:val="0"/>
          <w:numId w:val="9"/>
        </w:numPr>
        <w:spacing w:beforeAutospacing="1" w:after="100" w:afterAutospacing="1"/>
      </w:pPr>
      <w:r w:rsidRPr="00A847B7">
        <w:rPr>
          <w:b/>
          <w:bCs/>
          <w:i/>
          <w:iCs/>
          <w:u w:val="single"/>
        </w:rPr>
        <w:lastRenderedPageBreak/>
        <w:t>Malus</w:t>
      </w:r>
    </w:p>
    <w:p w14:paraId="4E34D87A" w14:textId="4EB49740" w:rsidR="00E9250B" w:rsidRPr="00A847B7" w:rsidRDefault="00E9250B" w:rsidP="00E9250B">
      <w:pPr>
        <w:spacing w:beforeAutospacing="1" w:after="100" w:afterAutospacing="1"/>
      </w:pPr>
      <w:r w:rsidRPr="00A847B7">
        <w:t>Le montant du malus sur les émissions de dioxyde de carbone des véhicules de tourisme est déterminé par un barème qui est fonction des émissions de dioxyde de carbone. Toutefois, pour les véhicules ne relevant pas du nouveau dispositif d’immatriculation, ce barème est remplacé par un barème qui est fonction des puissances fiscales.</w:t>
      </w:r>
    </w:p>
    <w:p w14:paraId="1AFC2564" w14:textId="79948D5C" w:rsidR="00983BDD" w:rsidRPr="00A847B7" w:rsidRDefault="00983BDD" w:rsidP="00983BDD">
      <w:pPr>
        <w:spacing w:beforeAutospacing="1" w:after="100" w:afterAutospacing="1"/>
        <w:rPr>
          <w:rFonts w:cstheme="minorHAnsi"/>
        </w:rPr>
      </w:pPr>
      <w:r w:rsidRPr="00A847B7">
        <w:rPr>
          <w:rFonts w:cstheme="minorHAnsi"/>
        </w:rPr>
        <w:t xml:space="preserve">Lorsque le véhicule a fait l'objet, au moins 6 mois avant l'application du malus, d'une immatriculation, ce malus est déterminé à partir des montants des barèmes suivants auxquels est appliquée une réfaction </w:t>
      </w:r>
      <w:r w:rsidR="00511151">
        <w:rPr>
          <w:rFonts w:cstheme="minorHAnsi"/>
        </w:rPr>
        <w:t>de</w:t>
      </w:r>
      <w:r w:rsidRPr="00A847B7">
        <w:rPr>
          <w:rFonts w:cstheme="minorHAnsi"/>
        </w:rPr>
        <w:t xml:space="preserve"> 1/10 pour chaque période de 12 mois entamée depuis la date à laquelle le véhicule a été immatriculé pour la première fois : </w:t>
      </w:r>
    </w:p>
    <w:p w14:paraId="56333688" w14:textId="77777777" w:rsidR="00983BDD" w:rsidRPr="00A847B7" w:rsidRDefault="00983BDD" w:rsidP="00EE0687">
      <w:pPr>
        <w:pStyle w:val="Paragraphedeliste"/>
        <w:numPr>
          <w:ilvl w:val="0"/>
          <w:numId w:val="67"/>
        </w:numPr>
        <w:spacing w:beforeAutospacing="1" w:after="100" w:afterAutospacing="1"/>
        <w:rPr>
          <w:rFonts w:cstheme="minorHAnsi"/>
        </w:rPr>
      </w:pPr>
      <w:r w:rsidRPr="00A847B7">
        <w:rPr>
          <w:rFonts w:cstheme="minorHAnsi"/>
        </w:rPr>
        <w:t>lorsque la première immatriculation est intervenue à compter du 1</w:t>
      </w:r>
      <w:r w:rsidRPr="00A847B7">
        <w:rPr>
          <w:rFonts w:cstheme="minorHAnsi"/>
          <w:vertAlign w:val="superscript"/>
        </w:rPr>
        <w:t>er</w:t>
      </w:r>
      <w:r w:rsidRPr="00A847B7">
        <w:rPr>
          <w:rFonts w:cstheme="minorHAnsi"/>
        </w:rPr>
        <w:t xml:space="preserve"> janvier 2021 : barème qui est fonction des émissions de dioxyde de carbone ou barème qui est fonction des puissances fiscales dans leur rédaction applicable à la date de cette première immatriculation ;</w:t>
      </w:r>
    </w:p>
    <w:p w14:paraId="1CA5AD75" w14:textId="20E74B22" w:rsidR="00983BDD" w:rsidRPr="00A847B7" w:rsidRDefault="00983BDD" w:rsidP="00EE0687">
      <w:pPr>
        <w:pStyle w:val="Paragraphedeliste"/>
        <w:numPr>
          <w:ilvl w:val="0"/>
          <w:numId w:val="67"/>
        </w:numPr>
        <w:spacing w:beforeAutospacing="1" w:after="100" w:afterAutospacing="1"/>
        <w:rPr>
          <w:rFonts w:cstheme="minorHAnsi"/>
        </w:rPr>
      </w:pPr>
      <w:r w:rsidRPr="00A847B7">
        <w:rPr>
          <w:rFonts w:cstheme="minorHAnsi"/>
        </w:rPr>
        <w:t>lorsque la première immatriculation est intervenue avant le 1</w:t>
      </w:r>
      <w:r w:rsidRPr="00A847B7">
        <w:rPr>
          <w:rFonts w:cstheme="minorHAnsi"/>
          <w:vertAlign w:val="superscript"/>
        </w:rPr>
        <w:t>er</w:t>
      </w:r>
      <w:r w:rsidRPr="00A847B7">
        <w:rPr>
          <w:rFonts w:cstheme="minorHAnsi"/>
        </w:rPr>
        <w:t xml:space="preserve"> janvier 2021 : barème qui est fonction des émissions de dioxyde de carbone ou barème qui est fonction des puissances fiscales dans leur rédaction applicable au 1</w:t>
      </w:r>
      <w:r w:rsidRPr="00A847B7">
        <w:rPr>
          <w:rFonts w:cstheme="minorHAnsi"/>
          <w:vertAlign w:val="superscript"/>
        </w:rPr>
        <w:t>er</w:t>
      </w:r>
      <w:r w:rsidRPr="00A847B7">
        <w:rPr>
          <w:rFonts w:cstheme="minorHAnsi"/>
        </w:rPr>
        <w:t xml:space="preserve"> janvier 2021.</w:t>
      </w:r>
    </w:p>
    <w:p w14:paraId="723DF133" w14:textId="1D8868D3" w:rsidR="00C63330" w:rsidRPr="00A847B7" w:rsidRDefault="00C63330" w:rsidP="00C63330">
      <w:pPr>
        <w:spacing w:beforeAutospacing="1" w:after="100" w:afterAutospacing="1"/>
        <w:rPr>
          <w:rFonts w:cstheme="minorHAnsi"/>
        </w:rPr>
      </w:pPr>
      <w:r w:rsidRPr="00A847B7">
        <w:rPr>
          <w:rFonts w:cstheme="minorHAnsi"/>
        </w:rPr>
        <w:t>Notez que pour les véhicules dont la première immatriculation interviendra à compter du 1</w:t>
      </w:r>
      <w:r w:rsidRPr="00A847B7">
        <w:rPr>
          <w:rFonts w:cstheme="minorHAnsi"/>
          <w:vertAlign w:val="superscript"/>
        </w:rPr>
        <w:t>er</w:t>
      </w:r>
      <w:r w:rsidRPr="00A847B7">
        <w:rPr>
          <w:rFonts w:cstheme="minorHAnsi"/>
        </w:rPr>
        <w:t xml:space="preserve"> janvier 2022, le tarif résultant de l’application du barème qui est fonction des émissions de dioxyde de carbone ou barème qui est fonction des puissances fiscales sera limité à 50 % du prix d’achat du véhicule. Plus simplement, on peut dire que le malus sera plafonné à 50 % du prix d’achat du véhicule.</w:t>
      </w:r>
    </w:p>
    <w:p w14:paraId="152A2213" w14:textId="19972011" w:rsidR="00C63330" w:rsidRPr="00A847B7" w:rsidRDefault="00C63330" w:rsidP="00C63330">
      <w:pPr>
        <w:spacing w:beforeAutospacing="1" w:after="100" w:afterAutospacing="1"/>
        <w:rPr>
          <w:rFonts w:cstheme="minorHAnsi"/>
        </w:rPr>
      </w:pPr>
      <w:r w:rsidRPr="00A847B7">
        <w:rPr>
          <w:rFonts w:cstheme="minorHAnsi"/>
        </w:rPr>
        <w:t>A compter du 1</w:t>
      </w:r>
      <w:r w:rsidRPr="00A847B7">
        <w:rPr>
          <w:rFonts w:cstheme="minorHAnsi"/>
          <w:vertAlign w:val="superscript"/>
        </w:rPr>
        <w:t>er</w:t>
      </w:r>
      <w:r w:rsidRPr="00A847B7">
        <w:rPr>
          <w:rFonts w:cstheme="minorHAnsi"/>
        </w:rPr>
        <w:t xml:space="preserve"> janvier 2022, le barème des émissions de dioxyde de carbone est fixé de la façon suivante : </w:t>
      </w:r>
    </w:p>
    <w:p w14:paraId="55B5F5D4" w14:textId="705C7378" w:rsidR="00C63330" w:rsidRPr="00A847B7" w:rsidRDefault="00C63330" w:rsidP="00EE0687">
      <w:pPr>
        <w:pStyle w:val="Paragraphedeliste"/>
        <w:numPr>
          <w:ilvl w:val="0"/>
          <w:numId w:val="68"/>
        </w:numPr>
        <w:spacing w:beforeAutospacing="1" w:after="100" w:afterAutospacing="1"/>
        <w:rPr>
          <w:rFonts w:cstheme="minorHAnsi"/>
        </w:rPr>
      </w:pPr>
      <w:r w:rsidRPr="00A847B7">
        <w:rPr>
          <w:rFonts w:cstheme="minorHAnsi"/>
        </w:rPr>
        <w:t>lorsque les émissions sont inférieures à 128 g/km, le tarif est nul ;</w:t>
      </w:r>
    </w:p>
    <w:p w14:paraId="25C6B35D" w14:textId="0071F161" w:rsidR="00C63330" w:rsidRPr="00A847B7" w:rsidRDefault="00C63330" w:rsidP="00EE0687">
      <w:pPr>
        <w:pStyle w:val="Paragraphedeliste"/>
        <w:numPr>
          <w:ilvl w:val="0"/>
          <w:numId w:val="68"/>
        </w:numPr>
        <w:spacing w:beforeAutospacing="1" w:after="100" w:afterAutospacing="1"/>
        <w:rPr>
          <w:rFonts w:cstheme="minorHAnsi"/>
        </w:rPr>
      </w:pPr>
      <w:r w:rsidRPr="00A847B7">
        <w:rPr>
          <w:rFonts w:cstheme="minorHAnsi"/>
        </w:rPr>
        <w:t xml:space="preserve">lorsque les émissions sont supérieures ou égales à 128 g/km et inférieures ou égales à 223 g/km, le barème est le suivant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0"/>
        <w:gridCol w:w="2760"/>
      </w:tblGrid>
      <w:tr w:rsidR="00C63330" w:rsidRPr="00A847B7" w14:paraId="7F96A2D0" w14:textId="77777777" w:rsidTr="00C63330">
        <w:trPr>
          <w:trHeight w:val="242"/>
        </w:trPr>
        <w:tc>
          <w:tcPr>
            <w:tcW w:w="2760" w:type="dxa"/>
            <w:shd w:val="clear" w:color="auto" w:fill="297FD5" w:themeFill="accent3"/>
          </w:tcPr>
          <w:p w14:paraId="43530D7C" w14:textId="36512BD3" w:rsidR="00C63330" w:rsidRPr="00A847B7" w:rsidRDefault="00C63330" w:rsidP="00C63330">
            <w:pPr>
              <w:spacing w:beforeAutospacing="1" w:after="100" w:afterAutospacing="1"/>
              <w:jc w:val="center"/>
              <w:rPr>
                <w:b/>
                <w:bCs/>
                <w:color w:val="FFFFFF" w:themeColor="background1"/>
                <w:sz w:val="22"/>
                <w:szCs w:val="22"/>
              </w:rPr>
            </w:pPr>
            <w:r w:rsidRPr="00A847B7">
              <w:rPr>
                <w:b/>
                <w:bCs/>
                <w:color w:val="FFFFFF" w:themeColor="background1"/>
                <w:sz w:val="22"/>
                <w:szCs w:val="22"/>
              </w:rPr>
              <w:t>Émissions de dioxyde de carbone (en grammes par kilomètre)</w:t>
            </w:r>
          </w:p>
        </w:tc>
        <w:tc>
          <w:tcPr>
            <w:tcW w:w="2760" w:type="dxa"/>
            <w:shd w:val="clear" w:color="auto" w:fill="297FD5" w:themeFill="accent3"/>
          </w:tcPr>
          <w:p w14:paraId="643926E9" w14:textId="630B159E" w:rsidR="00C63330" w:rsidRPr="00A847B7" w:rsidRDefault="00C63330" w:rsidP="00C63330">
            <w:pPr>
              <w:spacing w:beforeAutospacing="1" w:after="100" w:afterAutospacing="1"/>
              <w:jc w:val="center"/>
              <w:rPr>
                <w:b/>
                <w:bCs/>
                <w:color w:val="FFFFFF" w:themeColor="background1"/>
                <w:sz w:val="22"/>
                <w:szCs w:val="22"/>
              </w:rPr>
            </w:pPr>
            <w:r w:rsidRPr="00A847B7">
              <w:rPr>
                <w:b/>
                <w:bCs/>
                <w:color w:val="FFFFFF" w:themeColor="background1"/>
                <w:sz w:val="22"/>
                <w:szCs w:val="22"/>
              </w:rPr>
              <w:t>Tarif par véhicule (en euros)</w:t>
            </w:r>
          </w:p>
        </w:tc>
      </w:tr>
      <w:tr w:rsidR="00C63330" w:rsidRPr="00A847B7" w14:paraId="51BF4439" w14:textId="77777777" w:rsidTr="00C63330">
        <w:trPr>
          <w:trHeight w:val="109"/>
        </w:trPr>
        <w:tc>
          <w:tcPr>
            <w:tcW w:w="2760" w:type="dxa"/>
          </w:tcPr>
          <w:p w14:paraId="50F11486" w14:textId="77777777" w:rsidR="00C63330" w:rsidRPr="00A847B7" w:rsidRDefault="00C63330" w:rsidP="00C63330">
            <w:pPr>
              <w:spacing w:beforeAutospacing="1" w:after="100" w:afterAutospacing="1"/>
            </w:pPr>
            <w:r w:rsidRPr="00A847B7">
              <w:t xml:space="preserve">128 </w:t>
            </w:r>
          </w:p>
        </w:tc>
        <w:tc>
          <w:tcPr>
            <w:tcW w:w="2760" w:type="dxa"/>
          </w:tcPr>
          <w:p w14:paraId="4BAD4866" w14:textId="77777777" w:rsidR="00C63330" w:rsidRPr="00A847B7" w:rsidRDefault="00C63330" w:rsidP="00C63330">
            <w:pPr>
              <w:spacing w:beforeAutospacing="1" w:after="100" w:afterAutospacing="1"/>
            </w:pPr>
            <w:r w:rsidRPr="00A847B7">
              <w:t xml:space="preserve">50 </w:t>
            </w:r>
          </w:p>
        </w:tc>
      </w:tr>
      <w:tr w:rsidR="00C63330" w:rsidRPr="00A847B7" w14:paraId="32A3B807" w14:textId="77777777" w:rsidTr="00C63330">
        <w:trPr>
          <w:trHeight w:val="109"/>
        </w:trPr>
        <w:tc>
          <w:tcPr>
            <w:tcW w:w="2760" w:type="dxa"/>
          </w:tcPr>
          <w:p w14:paraId="31A93060" w14:textId="77777777" w:rsidR="00C63330" w:rsidRPr="00A847B7" w:rsidRDefault="00C63330" w:rsidP="00C63330">
            <w:pPr>
              <w:spacing w:beforeAutospacing="1" w:after="100" w:afterAutospacing="1"/>
            </w:pPr>
            <w:r w:rsidRPr="00A847B7">
              <w:t xml:space="preserve">129 </w:t>
            </w:r>
          </w:p>
        </w:tc>
        <w:tc>
          <w:tcPr>
            <w:tcW w:w="2760" w:type="dxa"/>
          </w:tcPr>
          <w:p w14:paraId="42B19B68" w14:textId="77777777" w:rsidR="00C63330" w:rsidRPr="00A847B7" w:rsidRDefault="00C63330" w:rsidP="00C63330">
            <w:pPr>
              <w:spacing w:beforeAutospacing="1" w:after="100" w:afterAutospacing="1"/>
            </w:pPr>
            <w:r w:rsidRPr="00A847B7">
              <w:t xml:space="preserve">75 </w:t>
            </w:r>
          </w:p>
        </w:tc>
      </w:tr>
      <w:tr w:rsidR="00C63330" w:rsidRPr="00A847B7" w14:paraId="2F1D9ADD" w14:textId="77777777" w:rsidTr="00C63330">
        <w:trPr>
          <w:trHeight w:val="109"/>
        </w:trPr>
        <w:tc>
          <w:tcPr>
            <w:tcW w:w="2760" w:type="dxa"/>
          </w:tcPr>
          <w:p w14:paraId="4DD7B6D0" w14:textId="77777777" w:rsidR="00C63330" w:rsidRPr="00A847B7" w:rsidRDefault="00C63330" w:rsidP="00C63330">
            <w:pPr>
              <w:spacing w:beforeAutospacing="1" w:after="100" w:afterAutospacing="1"/>
            </w:pPr>
            <w:r w:rsidRPr="00A847B7">
              <w:t xml:space="preserve">130 </w:t>
            </w:r>
          </w:p>
        </w:tc>
        <w:tc>
          <w:tcPr>
            <w:tcW w:w="2760" w:type="dxa"/>
          </w:tcPr>
          <w:p w14:paraId="678D3455" w14:textId="77777777" w:rsidR="00C63330" w:rsidRPr="00A847B7" w:rsidRDefault="00C63330" w:rsidP="00C63330">
            <w:pPr>
              <w:spacing w:beforeAutospacing="1" w:after="100" w:afterAutospacing="1"/>
            </w:pPr>
            <w:r w:rsidRPr="00A847B7">
              <w:t xml:space="preserve">100 </w:t>
            </w:r>
          </w:p>
        </w:tc>
      </w:tr>
      <w:tr w:rsidR="00C63330" w:rsidRPr="00A847B7" w14:paraId="162AC82F" w14:textId="77777777" w:rsidTr="00C63330">
        <w:trPr>
          <w:trHeight w:val="109"/>
        </w:trPr>
        <w:tc>
          <w:tcPr>
            <w:tcW w:w="2760" w:type="dxa"/>
          </w:tcPr>
          <w:p w14:paraId="1DCADF0A" w14:textId="77777777" w:rsidR="00C63330" w:rsidRPr="00A847B7" w:rsidRDefault="00C63330" w:rsidP="00C63330">
            <w:pPr>
              <w:spacing w:beforeAutospacing="1" w:after="100" w:afterAutospacing="1"/>
            </w:pPr>
            <w:r w:rsidRPr="00A847B7">
              <w:t xml:space="preserve">131 </w:t>
            </w:r>
          </w:p>
        </w:tc>
        <w:tc>
          <w:tcPr>
            <w:tcW w:w="2760" w:type="dxa"/>
          </w:tcPr>
          <w:p w14:paraId="0ADB3271" w14:textId="77777777" w:rsidR="00C63330" w:rsidRPr="00A847B7" w:rsidRDefault="00C63330" w:rsidP="00C63330">
            <w:pPr>
              <w:spacing w:beforeAutospacing="1" w:after="100" w:afterAutospacing="1"/>
            </w:pPr>
            <w:r w:rsidRPr="00A847B7">
              <w:t xml:space="preserve">125 </w:t>
            </w:r>
          </w:p>
        </w:tc>
      </w:tr>
      <w:tr w:rsidR="00C63330" w:rsidRPr="00A847B7" w14:paraId="5CC7867A" w14:textId="77777777" w:rsidTr="00C63330">
        <w:trPr>
          <w:trHeight w:val="109"/>
        </w:trPr>
        <w:tc>
          <w:tcPr>
            <w:tcW w:w="2760" w:type="dxa"/>
          </w:tcPr>
          <w:p w14:paraId="024E7038" w14:textId="77777777" w:rsidR="00C63330" w:rsidRPr="00A847B7" w:rsidRDefault="00C63330" w:rsidP="00C63330">
            <w:pPr>
              <w:spacing w:beforeAutospacing="1" w:after="100" w:afterAutospacing="1"/>
            </w:pPr>
            <w:r w:rsidRPr="00A847B7">
              <w:t xml:space="preserve">132 </w:t>
            </w:r>
          </w:p>
        </w:tc>
        <w:tc>
          <w:tcPr>
            <w:tcW w:w="2760" w:type="dxa"/>
          </w:tcPr>
          <w:p w14:paraId="1633D037" w14:textId="77777777" w:rsidR="00C63330" w:rsidRPr="00A847B7" w:rsidRDefault="00C63330" w:rsidP="00C63330">
            <w:pPr>
              <w:spacing w:beforeAutospacing="1" w:after="100" w:afterAutospacing="1"/>
            </w:pPr>
            <w:r w:rsidRPr="00A847B7">
              <w:t xml:space="preserve">150 </w:t>
            </w:r>
          </w:p>
        </w:tc>
      </w:tr>
      <w:tr w:rsidR="00C63330" w:rsidRPr="00A847B7" w14:paraId="4E0F24FB" w14:textId="77777777" w:rsidTr="00C63330">
        <w:trPr>
          <w:trHeight w:val="109"/>
        </w:trPr>
        <w:tc>
          <w:tcPr>
            <w:tcW w:w="2760" w:type="dxa"/>
          </w:tcPr>
          <w:p w14:paraId="6D7EE583" w14:textId="77777777" w:rsidR="00C63330" w:rsidRPr="00A847B7" w:rsidRDefault="00C63330" w:rsidP="00C63330">
            <w:pPr>
              <w:spacing w:beforeAutospacing="1" w:after="100" w:afterAutospacing="1"/>
            </w:pPr>
            <w:r w:rsidRPr="00A847B7">
              <w:t xml:space="preserve">133 </w:t>
            </w:r>
          </w:p>
        </w:tc>
        <w:tc>
          <w:tcPr>
            <w:tcW w:w="2760" w:type="dxa"/>
          </w:tcPr>
          <w:p w14:paraId="3837C1B6" w14:textId="77777777" w:rsidR="00C63330" w:rsidRPr="00A847B7" w:rsidRDefault="00C63330" w:rsidP="00C63330">
            <w:pPr>
              <w:spacing w:beforeAutospacing="1" w:after="100" w:afterAutospacing="1"/>
            </w:pPr>
            <w:r w:rsidRPr="00A847B7">
              <w:t xml:space="preserve">170 </w:t>
            </w:r>
          </w:p>
        </w:tc>
      </w:tr>
      <w:tr w:rsidR="00C63330" w:rsidRPr="00A847B7" w14:paraId="5EA39380" w14:textId="77777777" w:rsidTr="00C63330">
        <w:trPr>
          <w:trHeight w:val="109"/>
        </w:trPr>
        <w:tc>
          <w:tcPr>
            <w:tcW w:w="2760" w:type="dxa"/>
          </w:tcPr>
          <w:p w14:paraId="360A7E10" w14:textId="77777777" w:rsidR="00C63330" w:rsidRPr="00A847B7" w:rsidRDefault="00C63330" w:rsidP="00C63330">
            <w:pPr>
              <w:spacing w:beforeAutospacing="1" w:after="100" w:afterAutospacing="1"/>
            </w:pPr>
            <w:r w:rsidRPr="00A847B7">
              <w:t xml:space="preserve">134 </w:t>
            </w:r>
          </w:p>
        </w:tc>
        <w:tc>
          <w:tcPr>
            <w:tcW w:w="2760" w:type="dxa"/>
          </w:tcPr>
          <w:p w14:paraId="4B92ED39" w14:textId="77777777" w:rsidR="00C63330" w:rsidRPr="00A847B7" w:rsidRDefault="00C63330" w:rsidP="00C63330">
            <w:pPr>
              <w:spacing w:beforeAutospacing="1" w:after="100" w:afterAutospacing="1"/>
            </w:pPr>
            <w:r w:rsidRPr="00A847B7">
              <w:t xml:space="preserve">190 </w:t>
            </w:r>
          </w:p>
        </w:tc>
      </w:tr>
      <w:tr w:rsidR="00C63330" w:rsidRPr="00A847B7" w14:paraId="3A2FDABF" w14:textId="77777777" w:rsidTr="00C63330">
        <w:trPr>
          <w:trHeight w:val="109"/>
        </w:trPr>
        <w:tc>
          <w:tcPr>
            <w:tcW w:w="2760" w:type="dxa"/>
          </w:tcPr>
          <w:p w14:paraId="445E6FA4" w14:textId="77777777" w:rsidR="00C63330" w:rsidRPr="00A847B7" w:rsidRDefault="00C63330" w:rsidP="00C63330">
            <w:pPr>
              <w:spacing w:beforeAutospacing="1" w:after="100" w:afterAutospacing="1"/>
            </w:pPr>
            <w:r w:rsidRPr="00A847B7">
              <w:t xml:space="preserve">135 </w:t>
            </w:r>
          </w:p>
        </w:tc>
        <w:tc>
          <w:tcPr>
            <w:tcW w:w="2760" w:type="dxa"/>
          </w:tcPr>
          <w:p w14:paraId="75EDADC2" w14:textId="77777777" w:rsidR="00C63330" w:rsidRPr="00A847B7" w:rsidRDefault="00C63330" w:rsidP="00C63330">
            <w:pPr>
              <w:spacing w:beforeAutospacing="1" w:after="100" w:afterAutospacing="1"/>
            </w:pPr>
            <w:r w:rsidRPr="00A847B7">
              <w:t xml:space="preserve">210 </w:t>
            </w:r>
          </w:p>
        </w:tc>
      </w:tr>
      <w:tr w:rsidR="00C63330" w:rsidRPr="00A847B7" w14:paraId="568E6210" w14:textId="77777777" w:rsidTr="00C63330">
        <w:trPr>
          <w:trHeight w:val="109"/>
        </w:trPr>
        <w:tc>
          <w:tcPr>
            <w:tcW w:w="2760" w:type="dxa"/>
          </w:tcPr>
          <w:p w14:paraId="58E7A12F" w14:textId="77777777" w:rsidR="00C63330" w:rsidRPr="00A847B7" w:rsidRDefault="00C63330" w:rsidP="00C63330">
            <w:pPr>
              <w:spacing w:beforeAutospacing="1" w:after="100" w:afterAutospacing="1"/>
            </w:pPr>
            <w:r w:rsidRPr="00A847B7">
              <w:t xml:space="preserve">136 </w:t>
            </w:r>
          </w:p>
        </w:tc>
        <w:tc>
          <w:tcPr>
            <w:tcW w:w="2760" w:type="dxa"/>
          </w:tcPr>
          <w:p w14:paraId="491F7312" w14:textId="77777777" w:rsidR="00C63330" w:rsidRPr="00A847B7" w:rsidRDefault="00C63330" w:rsidP="00C63330">
            <w:pPr>
              <w:spacing w:beforeAutospacing="1" w:after="100" w:afterAutospacing="1"/>
            </w:pPr>
            <w:r w:rsidRPr="00A847B7">
              <w:t xml:space="preserve">230 </w:t>
            </w:r>
          </w:p>
        </w:tc>
      </w:tr>
      <w:tr w:rsidR="00C63330" w:rsidRPr="00A847B7" w14:paraId="03790C3E" w14:textId="77777777" w:rsidTr="00C63330">
        <w:trPr>
          <w:trHeight w:val="109"/>
        </w:trPr>
        <w:tc>
          <w:tcPr>
            <w:tcW w:w="2760" w:type="dxa"/>
          </w:tcPr>
          <w:p w14:paraId="2F54E890" w14:textId="77777777" w:rsidR="00C63330" w:rsidRPr="00A847B7" w:rsidRDefault="00C63330" w:rsidP="00C63330">
            <w:pPr>
              <w:spacing w:beforeAutospacing="1" w:after="100" w:afterAutospacing="1"/>
            </w:pPr>
            <w:r w:rsidRPr="00A847B7">
              <w:t xml:space="preserve">137 </w:t>
            </w:r>
          </w:p>
        </w:tc>
        <w:tc>
          <w:tcPr>
            <w:tcW w:w="2760" w:type="dxa"/>
          </w:tcPr>
          <w:p w14:paraId="676AB39A" w14:textId="77777777" w:rsidR="00C63330" w:rsidRPr="00A847B7" w:rsidRDefault="00C63330" w:rsidP="00C63330">
            <w:pPr>
              <w:spacing w:beforeAutospacing="1" w:after="100" w:afterAutospacing="1"/>
            </w:pPr>
            <w:r w:rsidRPr="00A847B7">
              <w:t xml:space="preserve">240 </w:t>
            </w:r>
          </w:p>
        </w:tc>
      </w:tr>
      <w:tr w:rsidR="00C63330" w:rsidRPr="00A847B7" w14:paraId="1CC01AFF" w14:textId="77777777" w:rsidTr="00C63330">
        <w:trPr>
          <w:trHeight w:val="109"/>
        </w:trPr>
        <w:tc>
          <w:tcPr>
            <w:tcW w:w="2760" w:type="dxa"/>
          </w:tcPr>
          <w:p w14:paraId="55D74C36" w14:textId="77777777" w:rsidR="00C63330" w:rsidRPr="00A847B7" w:rsidRDefault="00C63330" w:rsidP="00C63330">
            <w:pPr>
              <w:spacing w:beforeAutospacing="1" w:after="100" w:afterAutospacing="1"/>
            </w:pPr>
            <w:r w:rsidRPr="00A847B7">
              <w:t xml:space="preserve">138 </w:t>
            </w:r>
          </w:p>
        </w:tc>
        <w:tc>
          <w:tcPr>
            <w:tcW w:w="2760" w:type="dxa"/>
          </w:tcPr>
          <w:p w14:paraId="3F939B78" w14:textId="77777777" w:rsidR="00C63330" w:rsidRPr="00A847B7" w:rsidRDefault="00C63330" w:rsidP="00C63330">
            <w:pPr>
              <w:spacing w:beforeAutospacing="1" w:after="100" w:afterAutospacing="1"/>
            </w:pPr>
            <w:r w:rsidRPr="00A847B7">
              <w:t xml:space="preserve">260 </w:t>
            </w:r>
          </w:p>
        </w:tc>
      </w:tr>
      <w:tr w:rsidR="00C63330" w:rsidRPr="00A847B7" w14:paraId="1E523039" w14:textId="77777777" w:rsidTr="00C63330">
        <w:trPr>
          <w:trHeight w:val="109"/>
        </w:trPr>
        <w:tc>
          <w:tcPr>
            <w:tcW w:w="2760" w:type="dxa"/>
          </w:tcPr>
          <w:p w14:paraId="10D8584B" w14:textId="77777777" w:rsidR="00C63330" w:rsidRPr="00A847B7" w:rsidRDefault="00C63330" w:rsidP="00C63330">
            <w:pPr>
              <w:spacing w:beforeAutospacing="1" w:after="100" w:afterAutospacing="1"/>
            </w:pPr>
            <w:r w:rsidRPr="00A847B7">
              <w:t xml:space="preserve">139 </w:t>
            </w:r>
          </w:p>
        </w:tc>
        <w:tc>
          <w:tcPr>
            <w:tcW w:w="2760" w:type="dxa"/>
          </w:tcPr>
          <w:p w14:paraId="56BFFCCD" w14:textId="77777777" w:rsidR="00C63330" w:rsidRPr="00A847B7" w:rsidRDefault="00C63330" w:rsidP="00C63330">
            <w:pPr>
              <w:spacing w:beforeAutospacing="1" w:after="100" w:afterAutospacing="1"/>
            </w:pPr>
            <w:r w:rsidRPr="00A847B7">
              <w:t xml:space="preserve">280 </w:t>
            </w:r>
          </w:p>
        </w:tc>
      </w:tr>
      <w:tr w:rsidR="00C63330" w:rsidRPr="00A847B7" w14:paraId="65A5339F" w14:textId="77777777" w:rsidTr="00C63330">
        <w:trPr>
          <w:trHeight w:val="109"/>
        </w:trPr>
        <w:tc>
          <w:tcPr>
            <w:tcW w:w="2760" w:type="dxa"/>
          </w:tcPr>
          <w:p w14:paraId="5210B5D3" w14:textId="77777777" w:rsidR="00C63330" w:rsidRPr="00A847B7" w:rsidRDefault="00C63330" w:rsidP="00C63330">
            <w:pPr>
              <w:spacing w:beforeAutospacing="1" w:after="100" w:afterAutospacing="1"/>
            </w:pPr>
            <w:r w:rsidRPr="00A847B7">
              <w:t xml:space="preserve">140 </w:t>
            </w:r>
          </w:p>
        </w:tc>
        <w:tc>
          <w:tcPr>
            <w:tcW w:w="2760" w:type="dxa"/>
          </w:tcPr>
          <w:p w14:paraId="661C458E" w14:textId="77777777" w:rsidR="00C63330" w:rsidRPr="00A847B7" w:rsidRDefault="00C63330" w:rsidP="00C63330">
            <w:pPr>
              <w:spacing w:beforeAutospacing="1" w:after="100" w:afterAutospacing="1"/>
            </w:pPr>
            <w:r w:rsidRPr="00A847B7">
              <w:t xml:space="preserve">310 </w:t>
            </w:r>
          </w:p>
        </w:tc>
      </w:tr>
      <w:tr w:rsidR="00C63330" w:rsidRPr="00A847B7" w14:paraId="426862F9" w14:textId="77777777" w:rsidTr="00C63330">
        <w:trPr>
          <w:trHeight w:val="109"/>
        </w:trPr>
        <w:tc>
          <w:tcPr>
            <w:tcW w:w="2760" w:type="dxa"/>
          </w:tcPr>
          <w:p w14:paraId="0DBA4F34" w14:textId="77777777" w:rsidR="00C63330" w:rsidRPr="00A847B7" w:rsidRDefault="00C63330" w:rsidP="00C63330">
            <w:pPr>
              <w:spacing w:beforeAutospacing="1" w:after="100" w:afterAutospacing="1"/>
            </w:pPr>
            <w:r w:rsidRPr="00A847B7">
              <w:t xml:space="preserve">141 </w:t>
            </w:r>
          </w:p>
        </w:tc>
        <w:tc>
          <w:tcPr>
            <w:tcW w:w="2760" w:type="dxa"/>
          </w:tcPr>
          <w:p w14:paraId="3F7D3BB5" w14:textId="77777777" w:rsidR="00C63330" w:rsidRPr="00A847B7" w:rsidRDefault="00C63330" w:rsidP="00C63330">
            <w:pPr>
              <w:spacing w:beforeAutospacing="1" w:after="100" w:afterAutospacing="1"/>
            </w:pPr>
            <w:r w:rsidRPr="00A847B7">
              <w:t xml:space="preserve">330 </w:t>
            </w:r>
          </w:p>
        </w:tc>
      </w:tr>
      <w:tr w:rsidR="00C63330" w:rsidRPr="00A847B7" w14:paraId="11DA875D" w14:textId="77777777" w:rsidTr="00C63330">
        <w:trPr>
          <w:trHeight w:val="109"/>
        </w:trPr>
        <w:tc>
          <w:tcPr>
            <w:tcW w:w="2760" w:type="dxa"/>
          </w:tcPr>
          <w:p w14:paraId="39A9CA97" w14:textId="77777777" w:rsidR="00C63330" w:rsidRPr="00A847B7" w:rsidRDefault="00C63330" w:rsidP="00C63330">
            <w:pPr>
              <w:spacing w:beforeAutospacing="1" w:after="100" w:afterAutospacing="1"/>
            </w:pPr>
            <w:r w:rsidRPr="00A847B7">
              <w:t xml:space="preserve">142 </w:t>
            </w:r>
          </w:p>
        </w:tc>
        <w:tc>
          <w:tcPr>
            <w:tcW w:w="2760" w:type="dxa"/>
          </w:tcPr>
          <w:p w14:paraId="41CDDE6B" w14:textId="77777777" w:rsidR="00C63330" w:rsidRPr="00A847B7" w:rsidRDefault="00C63330" w:rsidP="00C63330">
            <w:pPr>
              <w:spacing w:beforeAutospacing="1" w:after="100" w:afterAutospacing="1"/>
            </w:pPr>
            <w:r w:rsidRPr="00A847B7">
              <w:t xml:space="preserve">360 </w:t>
            </w:r>
          </w:p>
        </w:tc>
      </w:tr>
      <w:tr w:rsidR="00C63330" w:rsidRPr="00A847B7" w14:paraId="64E47381" w14:textId="77777777" w:rsidTr="00C63330">
        <w:trPr>
          <w:trHeight w:val="109"/>
        </w:trPr>
        <w:tc>
          <w:tcPr>
            <w:tcW w:w="2760" w:type="dxa"/>
          </w:tcPr>
          <w:p w14:paraId="0787C21F" w14:textId="77777777" w:rsidR="00C63330" w:rsidRPr="00A847B7" w:rsidRDefault="00C63330" w:rsidP="00C63330">
            <w:pPr>
              <w:spacing w:beforeAutospacing="1" w:after="100" w:afterAutospacing="1"/>
            </w:pPr>
            <w:r w:rsidRPr="00A847B7">
              <w:lastRenderedPageBreak/>
              <w:t xml:space="preserve">143 </w:t>
            </w:r>
          </w:p>
        </w:tc>
        <w:tc>
          <w:tcPr>
            <w:tcW w:w="2760" w:type="dxa"/>
          </w:tcPr>
          <w:p w14:paraId="7E2ECFBD" w14:textId="77777777" w:rsidR="00C63330" w:rsidRPr="00A847B7" w:rsidRDefault="00C63330" w:rsidP="00C63330">
            <w:pPr>
              <w:spacing w:beforeAutospacing="1" w:after="100" w:afterAutospacing="1"/>
            </w:pPr>
            <w:r w:rsidRPr="00A847B7">
              <w:t xml:space="preserve">400 </w:t>
            </w:r>
          </w:p>
        </w:tc>
      </w:tr>
      <w:tr w:rsidR="00C63330" w:rsidRPr="00A847B7" w14:paraId="47CF1D35" w14:textId="77777777" w:rsidTr="00C63330">
        <w:trPr>
          <w:trHeight w:val="109"/>
        </w:trPr>
        <w:tc>
          <w:tcPr>
            <w:tcW w:w="2760" w:type="dxa"/>
          </w:tcPr>
          <w:p w14:paraId="63C84D0B" w14:textId="77777777" w:rsidR="00C63330" w:rsidRPr="00A847B7" w:rsidRDefault="00C63330" w:rsidP="00C63330">
            <w:pPr>
              <w:spacing w:beforeAutospacing="1" w:after="100" w:afterAutospacing="1"/>
            </w:pPr>
            <w:r w:rsidRPr="00A847B7">
              <w:t xml:space="preserve">144 </w:t>
            </w:r>
          </w:p>
        </w:tc>
        <w:tc>
          <w:tcPr>
            <w:tcW w:w="2760" w:type="dxa"/>
          </w:tcPr>
          <w:p w14:paraId="16409CE1" w14:textId="77777777" w:rsidR="00C63330" w:rsidRPr="00A847B7" w:rsidRDefault="00C63330" w:rsidP="00C63330">
            <w:pPr>
              <w:spacing w:beforeAutospacing="1" w:after="100" w:afterAutospacing="1"/>
            </w:pPr>
            <w:r w:rsidRPr="00A847B7">
              <w:t xml:space="preserve">450 </w:t>
            </w:r>
          </w:p>
        </w:tc>
      </w:tr>
      <w:tr w:rsidR="00C63330" w:rsidRPr="00A847B7" w14:paraId="4589B7F8" w14:textId="77777777" w:rsidTr="00C63330">
        <w:trPr>
          <w:trHeight w:val="109"/>
        </w:trPr>
        <w:tc>
          <w:tcPr>
            <w:tcW w:w="2760" w:type="dxa"/>
          </w:tcPr>
          <w:p w14:paraId="6FA0604E" w14:textId="77777777" w:rsidR="00C63330" w:rsidRPr="00A847B7" w:rsidRDefault="00C63330" w:rsidP="00C63330">
            <w:pPr>
              <w:spacing w:beforeAutospacing="1" w:after="100" w:afterAutospacing="1"/>
            </w:pPr>
            <w:r w:rsidRPr="00A847B7">
              <w:t xml:space="preserve">145 </w:t>
            </w:r>
          </w:p>
        </w:tc>
        <w:tc>
          <w:tcPr>
            <w:tcW w:w="2760" w:type="dxa"/>
          </w:tcPr>
          <w:p w14:paraId="769B794F" w14:textId="77777777" w:rsidR="00C63330" w:rsidRPr="00A847B7" w:rsidRDefault="00C63330" w:rsidP="00C63330">
            <w:pPr>
              <w:spacing w:beforeAutospacing="1" w:after="100" w:afterAutospacing="1"/>
            </w:pPr>
            <w:r w:rsidRPr="00A847B7">
              <w:t xml:space="preserve">540 </w:t>
            </w:r>
          </w:p>
        </w:tc>
      </w:tr>
      <w:tr w:rsidR="00C63330" w:rsidRPr="00A847B7" w14:paraId="3D8AC311" w14:textId="77777777" w:rsidTr="00C63330">
        <w:trPr>
          <w:trHeight w:val="109"/>
        </w:trPr>
        <w:tc>
          <w:tcPr>
            <w:tcW w:w="2760" w:type="dxa"/>
          </w:tcPr>
          <w:p w14:paraId="4F639111" w14:textId="77777777" w:rsidR="00C63330" w:rsidRPr="00A847B7" w:rsidRDefault="00C63330" w:rsidP="00C63330">
            <w:pPr>
              <w:spacing w:beforeAutospacing="1" w:after="100" w:afterAutospacing="1"/>
            </w:pPr>
            <w:r w:rsidRPr="00A847B7">
              <w:t xml:space="preserve">146 </w:t>
            </w:r>
          </w:p>
        </w:tc>
        <w:tc>
          <w:tcPr>
            <w:tcW w:w="2760" w:type="dxa"/>
          </w:tcPr>
          <w:p w14:paraId="39C10933" w14:textId="77777777" w:rsidR="00C63330" w:rsidRPr="00A847B7" w:rsidRDefault="00C63330" w:rsidP="00C63330">
            <w:pPr>
              <w:spacing w:beforeAutospacing="1" w:after="100" w:afterAutospacing="1"/>
            </w:pPr>
            <w:r w:rsidRPr="00A847B7">
              <w:t xml:space="preserve">650 </w:t>
            </w:r>
          </w:p>
        </w:tc>
      </w:tr>
      <w:tr w:rsidR="00C63330" w:rsidRPr="00A847B7" w14:paraId="53CD3BA0" w14:textId="77777777" w:rsidTr="00C63330">
        <w:trPr>
          <w:trHeight w:val="109"/>
        </w:trPr>
        <w:tc>
          <w:tcPr>
            <w:tcW w:w="2760" w:type="dxa"/>
          </w:tcPr>
          <w:p w14:paraId="0F6A3F57" w14:textId="77777777" w:rsidR="00C63330" w:rsidRPr="00A847B7" w:rsidRDefault="00C63330" w:rsidP="00C63330">
            <w:pPr>
              <w:spacing w:beforeAutospacing="1" w:after="100" w:afterAutospacing="1"/>
            </w:pPr>
            <w:r w:rsidRPr="00A847B7">
              <w:t xml:space="preserve">147 </w:t>
            </w:r>
          </w:p>
        </w:tc>
        <w:tc>
          <w:tcPr>
            <w:tcW w:w="2760" w:type="dxa"/>
          </w:tcPr>
          <w:p w14:paraId="7A0CB01D" w14:textId="77777777" w:rsidR="00C63330" w:rsidRPr="00A847B7" w:rsidRDefault="00C63330" w:rsidP="00C63330">
            <w:pPr>
              <w:spacing w:beforeAutospacing="1" w:after="100" w:afterAutospacing="1"/>
            </w:pPr>
            <w:r w:rsidRPr="00A847B7">
              <w:t xml:space="preserve">740 </w:t>
            </w:r>
          </w:p>
        </w:tc>
      </w:tr>
      <w:tr w:rsidR="00C63330" w:rsidRPr="00A847B7" w14:paraId="689F7BCE" w14:textId="77777777" w:rsidTr="00C63330">
        <w:trPr>
          <w:trHeight w:val="109"/>
        </w:trPr>
        <w:tc>
          <w:tcPr>
            <w:tcW w:w="2760" w:type="dxa"/>
          </w:tcPr>
          <w:p w14:paraId="037542F8" w14:textId="77777777" w:rsidR="00C63330" w:rsidRPr="00A847B7" w:rsidRDefault="00C63330" w:rsidP="00C63330">
            <w:pPr>
              <w:spacing w:beforeAutospacing="1" w:after="100" w:afterAutospacing="1"/>
            </w:pPr>
            <w:r w:rsidRPr="00A847B7">
              <w:t xml:space="preserve">148 </w:t>
            </w:r>
          </w:p>
        </w:tc>
        <w:tc>
          <w:tcPr>
            <w:tcW w:w="2760" w:type="dxa"/>
          </w:tcPr>
          <w:p w14:paraId="4496CF67" w14:textId="77777777" w:rsidR="00C63330" w:rsidRPr="00A847B7" w:rsidRDefault="00C63330" w:rsidP="00C63330">
            <w:pPr>
              <w:spacing w:beforeAutospacing="1" w:after="100" w:afterAutospacing="1"/>
            </w:pPr>
            <w:r w:rsidRPr="00A847B7">
              <w:t xml:space="preserve">818 </w:t>
            </w:r>
          </w:p>
        </w:tc>
      </w:tr>
      <w:tr w:rsidR="00C63330" w:rsidRPr="00A847B7" w14:paraId="68FA57AC" w14:textId="77777777" w:rsidTr="00C63330">
        <w:trPr>
          <w:trHeight w:val="109"/>
        </w:trPr>
        <w:tc>
          <w:tcPr>
            <w:tcW w:w="2760" w:type="dxa"/>
          </w:tcPr>
          <w:p w14:paraId="495D826D" w14:textId="77777777" w:rsidR="00C63330" w:rsidRPr="00A847B7" w:rsidRDefault="00C63330" w:rsidP="00C63330">
            <w:pPr>
              <w:spacing w:beforeAutospacing="1" w:after="100" w:afterAutospacing="1"/>
            </w:pPr>
            <w:r w:rsidRPr="00A847B7">
              <w:t xml:space="preserve">149 </w:t>
            </w:r>
          </w:p>
        </w:tc>
        <w:tc>
          <w:tcPr>
            <w:tcW w:w="2760" w:type="dxa"/>
          </w:tcPr>
          <w:p w14:paraId="23615B5A" w14:textId="77777777" w:rsidR="00C63330" w:rsidRPr="00A847B7" w:rsidRDefault="00C63330" w:rsidP="00C63330">
            <w:pPr>
              <w:spacing w:beforeAutospacing="1" w:after="100" w:afterAutospacing="1"/>
            </w:pPr>
            <w:r w:rsidRPr="00A847B7">
              <w:t xml:space="preserve">898 </w:t>
            </w:r>
          </w:p>
        </w:tc>
      </w:tr>
      <w:tr w:rsidR="00C63330" w:rsidRPr="00A847B7" w14:paraId="3C2949C4" w14:textId="77777777" w:rsidTr="00C63330">
        <w:trPr>
          <w:trHeight w:val="109"/>
        </w:trPr>
        <w:tc>
          <w:tcPr>
            <w:tcW w:w="2760" w:type="dxa"/>
          </w:tcPr>
          <w:p w14:paraId="6702425D" w14:textId="77777777" w:rsidR="00C63330" w:rsidRPr="00A847B7" w:rsidRDefault="00C63330" w:rsidP="00C63330">
            <w:pPr>
              <w:spacing w:beforeAutospacing="1" w:after="100" w:afterAutospacing="1"/>
            </w:pPr>
            <w:r w:rsidRPr="00A847B7">
              <w:t xml:space="preserve">150 </w:t>
            </w:r>
          </w:p>
        </w:tc>
        <w:tc>
          <w:tcPr>
            <w:tcW w:w="2760" w:type="dxa"/>
          </w:tcPr>
          <w:p w14:paraId="5CB8E4AB" w14:textId="77777777" w:rsidR="00C63330" w:rsidRPr="00A847B7" w:rsidRDefault="00C63330" w:rsidP="00C63330">
            <w:pPr>
              <w:spacing w:beforeAutospacing="1" w:after="100" w:afterAutospacing="1"/>
            </w:pPr>
            <w:r w:rsidRPr="00A847B7">
              <w:t xml:space="preserve">983 </w:t>
            </w:r>
          </w:p>
        </w:tc>
      </w:tr>
      <w:tr w:rsidR="00C63330" w:rsidRPr="00A847B7" w14:paraId="58F4660C" w14:textId="77777777" w:rsidTr="00C63330">
        <w:trPr>
          <w:trHeight w:val="109"/>
        </w:trPr>
        <w:tc>
          <w:tcPr>
            <w:tcW w:w="2760" w:type="dxa"/>
          </w:tcPr>
          <w:p w14:paraId="16FFAF49" w14:textId="77777777" w:rsidR="00C63330" w:rsidRPr="00A847B7" w:rsidRDefault="00C63330" w:rsidP="00C63330">
            <w:pPr>
              <w:spacing w:beforeAutospacing="1" w:after="100" w:afterAutospacing="1"/>
            </w:pPr>
            <w:r w:rsidRPr="00A847B7">
              <w:t xml:space="preserve">151 </w:t>
            </w:r>
          </w:p>
        </w:tc>
        <w:tc>
          <w:tcPr>
            <w:tcW w:w="2760" w:type="dxa"/>
          </w:tcPr>
          <w:p w14:paraId="69F43725" w14:textId="77777777" w:rsidR="00C63330" w:rsidRPr="00A847B7" w:rsidRDefault="00C63330" w:rsidP="00C63330">
            <w:pPr>
              <w:spacing w:beforeAutospacing="1" w:after="100" w:afterAutospacing="1"/>
            </w:pPr>
            <w:r w:rsidRPr="00A847B7">
              <w:t xml:space="preserve">1 074 </w:t>
            </w:r>
          </w:p>
        </w:tc>
      </w:tr>
      <w:tr w:rsidR="00C63330" w:rsidRPr="00A847B7" w14:paraId="37777C9F" w14:textId="77777777" w:rsidTr="00C63330">
        <w:trPr>
          <w:trHeight w:val="109"/>
        </w:trPr>
        <w:tc>
          <w:tcPr>
            <w:tcW w:w="2760" w:type="dxa"/>
          </w:tcPr>
          <w:p w14:paraId="32FBD1DF" w14:textId="77777777" w:rsidR="00C63330" w:rsidRPr="00A847B7" w:rsidRDefault="00C63330" w:rsidP="00C63330">
            <w:pPr>
              <w:spacing w:beforeAutospacing="1" w:after="100" w:afterAutospacing="1"/>
            </w:pPr>
            <w:r w:rsidRPr="00A847B7">
              <w:t xml:space="preserve">152 </w:t>
            </w:r>
          </w:p>
        </w:tc>
        <w:tc>
          <w:tcPr>
            <w:tcW w:w="2760" w:type="dxa"/>
          </w:tcPr>
          <w:p w14:paraId="01AF26FE" w14:textId="77777777" w:rsidR="00C63330" w:rsidRPr="00A847B7" w:rsidRDefault="00C63330" w:rsidP="00C63330">
            <w:pPr>
              <w:spacing w:beforeAutospacing="1" w:after="100" w:afterAutospacing="1"/>
            </w:pPr>
            <w:r w:rsidRPr="00A847B7">
              <w:t xml:space="preserve">1 172 </w:t>
            </w:r>
          </w:p>
        </w:tc>
      </w:tr>
      <w:tr w:rsidR="00C63330" w:rsidRPr="00A847B7" w14:paraId="5803339E" w14:textId="77777777" w:rsidTr="00C63330">
        <w:trPr>
          <w:trHeight w:val="109"/>
        </w:trPr>
        <w:tc>
          <w:tcPr>
            <w:tcW w:w="2760" w:type="dxa"/>
          </w:tcPr>
          <w:p w14:paraId="7DF4A8E4" w14:textId="77777777" w:rsidR="00C63330" w:rsidRPr="00A847B7" w:rsidRDefault="00C63330" w:rsidP="00C63330">
            <w:pPr>
              <w:spacing w:beforeAutospacing="1" w:after="100" w:afterAutospacing="1"/>
            </w:pPr>
            <w:r w:rsidRPr="00A847B7">
              <w:t xml:space="preserve">153 </w:t>
            </w:r>
          </w:p>
        </w:tc>
        <w:tc>
          <w:tcPr>
            <w:tcW w:w="2760" w:type="dxa"/>
          </w:tcPr>
          <w:p w14:paraId="2E002E76" w14:textId="77777777" w:rsidR="00C63330" w:rsidRPr="00A847B7" w:rsidRDefault="00C63330" w:rsidP="00C63330">
            <w:pPr>
              <w:spacing w:beforeAutospacing="1" w:after="100" w:afterAutospacing="1"/>
            </w:pPr>
            <w:r w:rsidRPr="00A847B7">
              <w:t xml:space="preserve">1 276 </w:t>
            </w:r>
          </w:p>
        </w:tc>
      </w:tr>
      <w:tr w:rsidR="00C63330" w:rsidRPr="00A847B7" w14:paraId="5A4B7F20" w14:textId="77777777" w:rsidTr="00C63330">
        <w:trPr>
          <w:trHeight w:val="109"/>
        </w:trPr>
        <w:tc>
          <w:tcPr>
            <w:tcW w:w="2760" w:type="dxa"/>
          </w:tcPr>
          <w:p w14:paraId="0DE00A92" w14:textId="77777777" w:rsidR="00C63330" w:rsidRPr="00A847B7" w:rsidRDefault="00C63330" w:rsidP="00C63330">
            <w:pPr>
              <w:spacing w:beforeAutospacing="1" w:after="100" w:afterAutospacing="1"/>
            </w:pPr>
            <w:r w:rsidRPr="00A847B7">
              <w:t xml:space="preserve">154 </w:t>
            </w:r>
          </w:p>
        </w:tc>
        <w:tc>
          <w:tcPr>
            <w:tcW w:w="2760" w:type="dxa"/>
          </w:tcPr>
          <w:p w14:paraId="6702322B" w14:textId="77777777" w:rsidR="00C63330" w:rsidRPr="00A847B7" w:rsidRDefault="00C63330" w:rsidP="00C63330">
            <w:pPr>
              <w:spacing w:beforeAutospacing="1" w:after="100" w:afterAutospacing="1"/>
            </w:pPr>
            <w:r w:rsidRPr="00A847B7">
              <w:t xml:space="preserve">1 386 </w:t>
            </w:r>
          </w:p>
        </w:tc>
      </w:tr>
      <w:tr w:rsidR="00C63330" w:rsidRPr="00A847B7" w14:paraId="0F212111" w14:textId="77777777" w:rsidTr="00C63330">
        <w:trPr>
          <w:trHeight w:val="109"/>
        </w:trPr>
        <w:tc>
          <w:tcPr>
            <w:tcW w:w="2760" w:type="dxa"/>
          </w:tcPr>
          <w:p w14:paraId="1D58D0DC" w14:textId="77777777" w:rsidR="00C63330" w:rsidRPr="00A847B7" w:rsidRDefault="00C63330" w:rsidP="00C63330">
            <w:pPr>
              <w:spacing w:beforeAutospacing="1" w:after="100" w:afterAutospacing="1"/>
            </w:pPr>
            <w:r w:rsidRPr="00A847B7">
              <w:t xml:space="preserve">155 </w:t>
            </w:r>
          </w:p>
        </w:tc>
        <w:tc>
          <w:tcPr>
            <w:tcW w:w="2760" w:type="dxa"/>
          </w:tcPr>
          <w:p w14:paraId="7351406A" w14:textId="77777777" w:rsidR="00C63330" w:rsidRPr="00A847B7" w:rsidRDefault="00C63330" w:rsidP="00C63330">
            <w:pPr>
              <w:spacing w:beforeAutospacing="1" w:after="100" w:afterAutospacing="1"/>
            </w:pPr>
            <w:r w:rsidRPr="00A847B7">
              <w:t xml:space="preserve">1 504 </w:t>
            </w:r>
          </w:p>
        </w:tc>
      </w:tr>
      <w:tr w:rsidR="00C63330" w:rsidRPr="00A847B7" w14:paraId="4EAA9E96" w14:textId="77777777" w:rsidTr="00C63330">
        <w:trPr>
          <w:trHeight w:val="109"/>
        </w:trPr>
        <w:tc>
          <w:tcPr>
            <w:tcW w:w="2760" w:type="dxa"/>
          </w:tcPr>
          <w:p w14:paraId="04FE34B7" w14:textId="77777777" w:rsidR="00C63330" w:rsidRPr="00A847B7" w:rsidRDefault="00C63330" w:rsidP="00C63330">
            <w:pPr>
              <w:spacing w:beforeAutospacing="1" w:after="100" w:afterAutospacing="1"/>
            </w:pPr>
            <w:r w:rsidRPr="00A847B7">
              <w:t xml:space="preserve">156 </w:t>
            </w:r>
          </w:p>
        </w:tc>
        <w:tc>
          <w:tcPr>
            <w:tcW w:w="2760" w:type="dxa"/>
          </w:tcPr>
          <w:p w14:paraId="2738F20D" w14:textId="77777777" w:rsidR="00C63330" w:rsidRPr="00A847B7" w:rsidRDefault="00C63330" w:rsidP="00C63330">
            <w:pPr>
              <w:spacing w:beforeAutospacing="1" w:after="100" w:afterAutospacing="1"/>
            </w:pPr>
            <w:r w:rsidRPr="00A847B7">
              <w:t xml:space="preserve">1 629 </w:t>
            </w:r>
          </w:p>
        </w:tc>
      </w:tr>
      <w:tr w:rsidR="00C63330" w:rsidRPr="00A847B7" w14:paraId="576F0B87" w14:textId="77777777" w:rsidTr="00C63330">
        <w:trPr>
          <w:trHeight w:val="109"/>
        </w:trPr>
        <w:tc>
          <w:tcPr>
            <w:tcW w:w="2760" w:type="dxa"/>
          </w:tcPr>
          <w:p w14:paraId="0292AD5F" w14:textId="77777777" w:rsidR="00C63330" w:rsidRPr="00A847B7" w:rsidRDefault="00C63330" w:rsidP="00C63330">
            <w:pPr>
              <w:spacing w:beforeAutospacing="1" w:after="100" w:afterAutospacing="1"/>
            </w:pPr>
            <w:r w:rsidRPr="00A847B7">
              <w:t xml:space="preserve">157 </w:t>
            </w:r>
          </w:p>
        </w:tc>
        <w:tc>
          <w:tcPr>
            <w:tcW w:w="2760" w:type="dxa"/>
          </w:tcPr>
          <w:p w14:paraId="5011D6EC" w14:textId="77777777" w:rsidR="00C63330" w:rsidRPr="00A847B7" w:rsidRDefault="00C63330" w:rsidP="00C63330">
            <w:pPr>
              <w:spacing w:beforeAutospacing="1" w:after="100" w:afterAutospacing="1"/>
            </w:pPr>
            <w:r w:rsidRPr="00A847B7">
              <w:t xml:space="preserve">1 761 </w:t>
            </w:r>
          </w:p>
        </w:tc>
      </w:tr>
      <w:tr w:rsidR="00C63330" w:rsidRPr="00A847B7" w14:paraId="0C24A752" w14:textId="77777777" w:rsidTr="00C63330">
        <w:trPr>
          <w:trHeight w:val="109"/>
        </w:trPr>
        <w:tc>
          <w:tcPr>
            <w:tcW w:w="2760" w:type="dxa"/>
          </w:tcPr>
          <w:p w14:paraId="5A1A2B2F" w14:textId="77777777" w:rsidR="00C63330" w:rsidRPr="00A847B7" w:rsidRDefault="00C63330" w:rsidP="00C63330">
            <w:pPr>
              <w:spacing w:beforeAutospacing="1" w:after="100" w:afterAutospacing="1"/>
            </w:pPr>
            <w:r w:rsidRPr="00A847B7">
              <w:t xml:space="preserve">158 </w:t>
            </w:r>
          </w:p>
        </w:tc>
        <w:tc>
          <w:tcPr>
            <w:tcW w:w="2760" w:type="dxa"/>
          </w:tcPr>
          <w:p w14:paraId="38F78E8E" w14:textId="77777777" w:rsidR="00C63330" w:rsidRPr="00A847B7" w:rsidRDefault="00C63330" w:rsidP="00C63330">
            <w:pPr>
              <w:spacing w:beforeAutospacing="1" w:after="100" w:afterAutospacing="1"/>
            </w:pPr>
            <w:r w:rsidRPr="00A847B7">
              <w:t xml:space="preserve">1 901 </w:t>
            </w:r>
          </w:p>
        </w:tc>
      </w:tr>
      <w:tr w:rsidR="00C63330" w:rsidRPr="00A847B7" w14:paraId="47F19D49" w14:textId="77777777" w:rsidTr="00C63330">
        <w:trPr>
          <w:trHeight w:val="109"/>
        </w:trPr>
        <w:tc>
          <w:tcPr>
            <w:tcW w:w="2760" w:type="dxa"/>
          </w:tcPr>
          <w:p w14:paraId="75339E12" w14:textId="77777777" w:rsidR="00C63330" w:rsidRPr="00A847B7" w:rsidRDefault="00C63330" w:rsidP="00C63330">
            <w:pPr>
              <w:spacing w:beforeAutospacing="1" w:after="100" w:afterAutospacing="1"/>
            </w:pPr>
            <w:r w:rsidRPr="00A847B7">
              <w:t xml:space="preserve">159 </w:t>
            </w:r>
          </w:p>
        </w:tc>
        <w:tc>
          <w:tcPr>
            <w:tcW w:w="2760" w:type="dxa"/>
          </w:tcPr>
          <w:p w14:paraId="58441BF6" w14:textId="77777777" w:rsidR="00C63330" w:rsidRPr="00A847B7" w:rsidRDefault="00C63330" w:rsidP="00C63330">
            <w:pPr>
              <w:spacing w:beforeAutospacing="1" w:after="100" w:afterAutospacing="1"/>
            </w:pPr>
            <w:r w:rsidRPr="00A847B7">
              <w:t xml:space="preserve">2 049 </w:t>
            </w:r>
          </w:p>
        </w:tc>
      </w:tr>
      <w:tr w:rsidR="00C63330" w:rsidRPr="00A847B7" w14:paraId="003DC117" w14:textId="77777777" w:rsidTr="00C63330">
        <w:trPr>
          <w:trHeight w:val="109"/>
        </w:trPr>
        <w:tc>
          <w:tcPr>
            <w:tcW w:w="2760" w:type="dxa"/>
          </w:tcPr>
          <w:p w14:paraId="1B2BC919" w14:textId="77777777" w:rsidR="00C63330" w:rsidRPr="00A847B7" w:rsidRDefault="00C63330" w:rsidP="00C63330">
            <w:pPr>
              <w:spacing w:beforeAutospacing="1" w:after="100" w:afterAutospacing="1"/>
            </w:pPr>
            <w:r w:rsidRPr="00A847B7">
              <w:t xml:space="preserve">160 </w:t>
            </w:r>
          </w:p>
        </w:tc>
        <w:tc>
          <w:tcPr>
            <w:tcW w:w="2760" w:type="dxa"/>
          </w:tcPr>
          <w:p w14:paraId="79CE73CF" w14:textId="77777777" w:rsidR="00C63330" w:rsidRPr="00A847B7" w:rsidRDefault="00C63330" w:rsidP="00C63330">
            <w:pPr>
              <w:spacing w:beforeAutospacing="1" w:after="100" w:afterAutospacing="1"/>
            </w:pPr>
            <w:r w:rsidRPr="00A847B7">
              <w:t xml:space="preserve">2 205 </w:t>
            </w:r>
          </w:p>
        </w:tc>
      </w:tr>
      <w:tr w:rsidR="00C63330" w:rsidRPr="00A847B7" w14:paraId="79F47161" w14:textId="77777777" w:rsidTr="00C63330">
        <w:trPr>
          <w:trHeight w:val="109"/>
        </w:trPr>
        <w:tc>
          <w:tcPr>
            <w:tcW w:w="2760" w:type="dxa"/>
          </w:tcPr>
          <w:p w14:paraId="5C25509E" w14:textId="77777777" w:rsidR="00C63330" w:rsidRPr="00A847B7" w:rsidRDefault="00C63330" w:rsidP="00C63330">
            <w:pPr>
              <w:spacing w:beforeAutospacing="1" w:after="100" w:afterAutospacing="1"/>
            </w:pPr>
            <w:r w:rsidRPr="00A847B7">
              <w:t xml:space="preserve">161 </w:t>
            </w:r>
          </w:p>
        </w:tc>
        <w:tc>
          <w:tcPr>
            <w:tcW w:w="2760" w:type="dxa"/>
          </w:tcPr>
          <w:p w14:paraId="1E929F42" w14:textId="77777777" w:rsidR="00C63330" w:rsidRPr="00A847B7" w:rsidRDefault="00C63330" w:rsidP="00C63330">
            <w:pPr>
              <w:spacing w:beforeAutospacing="1" w:after="100" w:afterAutospacing="1"/>
            </w:pPr>
            <w:r w:rsidRPr="00A847B7">
              <w:t xml:space="preserve">2 370 </w:t>
            </w:r>
          </w:p>
        </w:tc>
      </w:tr>
      <w:tr w:rsidR="00C63330" w:rsidRPr="00A847B7" w14:paraId="0D717DEA" w14:textId="77777777" w:rsidTr="00C63330">
        <w:trPr>
          <w:trHeight w:val="109"/>
        </w:trPr>
        <w:tc>
          <w:tcPr>
            <w:tcW w:w="2760" w:type="dxa"/>
          </w:tcPr>
          <w:p w14:paraId="31AE7E3D" w14:textId="77777777" w:rsidR="00C63330" w:rsidRPr="00A847B7" w:rsidRDefault="00C63330" w:rsidP="00C63330">
            <w:pPr>
              <w:spacing w:beforeAutospacing="1" w:after="100" w:afterAutospacing="1"/>
            </w:pPr>
            <w:r w:rsidRPr="00A847B7">
              <w:t xml:space="preserve">162 </w:t>
            </w:r>
          </w:p>
        </w:tc>
        <w:tc>
          <w:tcPr>
            <w:tcW w:w="2760" w:type="dxa"/>
          </w:tcPr>
          <w:p w14:paraId="0E2DC880" w14:textId="77777777" w:rsidR="00C63330" w:rsidRPr="00A847B7" w:rsidRDefault="00C63330" w:rsidP="00C63330">
            <w:pPr>
              <w:spacing w:beforeAutospacing="1" w:after="100" w:afterAutospacing="1"/>
            </w:pPr>
            <w:r w:rsidRPr="00A847B7">
              <w:t xml:space="preserve">2 544 </w:t>
            </w:r>
          </w:p>
        </w:tc>
      </w:tr>
      <w:tr w:rsidR="00C63330" w:rsidRPr="00A847B7" w14:paraId="2B3FCCD7" w14:textId="77777777" w:rsidTr="00C63330">
        <w:trPr>
          <w:trHeight w:val="109"/>
        </w:trPr>
        <w:tc>
          <w:tcPr>
            <w:tcW w:w="2760" w:type="dxa"/>
          </w:tcPr>
          <w:p w14:paraId="55F84250" w14:textId="77777777" w:rsidR="00C63330" w:rsidRPr="00A847B7" w:rsidRDefault="00C63330" w:rsidP="00C63330">
            <w:pPr>
              <w:spacing w:beforeAutospacing="1" w:after="100" w:afterAutospacing="1"/>
            </w:pPr>
            <w:r w:rsidRPr="00A847B7">
              <w:t xml:space="preserve">163 </w:t>
            </w:r>
          </w:p>
        </w:tc>
        <w:tc>
          <w:tcPr>
            <w:tcW w:w="2760" w:type="dxa"/>
          </w:tcPr>
          <w:p w14:paraId="3014DBC4" w14:textId="77777777" w:rsidR="00C63330" w:rsidRPr="00A847B7" w:rsidRDefault="00C63330" w:rsidP="00C63330">
            <w:pPr>
              <w:spacing w:beforeAutospacing="1" w:after="100" w:afterAutospacing="1"/>
            </w:pPr>
            <w:r w:rsidRPr="00A847B7">
              <w:t xml:space="preserve">2 726 </w:t>
            </w:r>
          </w:p>
        </w:tc>
      </w:tr>
      <w:tr w:rsidR="00C63330" w:rsidRPr="00A847B7" w14:paraId="3AD9C8CB" w14:textId="77777777" w:rsidTr="00C63330">
        <w:trPr>
          <w:trHeight w:val="109"/>
        </w:trPr>
        <w:tc>
          <w:tcPr>
            <w:tcW w:w="2760" w:type="dxa"/>
          </w:tcPr>
          <w:p w14:paraId="49A21764" w14:textId="77777777" w:rsidR="00C63330" w:rsidRPr="00A847B7" w:rsidRDefault="00C63330" w:rsidP="00C63330">
            <w:pPr>
              <w:spacing w:beforeAutospacing="1" w:after="100" w:afterAutospacing="1"/>
            </w:pPr>
            <w:r w:rsidRPr="00A847B7">
              <w:t xml:space="preserve">164 </w:t>
            </w:r>
          </w:p>
        </w:tc>
        <w:tc>
          <w:tcPr>
            <w:tcW w:w="2760" w:type="dxa"/>
          </w:tcPr>
          <w:p w14:paraId="6A683583" w14:textId="77777777" w:rsidR="00C63330" w:rsidRPr="00A847B7" w:rsidRDefault="00C63330" w:rsidP="00C63330">
            <w:pPr>
              <w:spacing w:beforeAutospacing="1" w:after="100" w:afterAutospacing="1"/>
            </w:pPr>
            <w:r w:rsidRPr="00A847B7">
              <w:t xml:space="preserve">2 918 </w:t>
            </w:r>
          </w:p>
        </w:tc>
      </w:tr>
      <w:tr w:rsidR="00C63330" w:rsidRPr="00A847B7" w14:paraId="2E7D8B35" w14:textId="77777777" w:rsidTr="00C63330">
        <w:trPr>
          <w:trHeight w:val="109"/>
        </w:trPr>
        <w:tc>
          <w:tcPr>
            <w:tcW w:w="2760" w:type="dxa"/>
          </w:tcPr>
          <w:p w14:paraId="4FF8E44B" w14:textId="77777777" w:rsidR="00C63330" w:rsidRPr="00A847B7" w:rsidRDefault="00C63330" w:rsidP="00C63330">
            <w:pPr>
              <w:spacing w:beforeAutospacing="1" w:after="100" w:afterAutospacing="1"/>
            </w:pPr>
            <w:r w:rsidRPr="00A847B7">
              <w:t xml:space="preserve">165 </w:t>
            </w:r>
          </w:p>
        </w:tc>
        <w:tc>
          <w:tcPr>
            <w:tcW w:w="2760" w:type="dxa"/>
          </w:tcPr>
          <w:p w14:paraId="1A5AF534" w14:textId="77777777" w:rsidR="00C63330" w:rsidRPr="00A847B7" w:rsidRDefault="00C63330" w:rsidP="00C63330">
            <w:pPr>
              <w:spacing w:beforeAutospacing="1" w:after="100" w:afterAutospacing="1"/>
            </w:pPr>
            <w:r w:rsidRPr="00A847B7">
              <w:t xml:space="preserve">3 119 </w:t>
            </w:r>
          </w:p>
        </w:tc>
      </w:tr>
      <w:tr w:rsidR="00C63330" w:rsidRPr="00A847B7" w14:paraId="35B5A879" w14:textId="77777777" w:rsidTr="00C63330">
        <w:trPr>
          <w:trHeight w:val="109"/>
        </w:trPr>
        <w:tc>
          <w:tcPr>
            <w:tcW w:w="2760" w:type="dxa"/>
          </w:tcPr>
          <w:p w14:paraId="21523664" w14:textId="77777777" w:rsidR="00C63330" w:rsidRPr="00A847B7" w:rsidRDefault="00C63330" w:rsidP="00C63330">
            <w:pPr>
              <w:spacing w:beforeAutospacing="1" w:after="100" w:afterAutospacing="1"/>
            </w:pPr>
            <w:r w:rsidRPr="00A847B7">
              <w:t xml:space="preserve">166 </w:t>
            </w:r>
          </w:p>
        </w:tc>
        <w:tc>
          <w:tcPr>
            <w:tcW w:w="2760" w:type="dxa"/>
          </w:tcPr>
          <w:p w14:paraId="69FD4E67" w14:textId="77777777" w:rsidR="00C63330" w:rsidRPr="00A847B7" w:rsidRDefault="00C63330" w:rsidP="00C63330">
            <w:pPr>
              <w:spacing w:beforeAutospacing="1" w:after="100" w:afterAutospacing="1"/>
            </w:pPr>
            <w:r w:rsidRPr="00A847B7">
              <w:t xml:space="preserve">3 331 </w:t>
            </w:r>
          </w:p>
        </w:tc>
      </w:tr>
      <w:tr w:rsidR="00C63330" w:rsidRPr="00A847B7" w14:paraId="383570D5" w14:textId="77777777" w:rsidTr="00C63330">
        <w:trPr>
          <w:trHeight w:val="109"/>
        </w:trPr>
        <w:tc>
          <w:tcPr>
            <w:tcW w:w="2760" w:type="dxa"/>
          </w:tcPr>
          <w:p w14:paraId="150D08BF" w14:textId="77777777" w:rsidR="00C63330" w:rsidRPr="00A847B7" w:rsidRDefault="00C63330" w:rsidP="00C63330">
            <w:pPr>
              <w:spacing w:beforeAutospacing="1" w:after="100" w:afterAutospacing="1"/>
            </w:pPr>
            <w:r w:rsidRPr="00A847B7">
              <w:t xml:space="preserve">167 </w:t>
            </w:r>
          </w:p>
        </w:tc>
        <w:tc>
          <w:tcPr>
            <w:tcW w:w="2760" w:type="dxa"/>
          </w:tcPr>
          <w:p w14:paraId="3015323F" w14:textId="77777777" w:rsidR="00C63330" w:rsidRPr="00A847B7" w:rsidRDefault="00C63330" w:rsidP="00C63330">
            <w:pPr>
              <w:spacing w:beforeAutospacing="1" w:after="100" w:afterAutospacing="1"/>
            </w:pPr>
            <w:r w:rsidRPr="00A847B7">
              <w:t xml:space="preserve">3 552 </w:t>
            </w:r>
          </w:p>
        </w:tc>
      </w:tr>
      <w:tr w:rsidR="00C63330" w:rsidRPr="00A847B7" w14:paraId="743788C3" w14:textId="77777777" w:rsidTr="00C63330">
        <w:trPr>
          <w:trHeight w:val="109"/>
        </w:trPr>
        <w:tc>
          <w:tcPr>
            <w:tcW w:w="2760" w:type="dxa"/>
          </w:tcPr>
          <w:p w14:paraId="75365BF7" w14:textId="77777777" w:rsidR="00C63330" w:rsidRPr="00A847B7" w:rsidRDefault="00C63330" w:rsidP="00C63330">
            <w:pPr>
              <w:spacing w:beforeAutospacing="1" w:after="100" w:afterAutospacing="1"/>
            </w:pPr>
            <w:r w:rsidRPr="00A847B7">
              <w:t xml:space="preserve">168 </w:t>
            </w:r>
          </w:p>
        </w:tc>
        <w:tc>
          <w:tcPr>
            <w:tcW w:w="2760" w:type="dxa"/>
          </w:tcPr>
          <w:p w14:paraId="41730299" w14:textId="77777777" w:rsidR="00C63330" w:rsidRPr="00A847B7" w:rsidRDefault="00C63330" w:rsidP="00C63330">
            <w:pPr>
              <w:spacing w:beforeAutospacing="1" w:after="100" w:afterAutospacing="1"/>
            </w:pPr>
            <w:r w:rsidRPr="00A847B7">
              <w:t xml:space="preserve">3 784 </w:t>
            </w:r>
          </w:p>
        </w:tc>
      </w:tr>
      <w:tr w:rsidR="00C63330" w:rsidRPr="00A847B7" w14:paraId="7799D694" w14:textId="77777777" w:rsidTr="00C63330">
        <w:trPr>
          <w:trHeight w:val="109"/>
        </w:trPr>
        <w:tc>
          <w:tcPr>
            <w:tcW w:w="2760" w:type="dxa"/>
          </w:tcPr>
          <w:p w14:paraId="1186913C" w14:textId="77777777" w:rsidR="00C63330" w:rsidRPr="00A847B7" w:rsidRDefault="00C63330" w:rsidP="00C63330">
            <w:pPr>
              <w:spacing w:beforeAutospacing="1" w:after="100" w:afterAutospacing="1"/>
            </w:pPr>
            <w:r w:rsidRPr="00A847B7">
              <w:t xml:space="preserve">169 </w:t>
            </w:r>
          </w:p>
        </w:tc>
        <w:tc>
          <w:tcPr>
            <w:tcW w:w="2760" w:type="dxa"/>
          </w:tcPr>
          <w:p w14:paraId="727E6FF4" w14:textId="77777777" w:rsidR="00C63330" w:rsidRPr="00A847B7" w:rsidRDefault="00C63330" w:rsidP="00C63330">
            <w:pPr>
              <w:spacing w:beforeAutospacing="1" w:after="100" w:afterAutospacing="1"/>
            </w:pPr>
            <w:r w:rsidRPr="00A847B7">
              <w:t xml:space="preserve">4 026 </w:t>
            </w:r>
          </w:p>
        </w:tc>
      </w:tr>
      <w:tr w:rsidR="00C63330" w:rsidRPr="00A847B7" w14:paraId="6603AE94" w14:textId="77777777" w:rsidTr="00C63330">
        <w:trPr>
          <w:trHeight w:val="109"/>
        </w:trPr>
        <w:tc>
          <w:tcPr>
            <w:tcW w:w="2760" w:type="dxa"/>
          </w:tcPr>
          <w:p w14:paraId="63C9DE2E" w14:textId="77777777" w:rsidR="00C63330" w:rsidRPr="00A847B7" w:rsidRDefault="00C63330" w:rsidP="00C63330">
            <w:pPr>
              <w:spacing w:beforeAutospacing="1" w:after="100" w:afterAutospacing="1"/>
            </w:pPr>
            <w:r w:rsidRPr="00A847B7">
              <w:t xml:space="preserve">170 </w:t>
            </w:r>
          </w:p>
        </w:tc>
        <w:tc>
          <w:tcPr>
            <w:tcW w:w="2760" w:type="dxa"/>
          </w:tcPr>
          <w:p w14:paraId="525D72A3" w14:textId="77777777" w:rsidR="00C63330" w:rsidRPr="00A847B7" w:rsidRDefault="00C63330" w:rsidP="00C63330">
            <w:pPr>
              <w:spacing w:beforeAutospacing="1" w:after="100" w:afterAutospacing="1"/>
            </w:pPr>
            <w:r w:rsidRPr="00A847B7">
              <w:t xml:space="preserve">4 279 </w:t>
            </w:r>
          </w:p>
        </w:tc>
      </w:tr>
      <w:tr w:rsidR="00C63330" w:rsidRPr="00A847B7" w14:paraId="60464A2E" w14:textId="77777777" w:rsidTr="00C63330">
        <w:trPr>
          <w:trHeight w:val="109"/>
        </w:trPr>
        <w:tc>
          <w:tcPr>
            <w:tcW w:w="2760" w:type="dxa"/>
          </w:tcPr>
          <w:p w14:paraId="364D5C07" w14:textId="77777777" w:rsidR="00C63330" w:rsidRPr="00A847B7" w:rsidRDefault="00C63330" w:rsidP="00C63330">
            <w:pPr>
              <w:spacing w:beforeAutospacing="1" w:after="100" w:afterAutospacing="1"/>
            </w:pPr>
            <w:r w:rsidRPr="00A847B7">
              <w:t xml:space="preserve">171 </w:t>
            </w:r>
          </w:p>
        </w:tc>
        <w:tc>
          <w:tcPr>
            <w:tcW w:w="2760" w:type="dxa"/>
          </w:tcPr>
          <w:p w14:paraId="50D04079" w14:textId="77777777" w:rsidR="00C63330" w:rsidRPr="00A847B7" w:rsidRDefault="00C63330" w:rsidP="00C63330">
            <w:pPr>
              <w:spacing w:beforeAutospacing="1" w:after="100" w:afterAutospacing="1"/>
            </w:pPr>
            <w:r w:rsidRPr="00A847B7">
              <w:t xml:space="preserve">4 543 </w:t>
            </w:r>
          </w:p>
        </w:tc>
      </w:tr>
      <w:tr w:rsidR="00C63330" w:rsidRPr="00A847B7" w14:paraId="68A3ED83" w14:textId="77777777" w:rsidTr="00C63330">
        <w:trPr>
          <w:trHeight w:val="109"/>
        </w:trPr>
        <w:tc>
          <w:tcPr>
            <w:tcW w:w="2760" w:type="dxa"/>
          </w:tcPr>
          <w:p w14:paraId="0398B9F4" w14:textId="77777777" w:rsidR="00C63330" w:rsidRPr="00A847B7" w:rsidRDefault="00C63330" w:rsidP="00C63330">
            <w:pPr>
              <w:spacing w:beforeAutospacing="1" w:after="100" w:afterAutospacing="1"/>
            </w:pPr>
            <w:r w:rsidRPr="00A847B7">
              <w:t xml:space="preserve">172 </w:t>
            </w:r>
          </w:p>
        </w:tc>
        <w:tc>
          <w:tcPr>
            <w:tcW w:w="2760" w:type="dxa"/>
          </w:tcPr>
          <w:p w14:paraId="1522870E" w14:textId="77777777" w:rsidR="00C63330" w:rsidRPr="00A847B7" w:rsidRDefault="00C63330" w:rsidP="00C63330">
            <w:pPr>
              <w:spacing w:beforeAutospacing="1" w:after="100" w:afterAutospacing="1"/>
            </w:pPr>
            <w:r w:rsidRPr="00A847B7">
              <w:t xml:space="preserve">4 818 </w:t>
            </w:r>
          </w:p>
        </w:tc>
      </w:tr>
      <w:tr w:rsidR="00C63330" w:rsidRPr="00A847B7" w14:paraId="13D0BCFA" w14:textId="77777777" w:rsidTr="00C63330">
        <w:trPr>
          <w:trHeight w:val="109"/>
        </w:trPr>
        <w:tc>
          <w:tcPr>
            <w:tcW w:w="2760" w:type="dxa"/>
          </w:tcPr>
          <w:p w14:paraId="73DBBB17" w14:textId="77777777" w:rsidR="00C63330" w:rsidRPr="00A847B7" w:rsidRDefault="00C63330" w:rsidP="00C63330">
            <w:pPr>
              <w:spacing w:beforeAutospacing="1" w:after="100" w:afterAutospacing="1"/>
            </w:pPr>
            <w:r w:rsidRPr="00A847B7">
              <w:t xml:space="preserve">173 </w:t>
            </w:r>
          </w:p>
        </w:tc>
        <w:tc>
          <w:tcPr>
            <w:tcW w:w="2760" w:type="dxa"/>
          </w:tcPr>
          <w:p w14:paraId="4FA54EE6" w14:textId="77777777" w:rsidR="00C63330" w:rsidRPr="00A847B7" w:rsidRDefault="00C63330" w:rsidP="00C63330">
            <w:pPr>
              <w:spacing w:beforeAutospacing="1" w:after="100" w:afterAutospacing="1"/>
            </w:pPr>
            <w:r w:rsidRPr="00A847B7">
              <w:t xml:space="preserve">5 105 </w:t>
            </w:r>
          </w:p>
        </w:tc>
      </w:tr>
      <w:tr w:rsidR="00C63330" w:rsidRPr="00A847B7" w14:paraId="2620A2F9" w14:textId="77777777" w:rsidTr="00C63330">
        <w:trPr>
          <w:trHeight w:val="109"/>
        </w:trPr>
        <w:tc>
          <w:tcPr>
            <w:tcW w:w="2760" w:type="dxa"/>
          </w:tcPr>
          <w:p w14:paraId="49EE7A1E" w14:textId="77777777" w:rsidR="00C63330" w:rsidRPr="00A847B7" w:rsidRDefault="00C63330" w:rsidP="00C63330">
            <w:pPr>
              <w:spacing w:beforeAutospacing="1" w:after="100" w:afterAutospacing="1"/>
            </w:pPr>
            <w:r w:rsidRPr="00A847B7">
              <w:t xml:space="preserve">174 </w:t>
            </w:r>
          </w:p>
        </w:tc>
        <w:tc>
          <w:tcPr>
            <w:tcW w:w="2760" w:type="dxa"/>
          </w:tcPr>
          <w:p w14:paraId="5CCFACAF" w14:textId="77777777" w:rsidR="00C63330" w:rsidRPr="00A847B7" w:rsidRDefault="00C63330" w:rsidP="00C63330">
            <w:pPr>
              <w:spacing w:beforeAutospacing="1" w:after="100" w:afterAutospacing="1"/>
            </w:pPr>
            <w:r w:rsidRPr="00A847B7">
              <w:t xml:space="preserve">5 404 </w:t>
            </w:r>
          </w:p>
        </w:tc>
      </w:tr>
      <w:tr w:rsidR="00C63330" w:rsidRPr="00A847B7" w14:paraId="0E069D99" w14:textId="77777777" w:rsidTr="00C63330">
        <w:trPr>
          <w:trHeight w:val="109"/>
        </w:trPr>
        <w:tc>
          <w:tcPr>
            <w:tcW w:w="2760" w:type="dxa"/>
          </w:tcPr>
          <w:p w14:paraId="4D18E56D" w14:textId="77777777" w:rsidR="00C63330" w:rsidRPr="00A847B7" w:rsidRDefault="00C63330" w:rsidP="00C63330">
            <w:pPr>
              <w:spacing w:beforeAutospacing="1" w:after="100" w:afterAutospacing="1"/>
            </w:pPr>
            <w:r w:rsidRPr="00A847B7">
              <w:t xml:space="preserve">175 </w:t>
            </w:r>
          </w:p>
        </w:tc>
        <w:tc>
          <w:tcPr>
            <w:tcW w:w="2760" w:type="dxa"/>
          </w:tcPr>
          <w:p w14:paraId="4F265E90" w14:textId="77777777" w:rsidR="00C63330" w:rsidRPr="00A847B7" w:rsidRDefault="00C63330" w:rsidP="00C63330">
            <w:pPr>
              <w:spacing w:beforeAutospacing="1" w:after="100" w:afterAutospacing="1"/>
            </w:pPr>
            <w:r w:rsidRPr="00A847B7">
              <w:t xml:space="preserve">5 715 </w:t>
            </w:r>
          </w:p>
        </w:tc>
      </w:tr>
      <w:tr w:rsidR="00C63330" w:rsidRPr="00A847B7" w14:paraId="4FC111E9" w14:textId="77777777" w:rsidTr="00C63330">
        <w:trPr>
          <w:trHeight w:val="109"/>
        </w:trPr>
        <w:tc>
          <w:tcPr>
            <w:tcW w:w="2760" w:type="dxa"/>
          </w:tcPr>
          <w:p w14:paraId="2ED89D8C" w14:textId="77777777" w:rsidR="00C63330" w:rsidRPr="00A847B7" w:rsidRDefault="00C63330" w:rsidP="00C63330">
            <w:pPr>
              <w:spacing w:beforeAutospacing="1" w:after="100" w:afterAutospacing="1"/>
            </w:pPr>
            <w:r w:rsidRPr="00A847B7">
              <w:t xml:space="preserve">176 </w:t>
            </w:r>
          </w:p>
        </w:tc>
        <w:tc>
          <w:tcPr>
            <w:tcW w:w="2760" w:type="dxa"/>
          </w:tcPr>
          <w:p w14:paraId="4720C8B8" w14:textId="77777777" w:rsidR="00C63330" w:rsidRPr="00A847B7" w:rsidRDefault="00C63330" w:rsidP="00C63330">
            <w:pPr>
              <w:spacing w:beforeAutospacing="1" w:after="100" w:afterAutospacing="1"/>
            </w:pPr>
            <w:r w:rsidRPr="00A847B7">
              <w:t xml:space="preserve">6 039 </w:t>
            </w:r>
          </w:p>
        </w:tc>
      </w:tr>
      <w:tr w:rsidR="00C63330" w:rsidRPr="00A847B7" w14:paraId="0350C385" w14:textId="77777777" w:rsidTr="00C63330">
        <w:trPr>
          <w:trHeight w:val="109"/>
        </w:trPr>
        <w:tc>
          <w:tcPr>
            <w:tcW w:w="2760" w:type="dxa"/>
          </w:tcPr>
          <w:p w14:paraId="3CD8F408" w14:textId="77777777" w:rsidR="00C63330" w:rsidRPr="00A847B7" w:rsidRDefault="00C63330" w:rsidP="00C63330">
            <w:pPr>
              <w:spacing w:beforeAutospacing="1" w:after="100" w:afterAutospacing="1"/>
            </w:pPr>
            <w:r w:rsidRPr="00A847B7">
              <w:t xml:space="preserve">177 </w:t>
            </w:r>
          </w:p>
        </w:tc>
        <w:tc>
          <w:tcPr>
            <w:tcW w:w="2760" w:type="dxa"/>
          </w:tcPr>
          <w:p w14:paraId="6A16AF52" w14:textId="77777777" w:rsidR="00C63330" w:rsidRPr="00A847B7" w:rsidRDefault="00C63330" w:rsidP="00C63330">
            <w:pPr>
              <w:spacing w:beforeAutospacing="1" w:after="100" w:afterAutospacing="1"/>
            </w:pPr>
            <w:r w:rsidRPr="00A847B7">
              <w:t xml:space="preserve">6 375 </w:t>
            </w:r>
          </w:p>
        </w:tc>
      </w:tr>
      <w:tr w:rsidR="00C63330" w:rsidRPr="00A847B7" w14:paraId="3F678EA0" w14:textId="77777777" w:rsidTr="00C63330">
        <w:trPr>
          <w:trHeight w:val="109"/>
        </w:trPr>
        <w:tc>
          <w:tcPr>
            <w:tcW w:w="2760" w:type="dxa"/>
          </w:tcPr>
          <w:p w14:paraId="4C6979EA" w14:textId="77777777" w:rsidR="00C63330" w:rsidRPr="00A847B7" w:rsidRDefault="00C63330" w:rsidP="00C63330">
            <w:pPr>
              <w:spacing w:beforeAutospacing="1" w:after="100" w:afterAutospacing="1"/>
            </w:pPr>
            <w:r w:rsidRPr="00A847B7">
              <w:t xml:space="preserve">178 </w:t>
            </w:r>
          </w:p>
        </w:tc>
        <w:tc>
          <w:tcPr>
            <w:tcW w:w="2760" w:type="dxa"/>
          </w:tcPr>
          <w:p w14:paraId="0576F37C" w14:textId="77777777" w:rsidR="00C63330" w:rsidRPr="00A847B7" w:rsidRDefault="00C63330" w:rsidP="00C63330">
            <w:pPr>
              <w:spacing w:beforeAutospacing="1" w:after="100" w:afterAutospacing="1"/>
            </w:pPr>
            <w:r w:rsidRPr="00A847B7">
              <w:t xml:space="preserve">6 724 </w:t>
            </w:r>
          </w:p>
        </w:tc>
      </w:tr>
      <w:tr w:rsidR="00C63330" w:rsidRPr="00A847B7" w14:paraId="6731F6C9" w14:textId="77777777" w:rsidTr="00C63330">
        <w:trPr>
          <w:trHeight w:val="109"/>
        </w:trPr>
        <w:tc>
          <w:tcPr>
            <w:tcW w:w="2760" w:type="dxa"/>
          </w:tcPr>
          <w:p w14:paraId="02D75AE8" w14:textId="77777777" w:rsidR="00C63330" w:rsidRPr="00A847B7" w:rsidRDefault="00C63330" w:rsidP="00C63330">
            <w:pPr>
              <w:spacing w:beforeAutospacing="1" w:after="100" w:afterAutospacing="1"/>
            </w:pPr>
            <w:r w:rsidRPr="00A847B7">
              <w:t xml:space="preserve">179 </w:t>
            </w:r>
          </w:p>
        </w:tc>
        <w:tc>
          <w:tcPr>
            <w:tcW w:w="2760" w:type="dxa"/>
          </w:tcPr>
          <w:p w14:paraId="1AC73466" w14:textId="77777777" w:rsidR="00C63330" w:rsidRPr="00A847B7" w:rsidRDefault="00C63330" w:rsidP="00C63330">
            <w:pPr>
              <w:spacing w:beforeAutospacing="1" w:after="100" w:afterAutospacing="1"/>
            </w:pPr>
            <w:r w:rsidRPr="00A847B7">
              <w:t xml:space="preserve">7 086 </w:t>
            </w:r>
          </w:p>
        </w:tc>
      </w:tr>
      <w:tr w:rsidR="00C63330" w:rsidRPr="00A847B7" w14:paraId="53A2E6EA" w14:textId="77777777" w:rsidTr="00C63330">
        <w:trPr>
          <w:trHeight w:val="109"/>
        </w:trPr>
        <w:tc>
          <w:tcPr>
            <w:tcW w:w="2760" w:type="dxa"/>
          </w:tcPr>
          <w:p w14:paraId="02D563AD" w14:textId="77777777" w:rsidR="00C63330" w:rsidRPr="00A847B7" w:rsidRDefault="00C63330" w:rsidP="00C63330">
            <w:pPr>
              <w:spacing w:beforeAutospacing="1" w:after="100" w:afterAutospacing="1"/>
            </w:pPr>
            <w:r w:rsidRPr="00A847B7">
              <w:t xml:space="preserve">180 </w:t>
            </w:r>
          </w:p>
        </w:tc>
        <w:tc>
          <w:tcPr>
            <w:tcW w:w="2760" w:type="dxa"/>
          </w:tcPr>
          <w:p w14:paraId="4F5D917A" w14:textId="77777777" w:rsidR="00C63330" w:rsidRPr="00A847B7" w:rsidRDefault="00C63330" w:rsidP="00C63330">
            <w:pPr>
              <w:spacing w:beforeAutospacing="1" w:after="100" w:afterAutospacing="1"/>
            </w:pPr>
            <w:r w:rsidRPr="00A847B7">
              <w:t xml:space="preserve">7 462 </w:t>
            </w:r>
          </w:p>
        </w:tc>
      </w:tr>
      <w:tr w:rsidR="00C63330" w:rsidRPr="00A847B7" w14:paraId="28EE9C1D" w14:textId="77777777" w:rsidTr="00C63330">
        <w:trPr>
          <w:trHeight w:val="109"/>
        </w:trPr>
        <w:tc>
          <w:tcPr>
            <w:tcW w:w="2760" w:type="dxa"/>
          </w:tcPr>
          <w:p w14:paraId="2B817793" w14:textId="77777777" w:rsidR="00C63330" w:rsidRPr="00A847B7" w:rsidRDefault="00C63330" w:rsidP="00C63330">
            <w:pPr>
              <w:spacing w:beforeAutospacing="1" w:after="100" w:afterAutospacing="1"/>
            </w:pPr>
            <w:r w:rsidRPr="00A847B7">
              <w:t xml:space="preserve">181 </w:t>
            </w:r>
          </w:p>
        </w:tc>
        <w:tc>
          <w:tcPr>
            <w:tcW w:w="2760" w:type="dxa"/>
          </w:tcPr>
          <w:p w14:paraId="20D510B4" w14:textId="77777777" w:rsidR="00C63330" w:rsidRPr="00A847B7" w:rsidRDefault="00C63330" w:rsidP="00C63330">
            <w:pPr>
              <w:spacing w:beforeAutospacing="1" w:after="100" w:afterAutospacing="1"/>
            </w:pPr>
            <w:r w:rsidRPr="00A847B7">
              <w:t xml:space="preserve">7 851 </w:t>
            </w:r>
          </w:p>
        </w:tc>
      </w:tr>
      <w:tr w:rsidR="00C63330" w:rsidRPr="00A847B7" w14:paraId="26ABC07E" w14:textId="77777777" w:rsidTr="00C63330">
        <w:trPr>
          <w:trHeight w:val="109"/>
        </w:trPr>
        <w:tc>
          <w:tcPr>
            <w:tcW w:w="2760" w:type="dxa"/>
          </w:tcPr>
          <w:p w14:paraId="64E7CC64" w14:textId="77777777" w:rsidR="00C63330" w:rsidRPr="00A847B7" w:rsidRDefault="00C63330" w:rsidP="00C63330">
            <w:pPr>
              <w:spacing w:beforeAutospacing="1" w:after="100" w:afterAutospacing="1"/>
            </w:pPr>
            <w:r w:rsidRPr="00A847B7">
              <w:t xml:space="preserve">182 </w:t>
            </w:r>
          </w:p>
        </w:tc>
        <w:tc>
          <w:tcPr>
            <w:tcW w:w="2760" w:type="dxa"/>
          </w:tcPr>
          <w:p w14:paraId="2B98F996" w14:textId="77777777" w:rsidR="00C63330" w:rsidRPr="00A847B7" w:rsidRDefault="00C63330" w:rsidP="00C63330">
            <w:pPr>
              <w:spacing w:beforeAutospacing="1" w:after="100" w:afterAutospacing="1"/>
            </w:pPr>
            <w:r w:rsidRPr="00A847B7">
              <w:t xml:space="preserve">8 254 </w:t>
            </w:r>
          </w:p>
        </w:tc>
      </w:tr>
      <w:tr w:rsidR="00C63330" w:rsidRPr="00A847B7" w14:paraId="4DA68CC2" w14:textId="77777777" w:rsidTr="00C63330">
        <w:trPr>
          <w:trHeight w:val="109"/>
        </w:trPr>
        <w:tc>
          <w:tcPr>
            <w:tcW w:w="2760" w:type="dxa"/>
          </w:tcPr>
          <w:p w14:paraId="4F60678B" w14:textId="77777777" w:rsidR="00C63330" w:rsidRPr="00A847B7" w:rsidRDefault="00C63330" w:rsidP="00C63330">
            <w:pPr>
              <w:spacing w:beforeAutospacing="1" w:after="100" w:afterAutospacing="1"/>
            </w:pPr>
            <w:r w:rsidRPr="00A847B7">
              <w:t xml:space="preserve">183 </w:t>
            </w:r>
          </w:p>
        </w:tc>
        <w:tc>
          <w:tcPr>
            <w:tcW w:w="2760" w:type="dxa"/>
          </w:tcPr>
          <w:p w14:paraId="407117B0" w14:textId="77777777" w:rsidR="00C63330" w:rsidRPr="00A847B7" w:rsidRDefault="00C63330" w:rsidP="00C63330">
            <w:pPr>
              <w:spacing w:beforeAutospacing="1" w:after="100" w:afterAutospacing="1"/>
            </w:pPr>
            <w:r w:rsidRPr="00A847B7">
              <w:t xml:space="preserve">8 671 </w:t>
            </w:r>
          </w:p>
        </w:tc>
      </w:tr>
      <w:tr w:rsidR="00C63330" w:rsidRPr="00A847B7" w14:paraId="11C915CB" w14:textId="77777777" w:rsidTr="00C63330">
        <w:trPr>
          <w:trHeight w:val="109"/>
        </w:trPr>
        <w:tc>
          <w:tcPr>
            <w:tcW w:w="2760" w:type="dxa"/>
          </w:tcPr>
          <w:p w14:paraId="0972D5CE" w14:textId="77777777" w:rsidR="00C63330" w:rsidRPr="00A847B7" w:rsidRDefault="00C63330" w:rsidP="00C63330">
            <w:pPr>
              <w:spacing w:beforeAutospacing="1" w:after="100" w:afterAutospacing="1"/>
            </w:pPr>
            <w:r w:rsidRPr="00A847B7">
              <w:t xml:space="preserve">184 </w:t>
            </w:r>
          </w:p>
        </w:tc>
        <w:tc>
          <w:tcPr>
            <w:tcW w:w="2760" w:type="dxa"/>
          </w:tcPr>
          <w:p w14:paraId="158105D2" w14:textId="77777777" w:rsidR="00C63330" w:rsidRPr="00A847B7" w:rsidRDefault="00C63330" w:rsidP="00C63330">
            <w:pPr>
              <w:spacing w:beforeAutospacing="1" w:after="100" w:afterAutospacing="1"/>
            </w:pPr>
            <w:r w:rsidRPr="00A847B7">
              <w:t xml:space="preserve">9 103 </w:t>
            </w:r>
          </w:p>
        </w:tc>
      </w:tr>
      <w:tr w:rsidR="00C63330" w:rsidRPr="00A847B7" w14:paraId="07AFEF28" w14:textId="77777777" w:rsidTr="00C63330">
        <w:trPr>
          <w:trHeight w:val="109"/>
        </w:trPr>
        <w:tc>
          <w:tcPr>
            <w:tcW w:w="2760" w:type="dxa"/>
          </w:tcPr>
          <w:p w14:paraId="6A55D1AE" w14:textId="77777777" w:rsidR="00C63330" w:rsidRPr="00A847B7" w:rsidRDefault="00C63330" w:rsidP="00C63330">
            <w:pPr>
              <w:spacing w:beforeAutospacing="1" w:after="100" w:afterAutospacing="1"/>
            </w:pPr>
            <w:r w:rsidRPr="00A847B7">
              <w:t xml:space="preserve">185 </w:t>
            </w:r>
          </w:p>
        </w:tc>
        <w:tc>
          <w:tcPr>
            <w:tcW w:w="2760" w:type="dxa"/>
          </w:tcPr>
          <w:p w14:paraId="7959DE3E" w14:textId="77777777" w:rsidR="00C63330" w:rsidRPr="00A847B7" w:rsidRDefault="00C63330" w:rsidP="00C63330">
            <w:pPr>
              <w:spacing w:beforeAutospacing="1" w:after="100" w:afterAutospacing="1"/>
            </w:pPr>
            <w:r w:rsidRPr="00A847B7">
              <w:t xml:space="preserve">9 550 </w:t>
            </w:r>
          </w:p>
        </w:tc>
      </w:tr>
      <w:tr w:rsidR="00C63330" w:rsidRPr="00A847B7" w14:paraId="29467EC2" w14:textId="77777777" w:rsidTr="00C63330">
        <w:trPr>
          <w:trHeight w:val="109"/>
        </w:trPr>
        <w:tc>
          <w:tcPr>
            <w:tcW w:w="2760" w:type="dxa"/>
          </w:tcPr>
          <w:p w14:paraId="0376841D" w14:textId="77777777" w:rsidR="00C63330" w:rsidRPr="00A847B7" w:rsidRDefault="00C63330" w:rsidP="00C63330">
            <w:pPr>
              <w:spacing w:beforeAutospacing="1" w:after="100" w:afterAutospacing="1"/>
            </w:pPr>
            <w:r w:rsidRPr="00A847B7">
              <w:t xml:space="preserve">186 </w:t>
            </w:r>
          </w:p>
        </w:tc>
        <w:tc>
          <w:tcPr>
            <w:tcW w:w="2760" w:type="dxa"/>
          </w:tcPr>
          <w:p w14:paraId="74B6F0F3" w14:textId="77777777" w:rsidR="00C63330" w:rsidRPr="00A847B7" w:rsidRDefault="00C63330" w:rsidP="00C63330">
            <w:pPr>
              <w:spacing w:beforeAutospacing="1" w:after="100" w:afterAutospacing="1"/>
            </w:pPr>
            <w:r w:rsidRPr="00A847B7">
              <w:t xml:space="preserve">10 011 </w:t>
            </w:r>
          </w:p>
        </w:tc>
      </w:tr>
      <w:tr w:rsidR="00C63330" w:rsidRPr="00A847B7" w14:paraId="0E99D6DF" w14:textId="77777777" w:rsidTr="00C63330">
        <w:trPr>
          <w:trHeight w:val="109"/>
        </w:trPr>
        <w:tc>
          <w:tcPr>
            <w:tcW w:w="2760" w:type="dxa"/>
          </w:tcPr>
          <w:p w14:paraId="1079A249" w14:textId="77777777" w:rsidR="00C63330" w:rsidRPr="00A847B7" w:rsidRDefault="00C63330" w:rsidP="00C63330">
            <w:pPr>
              <w:spacing w:beforeAutospacing="1" w:after="100" w:afterAutospacing="1"/>
            </w:pPr>
            <w:r w:rsidRPr="00A847B7">
              <w:t xml:space="preserve">187 </w:t>
            </w:r>
          </w:p>
        </w:tc>
        <w:tc>
          <w:tcPr>
            <w:tcW w:w="2760" w:type="dxa"/>
          </w:tcPr>
          <w:p w14:paraId="25537AC6" w14:textId="77777777" w:rsidR="00C63330" w:rsidRPr="00A847B7" w:rsidRDefault="00C63330" w:rsidP="00C63330">
            <w:pPr>
              <w:spacing w:beforeAutospacing="1" w:after="100" w:afterAutospacing="1"/>
            </w:pPr>
            <w:r w:rsidRPr="00A847B7">
              <w:t xml:space="preserve">10 488 </w:t>
            </w:r>
          </w:p>
        </w:tc>
      </w:tr>
      <w:tr w:rsidR="00C63330" w:rsidRPr="00A847B7" w14:paraId="3B8B9804" w14:textId="77777777" w:rsidTr="00C63330">
        <w:trPr>
          <w:trHeight w:val="109"/>
        </w:trPr>
        <w:tc>
          <w:tcPr>
            <w:tcW w:w="2760" w:type="dxa"/>
          </w:tcPr>
          <w:p w14:paraId="3ED4F3CA" w14:textId="77777777" w:rsidR="00C63330" w:rsidRPr="00A847B7" w:rsidRDefault="00C63330" w:rsidP="00C63330">
            <w:pPr>
              <w:spacing w:beforeAutospacing="1" w:after="100" w:afterAutospacing="1"/>
            </w:pPr>
            <w:r w:rsidRPr="00A847B7">
              <w:t xml:space="preserve">188 </w:t>
            </w:r>
          </w:p>
        </w:tc>
        <w:tc>
          <w:tcPr>
            <w:tcW w:w="2760" w:type="dxa"/>
          </w:tcPr>
          <w:p w14:paraId="0A9970DE" w14:textId="77777777" w:rsidR="00C63330" w:rsidRPr="00A847B7" w:rsidRDefault="00C63330" w:rsidP="00C63330">
            <w:pPr>
              <w:spacing w:beforeAutospacing="1" w:after="100" w:afterAutospacing="1"/>
            </w:pPr>
            <w:r w:rsidRPr="00A847B7">
              <w:t xml:space="preserve">10 980 </w:t>
            </w:r>
          </w:p>
        </w:tc>
      </w:tr>
      <w:tr w:rsidR="00C63330" w:rsidRPr="00A847B7" w14:paraId="688928C7" w14:textId="77777777" w:rsidTr="00C63330">
        <w:trPr>
          <w:trHeight w:val="109"/>
        </w:trPr>
        <w:tc>
          <w:tcPr>
            <w:tcW w:w="2760" w:type="dxa"/>
          </w:tcPr>
          <w:p w14:paraId="7553A119" w14:textId="77777777" w:rsidR="00C63330" w:rsidRPr="00A847B7" w:rsidRDefault="00C63330" w:rsidP="00C63330">
            <w:pPr>
              <w:spacing w:beforeAutospacing="1" w:after="100" w:afterAutospacing="1"/>
            </w:pPr>
            <w:r w:rsidRPr="00A847B7">
              <w:t xml:space="preserve">189 </w:t>
            </w:r>
          </w:p>
        </w:tc>
        <w:tc>
          <w:tcPr>
            <w:tcW w:w="2760" w:type="dxa"/>
          </w:tcPr>
          <w:p w14:paraId="24583F82" w14:textId="77777777" w:rsidR="00C63330" w:rsidRPr="00A847B7" w:rsidRDefault="00C63330" w:rsidP="00C63330">
            <w:pPr>
              <w:spacing w:beforeAutospacing="1" w:after="100" w:afterAutospacing="1"/>
            </w:pPr>
            <w:r w:rsidRPr="00A847B7">
              <w:t xml:space="preserve">11 488 </w:t>
            </w:r>
          </w:p>
        </w:tc>
      </w:tr>
      <w:tr w:rsidR="00C63330" w:rsidRPr="00A847B7" w14:paraId="75DBB2A4" w14:textId="77777777" w:rsidTr="00C63330">
        <w:trPr>
          <w:trHeight w:val="109"/>
        </w:trPr>
        <w:tc>
          <w:tcPr>
            <w:tcW w:w="2760" w:type="dxa"/>
          </w:tcPr>
          <w:p w14:paraId="70EE503A" w14:textId="77777777" w:rsidR="00C63330" w:rsidRPr="00A847B7" w:rsidRDefault="00C63330" w:rsidP="00C63330">
            <w:pPr>
              <w:spacing w:beforeAutospacing="1" w:after="100" w:afterAutospacing="1"/>
            </w:pPr>
            <w:r w:rsidRPr="00A847B7">
              <w:t xml:space="preserve">190 </w:t>
            </w:r>
          </w:p>
        </w:tc>
        <w:tc>
          <w:tcPr>
            <w:tcW w:w="2760" w:type="dxa"/>
          </w:tcPr>
          <w:p w14:paraId="0188BD88" w14:textId="77777777" w:rsidR="00C63330" w:rsidRPr="00A847B7" w:rsidRDefault="00C63330" w:rsidP="00C63330">
            <w:pPr>
              <w:spacing w:beforeAutospacing="1" w:after="100" w:afterAutospacing="1"/>
            </w:pPr>
            <w:r w:rsidRPr="00A847B7">
              <w:t xml:space="preserve">12 012 </w:t>
            </w:r>
          </w:p>
        </w:tc>
      </w:tr>
      <w:tr w:rsidR="00C63330" w:rsidRPr="00A847B7" w14:paraId="7C1A2EAE" w14:textId="77777777" w:rsidTr="00C63330">
        <w:trPr>
          <w:trHeight w:val="109"/>
        </w:trPr>
        <w:tc>
          <w:tcPr>
            <w:tcW w:w="2760" w:type="dxa"/>
          </w:tcPr>
          <w:p w14:paraId="08612C2D" w14:textId="77777777" w:rsidR="00C63330" w:rsidRPr="00A847B7" w:rsidRDefault="00C63330" w:rsidP="00C63330">
            <w:pPr>
              <w:spacing w:beforeAutospacing="1" w:after="100" w:afterAutospacing="1"/>
            </w:pPr>
            <w:r w:rsidRPr="00A847B7">
              <w:lastRenderedPageBreak/>
              <w:t xml:space="preserve">191 </w:t>
            </w:r>
          </w:p>
        </w:tc>
        <w:tc>
          <w:tcPr>
            <w:tcW w:w="2760" w:type="dxa"/>
          </w:tcPr>
          <w:p w14:paraId="12E87D43" w14:textId="77777777" w:rsidR="00C63330" w:rsidRPr="00A847B7" w:rsidRDefault="00C63330" w:rsidP="00C63330">
            <w:pPr>
              <w:spacing w:beforeAutospacing="1" w:after="100" w:afterAutospacing="1"/>
            </w:pPr>
            <w:r w:rsidRPr="00A847B7">
              <w:t xml:space="preserve">12 552 </w:t>
            </w:r>
          </w:p>
        </w:tc>
      </w:tr>
      <w:tr w:rsidR="00C63330" w:rsidRPr="00A847B7" w14:paraId="55960AD8" w14:textId="77777777" w:rsidTr="00C63330">
        <w:trPr>
          <w:trHeight w:val="109"/>
        </w:trPr>
        <w:tc>
          <w:tcPr>
            <w:tcW w:w="2760" w:type="dxa"/>
          </w:tcPr>
          <w:p w14:paraId="137DC405" w14:textId="77777777" w:rsidR="00C63330" w:rsidRPr="00A847B7" w:rsidRDefault="00C63330" w:rsidP="00C63330">
            <w:pPr>
              <w:spacing w:beforeAutospacing="1" w:after="100" w:afterAutospacing="1"/>
            </w:pPr>
            <w:r w:rsidRPr="00A847B7">
              <w:t xml:space="preserve">192 </w:t>
            </w:r>
          </w:p>
        </w:tc>
        <w:tc>
          <w:tcPr>
            <w:tcW w:w="2760" w:type="dxa"/>
          </w:tcPr>
          <w:p w14:paraId="5AD5C291" w14:textId="77777777" w:rsidR="00C63330" w:rsidRPr="00A847B7" w:rsidRDefault="00C63330" w:rsidP="00C63330">
            <w:pPr>
              <w:spacing w:beforeAutospacing="1" w:after="100" w:afterAutospacing="1"/>
            </w:pPr>
            <w:r w:rsidRPr="00A847B7">
              <w:t xml:space="preserve">13 109 </w:t>
            </w:r>
          </w:p>
        </w:tc>
      </w:tr>
      <w:tr w:rsidR="00C63330" w:rsidRPr="00A847B7" w14:paraId="42A34A3E" w14:textId="77777777" w:rsidTr="00C63330">
        <w:trPr>
          <w:trHeight w:val="109"/>
        </w:trPr>
        <w:tc>
          <w:tcPr>
            <w:tcW w:w="2760" w:type="dxa"/>
          </w:tcPr>
          <w:p w14:paraId="782AD5F5" w14:textId="77777777" w:rsidR="00C63330" w:rsidRPr="00A847B7" w:rsidRDefault="00C63330" w:rsidP="00C63330">
            <w:pPr>
              <w:spacing w:beforeAutospacing="1" w:after="100" w:afterAutospacing="1"/>
            </w:pPr>
            <w:r w:rsidRPr="00A847B7">
              <w:t xml:space="preserve">193 </w:t>
            </w:r>
          </w:p>
        </w:tc>
        <w:tc>
          <w:tcPr>
            <w:tcW w:w="2760" w:type="dxa"/>
          </w:tcPr>
          <w:p w14:paraId="1E5F21E0" w14:textId="77777777" w:rsidR="00C63330" w:rsidRPr="00A847B7" w:rsidRDefault="00C63330" w:rsidP="00C63330">
            <w:pPr>
              <w:spacing w:beforeAutospacing="1" w:after="100" w:afterAutospacing="1"/>
            </w:pPr>
            <w:r w:rsidRPr="00A847B7">
              <w:t xml:space="preserve">13 109 </w:t>
            </w:r>
          </w:p>
        </w:tc>
      </w:tr>
      <w:tr w:rsidR="00C63330" w:rsidRPr="00A847B7" w14:paraId="1EE0EB92" w14:textId="77777777" w:rsidTr="00C63330">
        <w:trPr>
          <w:trHeight w:val="109"/>
        </w:trPr>
        <w:tc>
          <w:tcPr>
            <w:tcW w:w="2760" w:type="dxa"/>
          </w:tcPr>
          <w:p w14:paraId="0D640B63" w14:textId="77777777" w:rsidR="00C63330" w:rsidRPr="00A847B7" w:rsidRDefault="00C63330" w:rsidP="00C63330">
            <w:pPr>
              <w:spacing w:beforeAutospacing="1" w:after="100" w:afterAutospacing="1"/>
            </w:pPr>
            <w:r w:rsidRPr="00A847B7">
              <w:t xml:space="preserve">194 </w:t>
            </w:r>
          </w:p>
        </w:tc>
        <w:tc>
          <w:tcPr>
            <w:tcW w:w="2760" w:type="dxa"/>
          </w:tcPr>
          <w:p w14:paraId="521586CB" w14:textId="77777777" w:rsidR="00C63330" w:rsidRPr="00A847B7" w:rsidRDefault="00C63330" w:rsidP="00C63330">
            <w:pPr>
              <w:spacing w:beforeAutospacing="1" w:after="100" w:afterAutospacing="1"/>
            </w:pPr>
            <w:r w:rsidRPr="00A847B7">
              <w:t xml:space="preserve">14 273 </w:t>
            </w:r>
          </w:p>
        </w:tc>
      </w:tr>
      <w:tr w:rsidR="00C63330" w:rsidRPr="00A847B7" w14:paraId="1A9BA7D6" w14:textId="77777777" w:rsidTr="00C63330">
        <w:trPr>
          <w:trHeight w:val="109"/>
        </w:trPr>
        <w:tc>
          <w:tcPr>
            <w:tcW w:w="2760" w:type="dxa"/>
          </w:tcPr>
          <w:p w14:paraId="35BA0101" w14:textId="77777777" w:rsidR="00C63330" w:rsidRPr="00A847B7" w:rsidRDefault="00C63330" w:rsidP="00C63330">
            <w:pPr>
              <w:spacing w:beforeAutospacing="1" w:after="100" w:afterAutospacing="1"/>
            </w:pPr>
            <w:r w:rsidRPr="00A847B7">
              <w:t xml:space="preserve">195 </w:t>
            </w:r>
          </w:p>
        </w:tc>
        <w:tc>
          <w:tcPr>
            <w:tcW w:w="2760" w:type="dxa"/>
          </w:tcPr>
          <w:p w14:paraId="3BC54959" w14:textId="77777777" w:rsidR="00C63330" w:rsidRPr="00A847B7" w:rsidRDefault="00C63330" w:rsidP="00C63330">
            <w:pPr>
              <w:spacing w:beforeAutospacing="1" w:after="100" w:afterAutospacing="1"/>
            </w:pPr>
            <w:r w:rsidRPr="00A847B7">
              <w:t xml:space="preserve">14 881 </w:t>
            </w:r>
          </w:p>
        </w:tc>
      </w:tr>
      <w:tr w:rsidR="00C63330" w:rsidRPr="00A847B7" w14:paraId="18F6615F" w14:textId="77777777" w:rsidTr="00C63330">
        <w:trPr>
          <w:trHeight w:val="109"/>
        </w:trPr>
        <w:tc>
          <w:tcPr>
            <w:tcW w:w="2760" w:type="dxa"/>
          </w:tcPr>
          <w:p w14:paraId="608281AD" w14:textId="77777777" w:rsidR="00C63330" w:rsidRPr="00A847B7" w:rsidRDefault="00C63330" w:rsidP="00C63330">
            <w:pPr>
              <w:spacing w:beforeAutospacing="1" w:after="100" w:afterAutospacing="1"/>
            </w:pPr>
            <w:r w:rsidRPr="00A847B7">
              <w:t xml:space="preserve">196 </w:t>
            </w:r>
          </w:p>
        </w:tc>
        <w:tc>
          <w:tcPr>
            <w:tcW w:w="2760" w:type="dxa"/>
          </w:tcPr>
          <w:p w14:paraId="09B5A7E3" w14:textId="77777777" w:rsidR="00C63330" w:rsidRPr="00A847B7" w:rsidRDefault="00C63330" w:rsidP="00C63330">
            <w:pPr>
              <w:spacing w:beforeAutospacing="1" w:after="100" w:afterAutospacing="1"/>
            </w:pPr>
            <w:r w:rsidRPr="00A847B7">
              <w:t xml:space="preserve">15 506 </w:t>
            </w:r>
          </w:p>
        </w:tc>
      </w:tr>
      <w:tr w:rsidR="00C63330" w:rsidRPr="00A847B7" w14:paraId="63A9DE0C" w14:textId="77777777" w:rsidTr="00C63330">
        <w:trPr>
          <w:trHeight w:val="109"/>
        </w:trPr>
        <w:tc>
          <w:tcPr>
            <w:tcW w:w="2760" w:type="dxa"/>
          </w:tcPr>
          <w:p w14:paraId="3F022BF0" w14:textId="77777777" w:rsidR="00C63330" w:rsidRPr="00A847B7" w:rsidRDefault="00C63330" w:rsidP="00C63330">
            <w:pPr>
              <w:spacing w:beforeAutospacing="1" w:after="100" w:afterAutospacing="1"/>
            </w:pPr>
            <w:r w:rsidRPr="00A847B7">
              <w:t xml:space="preserve">197 </w:t>
            </w:r>
          </w:p>
        </w:tc>
        <w:tc>
          <w:tcPr>
            <w:tcW w:w="2760" w:type="dxa"/>
          </w:tcPr>
          <w:p w14:paraId="515C7964" w14:textId="77777777" w:rsidR="00C63330" w:rsidRPr="00A847B7" w:rsidRDefault="00C63330" w:rsidP="00C63330">
            <w:pPr>
              <w:spacing w:beforeAutospacing="1" w:after="100" w:afterAutospacing="1"/>
            </w:pPr>
            <w:r w:rsidRPr="00A847B7">
              <w:t xml:space="preserve">16 149 </w:t>
            </w:r>
          </w:p>
        </w:tc>
      </w:tr>
      <w:tr w:rsidR="00C63330" w:rsidRPr="00A847B7" w14:paraId="26C7BE8A" w14:textId="77777777" w:rsidTr="00C63330">
        <w:trPr>
          <w:trHeight w:val="109"/>
        </w:trPr>
        <w:tc>
          <w:tcPr>
            <w:tcW w:w="2760" w:type="dxa"/>
          </w:tcPr>
          <w:p w14:paraId="06B861B5" w14:textId="77777777" w:rsidR="00C63330" w:rsidRPr="00A847B7" w:rsidRDefault="00C63330" w:rsidP="00C63330">
            <w:pPr>
              <w:spacing w:beforeAutospacing="1" w:after="100" w:afterAutospacing="1"/>
            </w:pPr>
            <w:r w:rsidRPr="00A847B7">
              <w:t xml:space="preserve">198 </w:t>
            </w:r>
          </w:p>
        </w:tc>
        <w:tc>
          <w:tcPr>
            <w:tcW w:w="2760" w:type="dxa"/>
          </w:tcPr>
          <w:p w14:paraId="6A890D15" w14:textId="77777777" w:rsidR="00C63330" w:rsidRPr="00A847B7" w:rsidRDefault="00C63330" w:rsidP="00C63330">
            <w:pPr>
              <w:spacing w:beforeAutospacing="1" w:after="100" w:afterAutospacing="1"/>
            </w:pPr>
            <w:r w:rsidRPr="00A847B7">
              <w:t xml:space="preserve">16 810 </w:t>
            </w:r>
          </w:p>
        </w:tc>
      </w:tr>
      <w:tr w:rsidR="00C63330" w:rsidRPr="00A847B7" w14:paraId="563EF65E" w14:textId="77777777" w:rsidTr="00C63330">
        <w:trPr>
          <w:trHeight w:val="109"/>
        </w:trPr>
        <w:tc>
          <w:tcPr>
            <w:tcW w:w="2760" w:type="dxa"/>
          </w:tcPr>
          <w:p w14:paraId="57E57ACA" w14:textId="77777777" w:rsidR="00C63330" w:rsidRPr="00A847B7" w:rsidRDefault="00C63330" w:rsidP="00C63330">
            <w:pPr>
              <w:spacing w:beforeAutospacing="1" w:after="100" w:afterAutospacing="1"/>
            </w:pPr>
            <w:r w:rsidRPr="00A847B7">
              <w:t xml:space="preserve">199 </w:t>
            </w:r>
          </w:p>
        </w:tc>
        <w:tc>
          <w:tcPr>
            <w:tcW w:w="2760" w:type="dxa"/>
          </w:tcPr>
          <w:p w14:paraId="19A47C3D" w14:textId="77777777" w:rsidR="00C63330" w:rsidRPr="00A847B7" w:rsidRDefault="00C63330" w:rsidP="00C63330">
            <w:pPr>
              <w:spacing w:beforeAutospacing="1" w:after="100" w:afterAutospacing="1"/>
            </w:pPr>
            <w:r w:rsidRPr="00A847B7">
              <w:t xml:space="preserve">17 490 </w:t>
            </w:r>
          </w:p>
        </w:tc>
      </w:tr>
      <w:tr w:rsidR="00C63330" w:rsidRPr="00A847B7" w14:paraId="231E587A" w14:textId="77777777" w:rsidTr="00C63330">
        <w:trPr>
          <w:trHeight w:val="109"/>
        </w:trPr>
        <w:tc>
          <w:tcPr>
            <w:tcW w:w="2760" w:type="dxa"/>
          </w:tcPr>
          <w:p w14:paraId="487E558E" w14:textId="77777777" w:rsidR="00C63330" w:rsidRPr="00A847B7" w:rsidRDefault="00C63330" w:rsidP="00C63330">
            <w:pPr>
              <w:spacing w:beforeAutospacing="1" w:after="100" w:afterAutospacing="1"/>
            </w:pPr>
            <w:r w:rsidRPr="00A847B7">
              <w:t xml:space="preserve">200 </w:t>
            </w:r>
          </w:p>
        </w:tc>
        <w:tc>
          <w:tcPr>
            <w:tcW w:w="2760" w:type="dxa"/>
          </w:tcPr>
          <w:p w14:paraId="31A50785" w14:textId="77777777" w:rsidR="00C63330" w:rsidRPr="00A847B7" w:rsidRDefault="00C63330" w:rsidP="00C63330">
            <w:pPr>
              <w:spacing w:beforeAutospacing="1" w:after="100" w:afterAutospacing="1"/>
            </w:pPr>
            <w:r w:rsidRPr="00A847B7">
              <w:t xml:space="preserve">18 188 </w:t>
            </w:r>
          </w:p>
        </w:tc>
      </w:tr>
      <w:tr w:rsidR="00C63330" w:rsidRPr="00A847B7" w14:paraId="0ADE59C8" w14:textId="77777777" w:rsidTr="00C63330">
        <w:trPr>
          <w:trHeight w:val="109"/>
        </w:trPr>
        <w:tc>
          <w:tcPr>
            <w:tcW w:w="2760" w:type="dxa"/>
          </w:tcPr>
          <w:p w14:paraId="5E350E05" w14:textId="77777777" w:rsidR="00C63330" w:rsidRPr="00A847B7" w:rsidRDefault="00C63330" w:rsidP="00C63330">
            <w:pPr>
              <w:spacing w:beforeAutospacing="1" w:after="100" w:afterAutospacing="1"/>
            </w:pPr>
            <w:r w:rsidRPr="00A847B7">
              <w:t xml:space="preserve">201 </w:t>
            </w:r>
          </w:p>
        </w:tc>
        <w:tc>
          <w:tcPr>
            <w:tcW w:w="2760" w:type="dxa"/>
          </w:tcPr>
          <w:p w14:paraId="3467BD85" w14:textId="77777777" w:rsidR="00C63330" w:rsidRPr="00A847B7" w:rsidRDefault="00C63330" w:rsidP="00C63330">
            <w:pPr>
              <w:spacing w:beforeAutospacing="1" w:after="100" w:afterAutospacing="1"/>
            </w:pPr>
            <w:r w:rsidRPr="00A847B7">
              <w:t xml:space="preserve">18 905 </w:t>
            </w:r>
          </w:p>
        </w:tc>
      </w:tr>
      <w:tr w:rsidR="00C63330" w:rsidRPr="00A847B7" w14:paraId="73E2F21E" w14:textId="77777777" w:rsidTr="00C63330">
        <w:trPr>
          <w:trHeight w:val="109"/>
        </w:trPr>
        <w:tc>
          <w:tcPr>
            <w:tcW w:w="2760" w:type="dxa"/>
          </w:tcPr>
          <w:p w14:paraId="0F27058E" w14:textId="77777777" w:rsidR="00C63330" w:rsidRPr="00A847B7" w:rsidRDefault="00C63330" w:rsidP="00C63330">
            <w:pPr>
              <w:spacing w:beforeAutospacing="1" w:after="100" w:afterAutospacing="1"/>
            </w:pPr>
            <w:r w:rsidRPr="00A847B7">
              <w:t xml:space="preserve">202 </w:t>
            </w:r>
          </w:p>
        </w:tc>
        <w:tc>
          <w:tcPr>
            <w:tcW w:w="2760" w:type="dxa"/>
          </w:tcPr>
          <w:p w14:paraId="670CDF64" w14:textId="77777777" w:rsidR="00C63330" w:rsidRPr="00A847B7" w:rsidRDefault="00C63330" w:rsidP="00C63330">
            <w:pPr>
              <w:spacing w:beforeAutospacing="1" w:after="100" w:afterAutospacing="1"/>
            </w:pPr>
            <w:r w:rsidRPr="00A847B7">
              <w:t xml:space="preserve">19 641 </w:t>
            </w:r>
          </w:p>
        </w:tc>
      </w:tr>
      <w:tr w:rsidR="00C63330" w:rsidRPr="00A847B7" w14:paraId="1FFD44D6" w14:textId="77777777" w:rsidTr="00C63330">
        <w:trPr>
          <w:trHeight w:val="109"/>
        </w:trPr>
        <w:tc>
          <w:tcPr>
            <w:tcW w:w="2760" w:type="dxa"/>
          </w:tcPr>
          <w:p w14:paraId="646F4D3A" w14:textId="77777777" w:rsidR="00C63330" w:rsidRPr="00A847B7" w:rsidRDefault="00C63330" w:rsidP="00C63330">
            <w:pPr>
              <w:spacing w:beforeAutospacing="1" w:after="100" w:afterAutospacing="1"/>
            </w:pPr>
            <w:r w:rsidRPr="00A847B7">
              <w:t xml:space="preserve">203 </w:t>
            </w:r>
          </w:p>
        </w:tc>
        <w:tc>
          <w:tcPr>
            <w:tcW w:w="2760" w:type="dxa"/>
          </w:tcPr>
          <w:p w14:paraId="1CF28C4E" w14:textId="77777777" w:rsidR="00C63330" w:rsidRPr="00A847B7" w:rsidRDefault="00C63330" w:rsidP="00C63330">
            <w:pPr>
              <w:spacing w:beforeAutospacing="1" w:after="100" w:afterAutospacing="1"/>
            </w:pPr>
            <w:r w:rsidRPr="00A847B7">
              <w:t xml:space="preserve">20 396 </w:t>
            </w:r>
          </w:p>
        </w:tc>
      </w:tr>
      <w:tr w:rsidR="00C63330" w:rsidRPr="00A847B7" w14:paraId="0562F840" w14:textId="77777777" w:rsidTr="00C63330">
        <w:trPr>
          <w:trHeight w:val="109"/>
        </w:trPr>
        <w:tc>
          <w:tcPr>
            <w:tcW w:w="2760" w:type="dxa"/>
          </w:tcPr>
          <w:p w14:paraId="52467792" w14:textId="77777777" w:rsidR="00C63330" w:rsidRPr="00A847B7" w:rsidRDefault="00C63330" w:rsidP="00C63330">
            <w:pPr>
              <w:spacing w:beforeAutospacing="1" w:after="100" w:afterAutospacing="1"/>
            </w:pPr>
            <w:r w:rsidRPr="00A847B7">
              <w:t xml:space="preserve">204 </w:t>
            </w:r>
          </w:p>
        </w:tc>
        <w:tc>
          <w:tcPr>
            <w:tcW w:w="2760" w:type="dxa"/>
          </w:tcPr>
          <w:p w14:paraId="7465EDDC" w14:textId="77777777" w:rsidR="00C63330" w:rsidRPr="00A847B7" w:rsidRDefault="00C63330" w:rsidP="00C63330">
            <w:pPr>
              <w:spacing w:beforeAutospacing="1" w:after="100" w:afterAutospacing="1"/>
            </w:pPr>
            <w:r w:rsidRPr="00A847B7">
              <w:t xml:space="preserve">21 171 </w:t>
            </w:r>
          </w:p>
        </w:tc>
      </w:tr>
      <w:tr w:rsidR="00C63330" w:rsidRPr="00A847B7" w14:paraId="1B2BF7CD" w14:textId="77777777" w:rsidTr="00C63330">
        <w:trPr>
          <w:trHeight w:val="109"/>
        </w:trPr>
        <w:tc>
          <w:tcPr>
            <w:tcW w:w="2760" w:type="dxa"/>
          </w:tcPr>
          <w:p w14:paraId="40DA754F" w14:textId="77777777" w:rsidR="00C63330" w:rsidRPr="00A847B7" w:rsidRDefault="00C63330" w:rsidP="00C63330">
            <w:pPr>
              <w:spacing w:beforeAutospacing="1" w:after="100" w:afterAutospacing="1"/>
            </w:pPr>
            <w:r w:rsidRPr="00A847B7">
              <w:t xml:space="preserve">205 </w:t>
            </w:r>
          </w:p>
        </w:tc>
        <w:tc>
          <w:tcPr>
            <w:tcW w:w="2760" w:type="dxa"/>
          </w:tcPr>
          <w:p w14:paraId="17D32B2C" w14:textId="77777777" w:rsidR="00C63330" w:rsidRPr="00A847B7" w:rsidRDefault="00C63330" w:rsidP="00C63330">
            <w:pPr>
              <w:spacing w:beforeAutospacing="1" w:after="100" w:afterAutospacing="1"/>
            </w:pPr>
            <w:r w:rsidRPr="00A847B7">
              <w:t xml:space="preserve">21 966 </w:t>
            </w:r>
          </w:p>
        </w:tc>
      </w:tr>
      <w:tr w:rsidR="00C63330" w:rsidRPr="00A847B7" w14:paraId="3F86C400" w14:textId="77777777" w:rsidTr="00C63330">
        <w:trPr>
          <w:trHeight w:val="109"/>
        </w:trPr>
        <w:tc>
          <w:tcPr>
            <w:tcW w:w="2760" w:type="dxa"/>
          </w:tcPr>
          <w:p w14:paraId="00CE2B86" w14:textId="77777777" w:rsidR="00C63330" w:rsidRPr="00A847B7" w:rsidRDefault="00C63330" w:rsidP="00C63330">
            <w:pPr>
              <w:spacing w:beforeAutospacing="1" w:after="100" w:afterAutospacing="1"/>
            </w:pPr>
            <w:r w:rsidRPr="00A847B7">
              <w:t xml:space="preserve">206 </w:t>
            </w:r>
          </w:p>
        </w:tc>
        <w:tc>
          <w:tcPr>
            <w:tcW w:w="2760" w:type="dxa"/>
          </w:tcPr>
          <w:p w14:paraId="00686211" w14:textId="77777777" w:rsidR="00C63330" w:rsidRPr="00A847B7" w:rsidRDefault="00C63330" w:rsidP="00C63330">
            <w:pPr>
              <w:spacing w:beforeAutospacing="1" w:after="100" w:afterAutospacing="1"/>
            </w:pPr>
            <w:r w:rsidRPr="00A847B7">
              <w:t xml:space="preserve">22 781 </w:t>
            </w:r>
          </w:p>
        </w:tc>
      </w:tr>
      <w:tr w:rsidR="00C63330" w:rsidRPr="00A847B7" w14:paraId="098D1A35" w14:textId="77777777" w:rsidTr="00C63330">
        <w:trPr>
          <w:trHeight w:val="109"/>
        </w:trPr>
        <w:tc>
          <w:tcPr>
            <w:tcW w:w="2760" w:type="dxa"/>
          </w:tcPr>
          <w:p w14:paraId="3019FE37" w14:textId="77777777" w:rsidR="00C63330" w:rsidRPr="00A847B7" w:rsidRDefault="00C63330" w:rsidP="00C63330">
            <w:pPr>
              <w:spacing w:beforeAutospacing="1" w:after="100" w:afterAutospacing="1"/>
            </w:pPr>
            <w:r w:rsidRPr="00A847B7">
              <w:t xml:space="preserve">207 </w:t>
            </w:r>
          </w:p>
        </w:tc>
        <w:tc>
          <w:tcPr>
            <w:tcW w:w="2760" w:type="dxa"/>
          </w:tcPr>
          <w:p w14:paraId="703A599F" w14:textId="77777777" w:rsidR="00C63330" w:rsidRPr="00A847B7" w:rsidRDefault="00C63330" w:rsidP="00C63330">
            <w:pPr>
              <w:spacing w:beforeAutospacing="1" w:after="100" w:afterAutospacing="1"/>
            </w:pPr>
            <w:r w:rsidRPr="00A847B7">
              <w:t xml:space="preserve">23 616 </w:t>
            </w:r>
          </w:p>
        </w:tc>
      </w:tr>
      <w:tr w:rsidR="00C63330" w:rsidRPr="00A847B7" w14:paraId="78581C42" w14:textId="77777777" w:rsidTr="00C63330">
        <w:trPr>
          <w:trHeight w:val="109"/>
        </w:trPr>
        <w:tc>
          <w:tcPr>
            <w:tcW w:w="2760" w:type="dxa"/>
          </w:tcPr>
          <w:p w14:paraId="05331709" w14:textId="77777777" w:rsidR="00C63330" w:rsidRPr="00A847B7" w:rsidRDefault="00C63330" w:rsidP="00C63330">
            <w:pPr>
              <w:spacing w:beforeAutospacing="1" w:after="100" w:afterAutospacing="1"/>
            </w:pPr>
            <w:r w:rsidRPr="00A847B7">
              <w:t xml:space="preserve">208 </w:t>
            </w:r>
          </w:p>
        </w:tc>
        <w:tc>
          <w:tcPr>
            <w:tcW w:w="2760" w:type="dxa"/>
          </w:tcPr>
          <w:p w14:paraId="14075517" w14:textId="77777777" w:rsidR="00C63330" w:rsidRPr="00A847B7" w:rsidRDefault="00C63330" w:rsidP="00C63330">
            <w:pPr>
              <w:spacing w:beforeAutospacing="1" w:after="100" w:afterAutospacing="1"/>
            </w:pPr>
            <w:r w:rsidRPr="00A847B7">
              <w:t xml:space="preserve">24 472 </w:t>
            </w:r>
          </w:p>
        </w:tc>
      </w:tr>
      <w:tr w:rsidR="00C63330" w:rsidRPr="00A847B7" w14:paraId="420C5FC0" w14:textId="77777777" w:rsidTr="00C63330">
        <w:trPr>
          <w:trHeight w:val="109"/>
        </w:trPr>
        <w:tc>
          <w:tcPr>
            <w:tcW w:w="2760" w:type="dxa"/>
          </w:tcPr>
          <w:p w14:paraId="67410610" w14:textId="77777777" w:rsidR="00C63330" w:rsidRPr="00A847B7" w:rsidRDefault="00C63330" w:rsidP="00C63330">
            <w:pPr>
              <w:spacing w:beforeAutospacing="1" w:after="100" w:afterAutospacing="1"/>
            </w:pPr>
            <w:r w:rsidRPr="00A847B7">
              <w:t xml:space="preserve">209 </w:t>
            </w:r>
          </w:p>
        </w:tc>
        <w:tc>
          <w:tcPr>
            <w:tcW w:w="2760" w:type="dxa"/>
          </w:tcPr>
          <w:p w14:paraId="449277D8" w14:textId="77777777" w:rsidR="00C63330" w:rsidRPr="00A847B7" w:rsidRDefault="00C63330" w:rsidP="00C63330">
            <w:pPr>
              <w:spacing w:beforeAutospacing="1" w:after="100" w:afterAutospacing="1"/>
            </w:pPr>
            <w:r w:rsidRPr="00A847B7">
              <w:t xml:space="preserve">25 349 </w:t>
            </w:r>
          </w:p>
        </w:tc>
      </w:tr>
      <w:tr w:rsidR="00C63330" w:rsidRPr="00A847B7" w14:paraId="3BD06F39" w14:textId="77777777" w:rsidTr="00C63330">
        <w:trPr>
          <w:trHeight w:val="109"/>
        </w:trPr>
        <w:tc>
          <w:tcPr>
            <w:tcW w:w="2760" w:type="dxa"/>
          </w:tcPr>
          <w:p w14:paraId="6FC2311F" w14:textId="77777777" w:rsidR="00C63330" w:rsidRPr="00A847B7" w:rsidRDefault="00C63330" w:rsidP="00C63330">
            <w:pPr>
              <w:spacing w:beforeAutospacing="1" w:after="100" w:afterAutospacing="1"/>
            </w:pPr>
            <w:r w:rsidRPr="00A847B7">
              <w:t xml:space="preserve">210 </w:t>
            </w:r>
          </w:p>
        </w:tc>
        <w:tc>
          <w:tcPr>
            <w:tcW w:w="2760" w:type="dxa"/>
          </w:tcPr>
          <w:p w14:paraId="07E37371" w14:textId="77777777" w:rsidR="00C63330" w:rsidRPr="00A847B7" w:rsidRDefault="00C63330" w:rsidP="00C63330">
            <w:pPr>
              <w:spacing w:beforeAutospacing="1" w:after="100" w:afterAutospacing="1"/>
            </w:pPr>
            <w:r w:rsidRPr="00A847B7">
              <w:t xml:space="preserve">26 247 </w:t>
            </w:r>
          </w:p>
        </w:tc>
      </w:tr>
      <w:tr w:rsidR="00C63330" w:rsidRPr="00A847B7" w14:paraId="1C9D92A6" w14:textId="77777777" w:rsidTr="00C63330">
        <w:trPr>
          <w:trHeight w:val="109"/>
        </w:trPr>
        <w:tc>
          <w:tcPr>
            <w:tcW w:w="2760" w:type="dxa"/>
          </w:tcPr>
          <w:p w14:paraId="4647A7E3" w14:textId="77777777" w:rsidR="00C63330" w:rsidRPr="00A847B7" w:rsidRDefault="00C63330" w:rsidP="00C63330">
            <w:pPr>
              <w:spacing w:beforeAutospacing="1" w:after="100" w:afterAutospacing="1"/>
            </w:pPr>
            <w:r w:rsidRPr="00A847B7">
              <w:t xml:space="preserve">211 </w:t>
            </w:r>
          </w:p>
        </w:tc>
        <w:tc>
          <w:tcPr>
            <w:tcW w:w="2760" w:type="dxa"/>
          </w:tcPr>
          <w:p w14:paraId="4600828F" w14:textId="77777777" w:rsidR="00C63330" w:rsidRPr="00A847B7" w:rsidRDefault="00C63330" w:rsidP="00C63330">
            <w:pPr>
              <w:spacing w:beforeAutospacing="1" w:after="100" w:afterAutospacing="1"/>
            </w:pPr>
            <w:r w:rsidRPr="00A847B7">
              <w:t xml:space="preserve">27 166 </w:t>
            </w:r>
          </w:p>
        </w:tc>
      </w:tr>
      <w:tr w:rsidR="00C63330" w:rsidRPr="00A847B7" w14:paraId="4A37122B" w14:textId="77777777" w:rsidTr="00C63330">
        <w:trPr>
          <w:trHeight w:val="109"/>
        </w:trPr>
        <w:tc>
          <w:tcPr>
            <w:tcW w:w="2760" w:type="dxa"/>
          </w:tcPr>
          <w:p w14:paraId="640FB6F4" w14:textId="77777777" w:rsidR="00C63330" w:rsidRPr="00A847B7" w:rsidRDefault="00C63330" w:rsidP="00C63330">
            <w:pPr>
              <w:spacing w:beforeAutospacing="1" w:after="100" w:afterAutospacing="1"/>
            </w:pPr>
            <w:r w:rsidRPr="00A847B7">
              <w:t xml:space="preserve">212 </w:t>
            </w:r>
          </w:p>
        </w:tc>
        <w:tc>
          <w:tcPr>
            <w:tcW w:w="2760" w:type="dxa"/>
          </w:tcPr>
          <w:p w14:paraId="49EAA7E0" w14:textId="77777777" w:rsidR="00C63330" w:rsidRPr="00A847B7" w:rsidRDefault="00C63330" w:rsidP="00C63330">
            <w:pPr>
              <w:spacing w:beforeAutospacing="1" w:after="100" w:afterAutospacing="1"/>
            </w:pPr>
            <w:r w:rsidRPr="00A847B7">
              <w:t xml:space="preserve">28 107 </w:t>
            </w:r>
          </w:p>
        </w:tc>
      </w:tr>
      <w:tr w:rsidR="00C63330" w:rsidRPr="00A847B7" w14:paraId="03D7B7BB" w14:textId="77777777" w:rsidTr="00C63330">
        <w:trPr>
          <w:trHeight w:val="109"/>
        </w:trPr>
        <w:tc>
          <w:tcPr>
            <w:tcW w:w="2760" w:type="dxa"/>
          </w:tcPr>
          <w:p w14:paraId="3DC0D4A3" w14:textId="77777777" w:rsidR="00C63330" w:rsidRPr="00A847B7" w:rsidRDefault="00C63330" w:rsidP="00C63330">
            <w:pPr>
              <w:spacing w:beforeAutospacing="1" w:after="100" w:afterAutospacing="1"/>
            </w:pPr>
            <w:r w:rsidRPr="00A847B7">
              <w:t xml:space="preserve">213 </w:t>
            </w:r>
          </w:p>
        </w:tc>
        <w:tc>
          <w:tcPr>
            <w:tcW w:w="2760" w:type="dxa"/>
          </w:tcPr>
          <w:p w14:paraId="29AA42F7" w14:textId="77777777" w:rsidR="00C63330" w:rsidRPr="00A847B7" w:rsidRDefault="00C63330" w:rsidP="00C63330">
            <w:pPr>
              <w:spacing w:beforeAutospacing="1" w:after="100" w:afterAutospacing="1"/>
            </w:pPr>
            <w:r w:rsidRPr="00A847B7">
              <w:t xml:space="preserve">29 070 </w:t>
            </w:r>
          </w:p>
        </w:tc>
      </w:tr>
      <w:tr w:rsidR="00C63330" w:rsidRPr="00A847B7" w14:paraId="15735B47" w14:textId="77777777" w:rsidTr="00C63330">
        <w:trPr>
          <w:trHeight w:val="109"/>
        </w:trPr>
        <w:tc>
          <w:tcPr>
            <w:tcW w:w="2760" w:type="dxa"/>
          </w:tcPr>
          <w:p w14:paraId="05B024AE" w14:textId="77777777" w:rsidR="00C63330" w:rsidRPr="00A847B7" w:rsidRDefault="00C63330" w:rsidP="00C63330">
            <w:pPr>
              <w:spacing w:beforeAutospacing="1" w:after="100" w:afterAutospacing="1"/>
            </w:pPr>
            <w:r w:rsidRPr="00A847B7">
              <w:t xml:space="preserve">214 </w:t>
            </w:r>
          </w:p>
        </w:tc>
        <w:tc>
          <w:tcPr>
            <w:tcW w:w="2760" w:type="dxa"/>
          </w:tcPr>
          <w:p w14:paraId="517BCCF9" w14:textId="77777777" w:rsidR="00C63330" w:rsidRPr="00A847B7" w:rsidRDefault="00C63330" w:rsidP="00C63330">
            <w:pPr>
              <w:spacing w:beforeAutospacing="1" w:after="100" w:afterAutospacing="1"/>
            </w:pPr>
            <w:r w:rsidRPr="00A847B7">
              <w:t xml:space="preserve">30 056 </w:t>
            </w:r>
          </w:p>
        </w:tc>
      </w:tr>
      <w:tr w:rsidR="00C63330" w:rsidRPr="00A847B7" w14:paraId="6C74B3DB" w14:textId="77777777" w:rsidTr="00C63330">
        <w:trPr>
          <w:trHeight w:val="109"/>
        </w:trPr>
        <w:tc>
          <w:tcPr>
            <w:tcW w:w="2760" w:type="dxa"/>
          </w:tcPr>
          <w:p w14:paraId="05817F13" w14:textId="77777777" w:rsidR="00C63330" w:rsidRPr="00A847B7" w:rsidRDefault="00C63330" w:rsidP="00C63330">
            <w:pPr>
              <w:spacing w:beforeAutospacing="1" w:after="100" w:afterAutospacing="1"/>
            </w:pPr>
            <w:r w:rsidRPr="00A847B7">
              <w:t xml:space="preserve">215 </w:t>
            </w:r>
          </w:p>
        </w:tc>
        <w:tc>
          <w:tcPr>
            <w:tcW w:w="2760" w:type="dxa"/>
          </w:tcPr>
          <w:p w14:paraId="53F4ABEE" w14:textId="77777777" w:rsidR="00C63330" w:rsidRPr="00A847B7" w:rsidRDefault="00C63330" w:rsidP="00C63330">
            <w:pPr>
              <w:spacing w:beforeAutospacing="1" w:after="100" w:afterAutospacing="1"/>
            </w:pPr>
            <w:r w:rsidRPr="00A847B7">
              <w:t xml:space="preserve">31 063 </w:t>
            </w:r>
          </w:p>
        </w:tc>
      </w:tr>
      <w:tr w:rsidR="00C63330" w:rsidRPr="00A847B7" w14:paraId="2163B0CA" w14:textId="77777777" w:rsidTr="00C63330">
        <w:trPr>
          <w:trHeight w:val="109"/>
        </w:trPr>
        <w:tc>
          <w:tcPr>
            <w:tcW w:w="2760" w:type="dxa"/>
          </w:tcPr>
          <w:p w14:paraId="5424D610" w14:textId="77777777" w:rsidR="00C63330" w:rsidRPr="00A847B7" w:rsidRDefault="00C63330" w:rsidP="00C63330">
            <w:pPr>
              <w:spacing w:beforeAutospacing="1" w:after="100" w:afterAutospacing="1"/>
            </w:pPr>
            <w:r w:rsidRPr="00A847B7">
              <w:t xml:space="preserve">216 </w:t>
            </w:r>
          </w:p>
        </w:tc>
        <w:tc>
          <w:tcPr>
            <w:tcW w:w="2760" w:type="dxa"/>
          </w:tcPr>
          <w:p w14:paraId="2435073F" w14:textId="77777777" w:rsidR="00C63330" w:rsidRPr="00A847B7" w:rsidRDefault="00C63330" w:rsidP="00C63330">
            <w:pPr>
              <w:spacing w:beforeAutospacing="1" w:after="100" w:afterAutospacing="1"/>
            </w:pPr>
            <w:r w:rsidRPr="00A847B7">
              <w:t xml:space="preserve">32 094 </w:t>
            </w:r>
          </w:p>
        </w:tc>
      </w:tr>
      <w:tr w:rsidR="00C63330" w:rsidRPr="00A847B7" w14:paraId="02714446" w14:textId="77777777" w:rsidTr="00C63330">
        <w:trPr>
          <w:trHeight w:val="109"/>
        </w:trPr>
        <w:tc>
          <w:tcPr>
            <w:tcW w:w="2760" w:type="dxa"/>
          </w:tcPr>
          <w:p w14:paraId="0881F201" w14:textId="77777777" w:rsidR="00C63330" w:rsidRPr="00A847B7" w:rsidRDefault="00C63330" w:rsidP="00C63330">
            <w:pPr>
              <w:spacing w:beforeAutospacing="1" w:after="100" w:afterAutospacing="1"/>
            </w:pPr>
            <w:r w:rsidRPr="00A847B7">
              <w:t xml:space="preserve">217 </w:t>
            </w:r>
          </w:p>
        </w:tc>
        <w:tc>
          <w:tcPr>
            <w:tcW w:w="2760" w:type="dxa"/>
          </w:tcPr>
          <w:p w14:paraId="7C2DC1D0" w14:textId="77777777" w:rsidR="00C63330" w:rsidRPr="00A847B7" w:rsidRDefault="00C63330" w:rsidP="00C63330">
            <w:pPr>
              <w:spacing w:beforeAutospacing="1" w:after="100" w:afterAutospacing="1"/>
            </w:pPr>
            <w:r w:rsidRPr="00A847B7">
              <w:t xml:space="preserve">33 147 </w:t>
            </w:r>
          </w:p>
        </w:tc>
      </w:tr>
      <w:tr w:rsidR="00C63330" w:rsidRPr="00A847B7" w14:paraId="352C7C28" w14:textId="77777777" w:rsidTr="00C63330">
        <w:trPr>
          <w:trHeight w:val="109"/>
        </w:trPr>
        <w:tc>
          <w:tcPr>
            <w:tcW w:w="2760" w:type="dxa"/>
          </w:tcPr>
          <w:p w14:paraId="4E54E0B5" w14:textId="77777777" w:rsidR="00C63330" w:rsidRPr="00A847B7" w:rsidRDefault="00C63330" w:rsidP="00C63330">
            <w:pPr>
              <w:spacing w:beforeAutospacing="1" w:after="100" w:afterAutospacing="1"/>
            </w:pPr>
            <w:r w:rsidRPr="00A847B7">
              <w:t xml:space="preserve">218 </w:t>
            </w:r>
          </w:p>
        </w:tc>
        <w:tc>
          <w:tcPr>
            <w:tcW w:w="2760" w:type="dxa"/>
          </w:tcPr>
          <w:p w14:paraId="293D7133" w14:textId="77777777" w:rsidR="00C63330" w:rsidRPr="00A847B7" w:rsidRDefault="00C63330" w:rsidP="00C63330">
            <w:pPr>
              <w:spacing w:beforeAutospacing="1" w:after="100" w:afterAutospacing="1"/>
            </w:pPr>
            <w:r w:rsidRPr="00A847B7">
              <w:t xml:space="preserve">34 224 </w:t>
            </w:r>
          </w:p>
        </w:tc>
      </w:tr>
      <w:tr w:rsidR="00C63330" w:rsidRPr="00A847B7" w14:paraId="3BB7B1CD" w14:textId="77777777" w:rsidTr="00C63330">
        <w:trPr>
          <w:trHeight w:val="109"/>
        </w:trPr>
        <w:tc>
          <w:tcPr>
            <w:tcW w:w="2760" w:type="dxa"/>
          </w:tcPr>
          <w:p w14:paraId="1D784BC8" w14:textId="77777777" w:rsidR="00C63330" w:rsidRPr="00A847B7" w:rsidRDefault="00C63330" w:rsidP="00C63330">
            <w:pPr>
              <w:spacing w:beforeAutospacing="1" w:after="100" w:afterAutospacing="1"/>
            </w:pPr>
            <w:r w:rsidRPr="00A847B7">
              <w:t xml:space="preserve">219 </w:t>
            </w:r>
          </w:p>
        </w:tc>
        <w:tc>
          <w:tcPr>
            <w:tcW w:w="2760" w:type="dxa"/>
          </w:tcPr>
          <w:p w14:paraId="2B000B21" w14:textId="77777777" w:rsidR="00C63330" w:rsidRPr="00A847B7" w:rsidRDefault="00C63330" w:rsidP="00C63330">
            <w:pPr>
              <w:spacing w:beforeAutospacing="1" w:after="100" w:afterAutospacing="1"/>
            </w:pPr>
            <w:r w:rsidRPr="00A847B7">
              <w:t xml:space="preserve">35 324 </w:t>
            </w:r>
          </w:p>
        </w:tc>
      </w:tr>
      <w:tr w:rsidR="00C63330" w:rsidRPr="00A847B7" w14:paraId="66652E04" w14:textId="77777777" w:rsidTr="00C63330">
        <w:trPr>
          <w:trHeight w:val="109"/>
        </w:trPr>
        <w:tc>
          <w:tcPr>
            <w:tcW w:w="2760" w:type="dxa"/>
          </w:tcPr>
          <w:p w14:paraId="112CE3E3" w14:textId="77777777" w:rsidR="00C63330" w:rsidRPr="00A847B7" w:rsidRDefault="00C63330" w:rsidP="00C63330">
            <w:pPr>
              <w:spacing w:beforeAutospacing="1" w:after="100" w:afterAutospacing="1"/>
            </w:pPr>
            <w:r w:rsidRPr="00A847B7">
              <w:t xml:space="preserve">220 </w:t>
            </w:r>
          </w:p>
        </w:tc>
        <w:tc>
          <w:tcPr>
            <w:tcW w:w="2760" w:type="dxa"/>
          </w:tcPr>
          <w:p w14:paraId="022F29D9" w14:textId="77777777" w:rsidR="00C63330" w:rsidRPr="00A847B7" w:rsidRDefault="00C63330" w:rsidP="00C63330">
            <w:pPr>
              <w:spacing w:beforeAutospacing="1" w:after="100" w:afterAutospacing="1"/>
            </w:pPr>
            <w:r w:rsidRPr="00A847B7">
              <w:t xml:space="preserve">36 447 </w:t>
            </w:r>
          </w:p>
        </w:tc>
      </w:tr>
      <w:tr w:rsidR="00C63330" w:rsidRPr="00A847B7" w14:paraId="1415DBA9" w14:textId="77777777" w:rsidTr="00C63330">
        <w:trPr>
          <w:trHeight w:val="109"/>
        </w:trPr>
        <w:tc>
          <w:tcPr>
            <w:tcW w:w="2760" w:type="dxa"/>
          </w:tcPr>
          <w:p w14:paraId="52A33488" w14:textId="77777777" w:rsidR="00C63330" w:rsidRPr="00A847B7" w:rsidRDefault="00C63330" w:rsidP="00C63330">
            <w:pPr>
              <w:spacing w:beforeAutospacing="1" w:after="100" w:afterAutospacing="1"/>
            </w:pPr>
            <w:r w:rsidRPr="00A847B7">
              <w:t xml:space="preserve">221 </w:t>
            </w:r>
          </w:p>
        </w:tc>
        <w:tc>
          <w:tcPr>
            <w:tcW w:w="2760" w:type="dxa"/>
          </w:tcPr>
          <w:p w14:paraId="5A233785" w14:textId="77777777" w:rsidR="00C63330" w:rsidRPr="00A847B7" w:rsidRDefault="00C63330" w:rsidP="00C63330">
            <w:pPr>
              <w:spacing w:beforeAutospacing="1" w:after="100" w:afterAutospacing="1"/>
            </w:pPr>
            <w:r w:rsidRPr="00A847B7">
              <w:t xml:space="preserve">37 595 </w:t>
            </w:r>
          </w:p>
        </w:tc>
      </w:tr>
      <w:tr w:rsidR="00C63330" w:rsidRPr="00A847B7" w14:paraId="2B83BDB0" w14:textId="77777777" w:rsidTr="00C63330">
        <w:trPr>
          <w:trHeight w:val="109"/>
        </w:trPr>
        <w:tc>
          <w:tcPr>
            <w:tcW w:w="2760" w:type="dxa"/>
          </w:tcPr>
          <w:p w14:paraId="25989CEA" w14:textId="77777777" w:rsidR="00C63330" w:rsidRPr="00A847B7" w:rsidRDefault="00C63330" w:rsidP="00C63330">
            <w:pPr>
              <w:spacing w:beforeAutospacing="1" w:after="100" w:afterAutospacing="1"/>
            </w:pPr>
            <w:r w:rsidRPr="00A847B7">
              <w:t xml:space="preserve">222 </w:t>
            </w:r>
          </w:p>
        </w:tc>
        <w:tc>
          <w:tcPr>
            <w:tcW w:w="2760" w:type="dxa"/>
          </w:tcPr>
          <w:p w14:paraId="6AC89186" w14:textId="77777777" w:rsidR="00C63330" w:rsidRPr="00A847B7" w:rsidRDefault="00C63330" w:rsidP="00C63330">
            <w:pPr>
              <w:spacing w:beforeAutospacing="1" w:after="100" w:afterAutospacing="1"/>
            </w:pPr>
            <w:r w:rsidRPr="00A847B7">
              <w:t xml:space="preserve">38 767 </w:t>
            </w:r>
          </w:p>
        </w:tc>
      </w:tr>
      <w:tr w:rsidR="00C63330" w:rsidRPr="00A847B7" w14:paraId="3A1373B3" w14:textId="77777777" w:rsidTr="00C63330">
        <w:trPr>
          <w:trHeight w:val="109"/>
        </w:trPr>
        <w:tc>
          <w:tcPr>
            <w:tcW w:w="2760" w:type="dxa"/>
          </w:tcPr>
          <w:p w14:paraId="7810D416" w14:textId="77777777" w:rsidR="00C63330" w:rsidRPr="00A847B7" w:rsidRDefault="00C63330" w:rsidP="00C63330">
            <w:pPr>
              <w:spacing w:beforeAutospacing="1" w:after="100" w:afterAutospacing="1"/>
            </w:pPr>
            <w:r w:rsidRPr="00A847B7">
              <w:t xml:space="preserve">223 </w:t>
            </w:r>
          </w:p>
        </w:tc>
        <w:tc>
          <w:tcPr>
            <w:tcW w:w="2760" w:type="dxa"/>
          </w:tcPr>
          <w:p w14:paraId="38A55750" w14:textId="77777777" w:rsidR="00C63330" w:rsidRPr="00A847B7" w:rsidRDefault="00C63330" w:rsidP="00C63330">
            <w:pPr>
              <w:spacing w:beforeAutospacing="1" w:after="100" w:afterAutospacing="1"/>
            </w:pPr>
            <w:r w:rsidRPr="00A847B7">
              <w:t xml:space="preserve">39 964 </w:t>
            </w:r>
          </w:p>
        </w:tc>
      </w:tr>
    </w:tbl>
    <w:p w14:paraId="2E45D63A" w14:textId="7B6D364F" w:rsidR="00C63330" w:rsidRPr="00A847B7" w:rsidRDefault="00244BE0" w:rsidP="00EE0687">
      <w:pPr>
        <w:pStyle w:val="Paragraphedeliste"/>
        <w:numPr>
          <w:ilvl w:val="0"/>
          <w:numId w:val="69"/>
        </w:numPr>
        <w:spacing w:beforeAutospacing="1" w:after="100" w:afterAutospacing="1"/>
        <w:rPr>
          <w:rFonts w:cstheme="minorHAnsi"/>
        </w:rPr>
      </w:pPr>
      <w:r w:rsidRPr="00A847B7">
        <w:rPr>
          <w:rFonts w:cstheme="minorHAnsi"/>
        </w:rPr>
        <w:t>lorsque les émissions excèdent 223 g/km, le tarif est fixé à 40 000 €.</w:t>
      </w:r>
    </w:p>
    <w:p w14:paraId="0AFDB9D2" w14:textId="76611E3D" w:rsidR="00C63330" w:rsidRPr="00A847B7" w:rsidRDefault="00244BE0" w:rsidP="00C63330">
      <w:pPr>
        <w:spacing w:beforeAutospacing="1" w:after="100" w:afterAutospacing="1"/>
        <w:rPr>
          <w:rFonts w:cstheme="minorHAnsi"/>
        </w:rPr>
      </w:pPr>
      <w:r w:rsidRPr="00A847B7">
        <w:rPr>
          <w:rFonts w:cstheme="minorHAnsi"/>
        </w:rPr>
        <w:t>A compter du 1</w:t>
      </w:r>
      <w:r w:rsidRPr="00A847B7">
        <w:rPr>
          <w:rFonts w:cstheme="minorHAnsi"/>
          <w:vertAlign w:val="superscript"/>
        </w:rPr>
        <w:t>er</w:t>
      </w:r>
      <w:r w:rsidRPr="00A847B7">
        <w:rPr>
          <w:rFonts w:cstheme="minorHAnsi"/>
        </w:rPr>
        <w:t xml:space="preserve"> janvier 2022, le barème en puissance administrative du malus est fixé de la manière suivante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2500"/>
      </w:tblGrid>
      <w:tr w:rsidR="00244BE0" w:rsidRPr="00A847B7" w14:paraId="5C6E34C2" w14:textId="77777777" w:rsidTr="00244BE0">
        <w:trPr>
          <w:trHeight w:val="242"/>
        </w:trPr>
        <w:tc>
          <w:tcPr>
            <w:tcW w:w="2500" w:type="dxa"/>
            <w:shd w:val="clear" w:color="auto" w:fill="297FD5" w:themeFill="accent3"/>
          </w:tcPr>
          <w:p w14:paraId="58F3E991" w14:textId="588B93DC" w:rsidR="00244BE0" w:rsidRPr="00A847B7" w:rsidRDefault="00244BE0" w:rsidP="00244BE0">
            <w:pPr>
              <w:spacing w:beforeAutospacing="1" w:after="100" w:afterAutospacing="1"/>
              <w:jc w:val="center"/>
              <w:rPr>
                <w:rFonts w:cstheme="minorHAnsi"/>
                <w:color w:val="FFFFFF" w:themeColor="background1"/>
                <w:sz w:val="22"/>
                <w:szCs w:val="22"/>
              </w:rPr>
            </w:pPr>
            <w:r w:rsidRPr="00A847B7">
              <w:rPr>
                <w:rFonts w:cstheme="minorHAnsi"/>
                <w:color w:val="FFFFFF" w:themeColor="background1"/>
                <w:sz w:val="22"/>
                <w:szCs w:val="22"/>
              </w:rPr>
              <w:t>Puissance administrative (en CV)</w:t>
            </w:r>
          </w:p>
        </w:tc>
        <w:tc>
          <w:tcPr>
            <w:tcW w:w="2500" w:type="dxa"/>
            <w:shd w:val="clear" w:color="auto" w:fill="297FD5" w:themeFill="accent3"/>
          </w:tcPr>
          <w:p w14:paraId="20544881" w14:textId="7DB4506F" w:rsidR="00244BE0" w:rsidRPr="00A847B7" w:rsidRDefault="00244BE0" w:rsidP="00244BE0">
            <w:pPr>
              <w:spacing w:beforeAutospacing="1" w:after="100" w:afterAutospacing="1"/>
              <w:jc w:val="center"/>
              <w:rPr>
                <w:rFonts w:cstheme="minorHAnsi"/>
                <w:color w:val="FFFFFF" w:themeColor="background1"/>
                <w:sz w:val="22"/>
                <w:szCs w:val="22"/>
              </w:rPr>
            </w:pPr>
            <w:r w:rsidRPr="00A847B7">
              <w:rPr>
                <w:rFonts w:cstheme="minorHAnsi"/>
                <w:color w:val="FFFFFF" w:themeColor="background1"/>
                <w:sz w:val="22"/>
                <w:szCs w:val="22"/>
              </w:rPr>
              <w:t>Montant de la taxe (en euros)</w:t>
            </w:r>
          </w:p>
        </w:tc>
      </w:tr>
      <w:tr w:rsidR="00244BE0" w:rsidRPr="00A847B7" w14:paraId="6863A143" w14:textId="77777777" w:rsidTr="00244BE0">
        <w:trPr>
          <w:trHeight w:val="109"/>
        </w:trPr>
        <w:tc>
          <w:tcPr>
            <w:tcW w:w="2500" w:type="dxa"/>
          </w:tcPr>
          <w:p w14:paraId="0AEAE3A7" w14:textId="77777777" w:rsidR="00244BE0" w:rsidRPr="00A847B7" w:rsidRDefault="00244BE0" w:rsidP="00244BE0">
            <w:pPr>
              <w:spacing w:beforeAutospacing="1" w:after="100" w:afterAutospacing="1"/>
              <w:rPr>
                <w:rFonts w:cstheme="minorHAnsi"/>
              </w:rPr>
            </w:pPr>
            <w:r w:rsidRPr="00A847B7">
              <w:rPr>
                <w:rFonts w:cstheme="minorHAnsi"/>
              </w:rPr>
              <w:t xml:space="preserve">jusqu’à 4 </w:t>
            </w:r>
          </w:p>
        </w:tc>
        <w:tc>
          <w:tcPr>
            <w:tcW w:w="2500" w:type="dxa"/>
          </w:tcPr>
          <w:p w14:paraId="702C23BB" w14:textId="77777777" w:rsidR="00244BE0" w:rsidRPr="00A847B7" w:rsidRDefault="00244BE0" w:rsidP="00244BE0">
            <w:pPr>
              <w:spacing w:beforeAutospacing="1" w:after="100" w:afterAutospacing="1"/>
              <w:rPr>
                <w:rFonts w:cstheme="minorHAnsi"/>
              </w:rPr>
            </w:pPr>
            <w:r w:rsidRPr="00A847B7">
              <w:rPr>
                <w:rFonts w:cstheme="minorHAnsi"/>
              </w:rPr>
              <w:t xml:space="preserve">0 </w:t>
            </w:r>
          </w:p>
        </w:tc>
      </w:tr>
      <w:tr w:rsidR="00244BE0" w:rsidRPr="00A847B7" w14:paraId="771E23BE" w14:textId="77777777" w:rsidTr="00244BE0">
        <w:trPr>
          <w:trHeight w:val="109"/>
        </w:trPr>
        <w:tc>
          <w:tcPr>
            <w:tcW w:w="2500" w:type="dxa"/>
          </w:tcPr>
          <w:p w14:paraId="512E6992" w14:textId="77777777" w:rsidR="00244BE0" w:rsidRPr="00A847B7" w:rsidRDefault="00244BE0" w:rsidP="00244BE0">
            <w:pPr>
              <w:spacing w:beforeAutospacing="1" w:after="100" w:afterAutospacing="1"/>
              <w:rPr>
                <w:rFonts w:cstheme="minorHAnsi"/>
              </w:rPr>
            </w:pPr>
            <w:r w:rsidRPr="00A847B7">
              <w:rPr>
                <w:rFonts w:cstheme="minorHAnsi"/>
              </w:rPr>
              <w:t xml:space="preserve">5 </w:t>
            </w:r>
          </w:p>
        </w:tc>
        <w:tc>
          <w:tcPr>
            <w:tcW w:w="2500" w:type="dxa"/>
          </w:tcPr>
          <w:p w14:paraId="7C94E4E5" w14:textId="77777777" w:rsidR="00244BE0" w:rsidRPr="00A847B7" w:rsidRDefault="00244BE0" w:rsidP="00244BE0">
            <w:pPr>
              <w:spacing w:beforeAutospacing="1" w:after="100" w:afterAutospacing="1"/>
              <w:rPr>
                <w:rFonts w:cstheme="minorHAnsi"/>
              </w:rPr>
            </w:pPr>
            <w:r w:rsidRPr="00A847B7">
              <w:rPr>
                <w:rFonts w:cstheme="minorHAnsi"/>
              </w:rPr>
              <w:t xml:space="preserve">1 000 </w:t>
            </w:r>
          </w:p>
        </w:tc>
      </w:tr>
      <w:tr w:rsidR="00244BE0" w:rsidRPr="00A847B7" w14:paraId="6AF443DF" w14:textId="77777777" w:rsidTr="00244BE0">
        <w:trPr>
          <w:trHeight w:val="109"/>
        </w:trPr>
        <w:tc>
          <w:tcPr>
            <w:tcW w:w="2500" w:type="dxa"/>
          </w:tcPr>
          <w:p w14:paraId="5A4E2848" w14:textId="77777777" w:rsidR="00244BE0" w:rsidRPr="00A847B7" w:rsidRDefault="00244BE0" w:rsidP="00244BE0">
            <w:pPr>
              <w:spacing w:beforeAutospacing="1" w:after="100" w:afterAutospacing="1"/>
              <w:rPr>
                <w:rFonts w:cstheme="minorHAnsi"/>
              </w:rPr>
            </w:pPr>
            <w:r w:rsidRPr="00A847B7">
              <w:rPr>
                <w:rFonts w:cstheme="minorHAnsi"/>
              </w:rPr>
              <w:t xml:space="preserve">6 </w:t>
            </w:r>
          </w:p>
        </w:tc>
        <w:tc>
          <w:tcPr>
            <w:tcW w:w="2500" w:type="dxa"/>
          </w:tcPr>
          <w:p w14:paraId="036C4088" w14:textId="77777777" w:rsidR="00244BE0" w:rsidRPr="00A847B7" w:rsidRDefault="00244BE0" w:rsidP="00244BE0">
            <w:pPr>
              <w:spacing w:beforeAutospacing="1" w:after="100" w:afterAutospacing="1"/>
              <w:rPr>
                <w:rFonts w:cstheme="minorHAnsi"/>
              </w:rPr>
            </w:pPr>
            <w:r w:rsidRPr="00A847B7">
              <w:rPr>
                <w:rFonts w:cstheme="minorHAnsi"/>
              </w:rPr>
              <w:t xml:space="preserve">3 000 </w:t>
            </w:r>
          </w:p>
        </w:tc>
      </w:tr>
      <w:tr w:rsidR="00244BE0" w:rsidRPr="00A847B7" w14:paraId="70E135DB" w14:textId="77777777" w:rsidTr="00244BE0">
        <w:trPr>
          <w:trHeight w:val="109"/>
        </w:trPr>
        <w:tc>
          <w:tcPr>
            <w:tcW w:w="2500" w:type="dxa"/>
          </w:tcPr>
          <w:p w14:paraId="37DCB122" w14:textId="77777777" w:rsidR="00244BE0" w:rsidRPr="00A847B7" w:rsidRDefault="00244BE0" w:rsidP="00244BE0">
            <w:pPr>
              <w:spacing w:beforeAutospacing="1" w:after="100" w:afterAutospacing="1"/>
              <w:rPr>
                <w:rFonts w:cstheme="minorHAnsi"/>
              </w:rPr>
            </w:pPr>
            <w:r w:rsidRPr="00A847B7">
              <w:rPr>
                <w:rFonts w:cstheme="minorHAnsi"/>
              </w:rPr>
              <w:t xml:space="preserve">7 </w:t>
            </w:r>
          </w:p>
        </w:tc>
        <w:tc>
          <w:tcPr>
            <w:tcW w:w="2500" w:type="dxa"/>
          </w:tcPr>
          <w:p w14:paraId="28842737" w14:textId="77777777" w:rsidR="00244BE0" w:rsidRPr="00A847B7" w:rsidRDefault="00244BE0" w:rsidP="00244BE0">
            <w:pPr>
              <w:spacing w:beforeAutospacing="1" w:after="100" w:afterAutospacing="1"/>
              <w:rPr>
                <w:rFonts w:cstheme="minorHAnsi"/>
              </w:rPr>
            </w:pPr>
            <w:r w:rsidRPr="00A847B7">
              <w:rPr>
                <w:rFonts w:cstheme="minorHAnsi"/>
              </w:rPr>
              <w:t xml:space="preserve">4 000 </w:t>
            </w:r>
          </w:p>
        </w:tc>
      </w:tr>
      <w:tr w:rsidR="00244BE0" w:rsidRPr="00A847B7" w14:paraId="374E467F" w14:textId="77777777" w:rsidTr="00244BE0">
        <w:trPr>
          <w:trHeight w:val="109"/>
        </w:trPr>
        <w:tc>
          <w:tcPr>
            <w:tcW w:w="2500" w:type="dxa"/>
          </w:tcPr>
          <w:p w14:paraId="0ADBFA56" w14:textId="77777777" w:rsidR="00244BE0" w:rsidRPr="00A847B7" w:rsidRDefault="00244BE0" w:rsidP="00244BE0">
            <w:pPr>
              <w:spacing w:beforeAutospacing="1" w:after="100" w:afterAutospacing="1"/>
              <w:rPr>
                <w:rFonts w:cstheme="minorHAnsi"/>
              </w:rPr>
            </w:pPr>
            <w:r w:rsidRPr="00A847B7">
              <w:rPr>
                <w:rFonts w:cstheme="minorHAnsi"/>
              </w:rPr>
              <w:t xml:space="preserve">8 </w:t>
            </w:r>
          </w:p>
        </w:tc>
        <w:tc>
          <w:tcPr>
            <w:tcW w:w="2500" w:type="dxa"/>
          </w:tcPr>
          <w:p w14:paraId="341F7EBF" w14:textId="77777777" w:rsidR="00244BE0" w:rsidRPr="00A847B7" w:rsidRDefault="00244BE0" w:rsidP="00244BE0">
            <w:pPr>
              <w:spacing w:beforeAutospacing="1" w:after="100" w:afterAutospacing="1"/>
              <w:rPr>
                <w:rFonts w:cstheme="minorHAnsi"/>
              </w:rPr>
            </w:pPr>
            <w:r w:rsidRPr="00A847B7">
              <w:rPr>
                <w:rFonts w:cstheme="minorHAnsi"/>
              </w:rPr>
              <w:t xml:space="preserve">6 000 </w:t>
            </w:r>
          </w:p>
        </w:tc>
      </w:tr>
      <w:tr w:rsidR="00244BE0" w:rsidRPr="00A847B7" w14:paraId="20D22B67" w14:textId="77777777" w:rsidTr="00244BE0">
        <w:trPr>
          <w:trHeight w:val="109"/>
        </w:trPr>
        <w:tc>
          <w:tcPr>
            <w:tcW w:w="2500" w:type="dxa"/>
          </w:tcPr>
          <w:p w14:paraId="50F33932" w14:textId="77777777" w:rsidR="00244BE0" w:rsidRPr="00A847B7" w:rsidRDefault="00244BE0" w:rsidP="00244BE0">
            <w:pPr>
              <w:spacing w:beforeAutospacing="1" w:after="100" w:afterAutospacing="1"/>
              <w:rPr>
                <w:rFonts w:cstheme="minorHAnsi"/>
              </w:rPr>
            </w:pPr>
            <w:r w:rsidRPr="00A847B7">
              <w:rPr>
                <w:rFonts w:cstheme="minorHAnsi"/>
              </w:rPr>
              <w:t xml:space="preserve">9 </w:t>
            </w:r>
          </w:p>
        </w:tc>
        <w:tc>
          <w:tcPr>
            <w:tcW w:w="2500" w:type="dxa"/>
          </w:tcPr>
          <w:p w14:paraId="1DE622CF" w14:textId="77777777" w:rsidR="00244BE0" w:rsidRPr="00A847B7" w:rsidRDefault="00244BE0" w:rsidP="00244BE0">
            <w:pPr>
              <w:spacing w:beforeAutospacing="1" w:after="100" w:afterAutospacing="1"/>
              <w:rPr>
                <w:rFonts w:cstheme="minorHAnsi"/>
              </w:rPr>
            </w:pPr>
            <w:r w:rsidRPr="00A847B7">
              <w:rPr>
                <w:rFonts w:cstheme="minorHAnsi"/>
              </w:rPr>
              <w:t xml:space="preserve">7 000 </w:t>
            </w:r>
          </w:p>
        </w:tc>
      </w:tr>
      <w:tr w:rsidR="00244BE0" w:rsidRPr="00A847B7" w14:paraId="59D523E4" w14:textId="77777777" w:rsidTr="00244BE0">
        <w:trPr>
          <w:trHeight w:val="109"/>
        </w:trPr>
        <w:tc>
          <w:tcPr>
            <w:tcW w:w="2500" w:type="dxa"/>
          </w:tcPr>
          <w:p w14:paraId="39D7DDD8" w14:textId="77777777" w:rsidR="00244BE0" w:rsidRPr="00A847B7" w:rsidRDefault="00244BE0" w:rsidP="00244BE0">
            <w:pPr>
              <w:spacing w:beforeAutospacing="1" w:after="100" w:afterAutospacing="1"/>
              <w:rPr>
                <w:rFonts w:cstheme="minorHAnsi"/>
              </w:rPr>
            </w:pPr>
            <w:r w:rsidRPr="00A847B7">
              <w:rPr>
                <w:rFonts w:cstheme="minorHAnsi"/>
              </w:rPr>
              <w:t xml:space="preserve">10 </w:t>
            </w:r>
          </w:p>
        </w:tc>
        <w:tc>
          <w:tcPr>
            <w:tcW w:w="2500" w:type="dxa"/>
          </w:tcPr>
          <w:p w14:paraId="29666FA0" w14:textId="77777777" w:rsidR="00244BE0" w:rsidRPr="00A847B7" w:rsidRDefault="00244BE0" w:rsidP="00244BE0">
            <w:pPr>
              <w:spacing w:beforeAutospacing="1" w:after="100" w:afterAutospacing="1"/>
              <w:rPr>
                <w:rFonts w:cstheme="minorHAnsi"/>
              </w:rPr>
            </w:pPr>
            <w:r w:rsidRPr="00A847B7">
              <w:rPr>
                <w:rFonts w:cstheme="minorHAnsi"/>
              </w:rPr>
              <w:t xml:space="preserve">9 250 </w:t>
            </w:r>
          </w:p>
        </w:tc>
      </w:tr>
      <w:tr w:rsidR="00244BE0" w:rsidRPr="00A847B7" w14:paraId="48241E1C" w14:textId="77777777" w:rsidTr="00244BE0">
        <w:trPr>
          <w:trHeight w:val="109"/>
        </w:trPr>
        <w:tc>
          <w:tcPr>
            <w:tcW w:w="2500" w:type="dxa"/>
          </w:tcPr>
          <w:p w14:paraId="60CEC8B4" w14:textId="77777777" w:rsidR="00244BE0" w:rsidRPr="00A847B7" w:rsidRDefault="00244BE0" w:rsidP="00244BE0">
            <w:pPr>
              <w:spacing w:beforeAutospacing="1" w:after="100" w:afterAutospacing="1"/>
              <w:rPr>
                <w:rFonts w:cstheme="minorHAnsi"/>
              </w:rPr>
            </w:pPr>
            <w:r w:rsidRPr="00A847B7">
              <w:rPr>
                <w:rFonts w:cstheme="minorHAnsi"/>
              </w:rPr>
              <w:t xml:space="preserve">11 </w:t>
            </w:r>
          </w:p>
        </w:tc>
        <w:tc>
          <w:tcPr>
            <w:tcW w:w="2500" w:type="dxa"/>
          </w:tcPr>
          <w:p w14:paraId="77F68A4A" w14:textId="77777777" w:rsidR="00244BE0" w:rsidRPr="00A847B7" w:rsidRDefault="00244BE0" w:rsidP="00244BE0">
            <w:pPr>
              <w:spacing w:beforeAutospacing="1" w:after="100" w:afterAutospacing="1"/>
              <w:rPr>
                <w:rFonts w:cstheme="minorHAnsi"/>
              </w:rPr>
            </w:pPr>
            <w:r w:rsidRPr="00A847B7">
              <w:rPr>
                <w:rFonts w:cstheme="minorHAnsi"/>
              </w:rPr>
              <w:t xml:space="preserve">10 500 </w:t>
            </w:r>
          </w:p>
        </w:tc>
      </w:tr>
      <w:tr w:rsidR="00244BE0" w:rsidRPr="00A847B7" w14:paraId="6B9329EC" w14:textId="77777777" w:rsidTr="00244BE0">
        <w:trPr>
          <w:trHeight w:val="109"/>
        </w:trPr>
        <w:tc>
          <w:tcPr>
            <w:tcW w:w="2500" w:type="dxa"/>
          </w:tcPr>
          <w:p w14:paraId="2CA4014C" w14:textId="77777777" w:rsidR="00244BE0" w:rsidRPr="00A847B7" w:rsidRDefault="00244BE0" w:rsidP="00244BE0">
            <w:pPr>
              <w:spacing w:beforeAutospacing="1" w:after="100" w:afterAutospacing="1"/>
              <w:rPr>
                <w:rFonts w:cstheme="minorHAnsi"/>
              </w:rPr>
            </w:pPr>
            <w:r w:rsidRPr="00A847B7">
              <w:rPr>
                <w:rFonts w:cstheme="minorHAnsi"/>
              </w:rPr>
              <w:lastRenderedPageBreak/>
              <w:t xml:space="preserve">12 </w:t>
            </w:r>
          </w:p>
        </w:tc>
        <w:tc>
          <w:tcPr>
            <w:tcW w:w="2500" w:type="dxa"/>
          </w:tcPr>
          <w:p w14:paraId="2AD29461" w14:textId="77777777" w:rsidR="00244BE0" w:rsidRPr="00A847B7" w:rsidRDefault="00244BE0" w:rsidP="00244BE0">
            <w:pPr>
              <w:spacing w:beforeAutospacing="1" w:after="100" w:afterAutospacing="1"/>
              <w:rPr>
                <w:rFonts w:cstheme="minorHAnsi"/>
              </w:rPr>
            </w:pPr>
            <w:r w:rsidRPr="00A847B7">
              <w:rPr>
                <w:rFonts w:cstheme="minorHAnsi"/>
              </w:rPr>
              <w:t xml:space="preserve">12 500 </w:t>
            </w:r>
          </w:p>
        </w:tc>
      </w:tr>
      <w:tr w:rsidR="00244BE0" w:rsidRPr="00A847B7" w14:paraId="096486B3" w14:textId="77777777" w:rsidTr="00244BE0">
        <w:trPr>
          <w:trHeight w:val="109"/>
        </w:trPr>
        <w:tc>
          <w:tcPr>
            <w:tcW w:w="2500" w:type="dxa"/>
          </w:tcPr>
          <w:p w14:paraId="07BC3707" w14:textId="77777777" w:rsidR="00244BE0" w:rsidRPr="00A847B7" w:rsidRDefault="00244BE0" w:rsidP="00244BE0">
            <w:pPr>
              <w:spacing w:beforeAutospacing="1" w:after="100" w:afterAutospacing="1"/>
              <w:rPr>
                <w:rFonts w:cstheme="minorHAnsi"/>
              </w:rPr>
            </w:pPr>
            <w:r w:rsidRPr="00A847B7">
              <w:rPr>
                <w:rFonts w:cstheme="minorHAnsi"/>
              </w:rPr>
              <w:t xml:space="preserve">13 </w:t>
            </w:r>
          </w:p>
        </w:tc>
        <w:tc>
          <w:tcPr>
            <w:tcW w:w="2500" w:type="dxa"/>
          </w:tcPr>
          <w:p w14:paraId="5A97B76C" w14:textId="77777777" w:rsidR="00244BE0" w:rsidRPr="00A847B7" w:rsidRDefault="00244BE0" w:rsidP="00244BE0">
            <w:pPr>
              <w:spacing w:beforeAutospacing="1" w:after="100" w:afterAutospacing="1"/>
              <w:rPr>
                <w:rFonts w:cstheme="minorHAnsi"/>
              </w:rPr>
            </w:pPr>
            <w:r w:rsidRPr="00A847B7">
              <w:rPr>
                <w:rFonts w:cstheme="minorHAnsi"/>
              </w:rPr>
              <w:t xml:space="preserve">13 500 </w:t>
            </w:r>
          </w:p>
        </w:tc>
      </w:tr>
      <w:tr w:rsidR="00244BE0" w:rsidRPr="00A847B7" w14:paraId="3F6A9F12" w14:textId="77777777" w:rsidTr="00244BE0">
        <w:trPr>
          <w:trHeight w:val="109"/>
        </w:trPr>
        <w:tc>
          <w:tcPr>
            <w:tcW w:w="2500" w:type="dxa"/>
          </w:tcPr>
          <w:p w14:paraId="70903A0C" w14:textId="77777777" w:rsidR="00244BE0" w:rsidRPr="00A847B7" w:rsidRDefault="00244BE0" w:rsidP="00244BE0">
            <w:pPr>
              <w:spacing w:beforeAutospacing="1" w:after="100" w:afterAutospacing="1"/>
              <w:rPr>
                <w:rFonts w:cstheme="minorHAnsi"/>
              </w:rPr>
            </w:pPr>
            <w:r w:rsidRPr="00A847B7">
              <w:rPr>
                <w:rFonts w:cstheme="minorHAnsi"/>
              </w:rPr>
              <w:t xml:space="preserve">14 </w:t>
            </w:r>
          </w:p>
        </w:tc>
        <w:tc>
          <w:tcPr>
            <w:tcW w:w="2500" w:type="dxa"/>
          </w:tcPr>
          <w:p w14:paraId="680FC0F6" w14:textId="77777777" w:rsidR="00244BE0" w:rsidRPr="00A847B7" w:rsidRDefault="00244BE0" w:rsidP="00244BE0">
            <w:pPr>
              <w:spacing w:beforeAutospacing="1" w:after="100" w:afterAutospacing="1"/>
              <w:rPr>
                <w:rFonts w:cstheme="minorHAnsi"/>
              </w:rPr>
            </w:pPr>
            <w:r w:rsidRPr="00A847B7">
              <w:rPr>
                <w:rFonts w:cstheme="minorHAnsi"/>
              </w:rPr>
              <w:t xml:space="preserve">15 625 </w:t>
            </w:r>
          </w:p>
        </w:tc>
      </w:tr>
      <w:tr w:rsidR="00244BE0" w:rsidRPr="00A847B7" w14:paraId="57A8A395" w14:textId="77777777" w:rsidTr="00244BE0">
        <w:trPr>
          <w:trHeight w:val="109"/>
        </w:trPr>
        <w:tc>
          <w:tcPr>
            <w:tcW w:w="2500" w:type="dxa"/>
          </w:tcPr>
          <w:p w14:paraId="7865391F" w14:textId="77777777" w:rsidR="00244BE0" w:rsidRPr="00A847B7" w:rsidRDefault="00244BE0" w:rsidP="00244BE0">
            <w:pPr>
              <w:spacing w:beforeAutospacing="1" w:after="100" w:afterAutospacing="1"/>
              <w:rPr>
                <w:rFonts w:cstheme="minorHAnsi"/>
              </w:rPr>
            </w:pPr>
            <w:r w:rsidRPr="00A847B7">
              <w:rPr>
                <w:rFonts w:cstheme="minorHAnsi"/>
              </w:rPr>
              <w:t xml:space="preserve">15 </w:t>
            </w:r>
          </w:p>
        </w:tc>
        <w:tc>
          <w:tcPr>
            <w:tcW w:w="2500" w:type="dxa"/>
          </w:tcPr>
          <w:p w14:paraId="5E4D5452" w14:textId="77777777" w:rsidR="00244BE0" w:rsidRPr="00A847B7" w:rsidRDefault="00244BE0" w:rsidP="00244BE0">
            <w:pPr>
              <w:spacing w:beforeAutospacing="1" w:after="100" w:afterAutospacing="1"/>
              <w:rPr>
                <w:rFonts w:cstheme="minorHAnsi"/>
              </w:rPr>
            </w:pPr>
            <w:r w:rsidRPr="00A847B7">
              <w:rPr>
                <w:rFonts w:cstheme="minorHAnsi"/>
              </w:rPr>
              <w:t xml:space="preserve">16 500 </w:t>
            </w:r>
          </w:p>
        </w:tc>
      </w:tr>
      <w:tr w:rsidR="00244BE0" w:rsidRPr="00A847B7" w14:paraId="53085EDF" w14:textId="77777777" w:rsidTr="00244BE0">
        <w:trPr>
          <w:trHeight w:val="109"/>
        </w:trPr>
        <w:tc>
          <w:tcPr>
            <w:tcW w:w="2500" w:type="dxa"/>
          </w:tcPr>
          <w:p w14:paraId="7B986424" w14:textId="77777777" w:rsidR="00244BE0" w:rsidRPr="00A847B7" w:rsidRDefault="00244BE0" w:rsidP="00244BE0">
            <w:pPr>
              <w:spacing w:beforeAutospacing="1" w:after="100" w:afterAutospacing="1"/>
              <w:rPr>
                <w:rFonts w:cstheme="minorHAnsi"/>
              </w:rPr>
            </w:pPr>
            <w:r w:rsidRPr="00A847B7">
              <w:rPr>
                <w:rFonts w:cstheme="minorHAnsi"/>
              </w:rPr>
              <w:t xml:space="preserve">16 </w:t>
            </w:r>
          </w:p>
        </w:tc>
        <w:tc>
          <w:tcPr>
            <w:tcW w:w="2500" w:type="dxa"/>
          </w:tcPr>
          <w:p w14:paraId="2046B131" w14:textId="77777777" w:rsidR="00244BE0" w:rsidRPr="00A847B7" w:rsidRDefault="00244BE0" w:rsidP="00244BE0">
            <w:pPr>
              <w:spacing w:beforeAutospacing="1" w:after="100" w:afterAutospacing="1"/>
              <w:rPr>
                <w:rFonts w:cstheme="minorHAnsi"/>
              </w:rPr>
            </w:pPr>
            <w:r w:rsidRPr="00A847B7">
              <w:rPr>
                <w:rFonts w:cstheme="minorHAnsi"/>
              </w:rPr>
              <w:t xml:space="preserve">19 250 </w:t>
            </w:r>
          </w:p>
        </w:tc>
      </w:tr>
      <w:tr w:rsidR="00244BE0" w:rsidRPr="00A847B7" w14:paraId="330EFED5" w14:textId="77777777" w:rsidTr="00244BE0">
        <w:trPr>
          <w:trHeight w:val="109"/>
        </w:trPr>
        <w:tc>
          <w:tcPr>
            <w:tcW w:w="2500" w:type="dxa"/>
          </w:tcPr>
          <w:p w14:paraId="032C6217" w14:textId="77777777" w:rsidR="00244BE0" w:rsidRPr="00A847B7" w:rsidRDefault="00244BE0" w:rsidP="00244BE0">
            <w:pPr>
              <w:spacing w:beforeAutospacing="1" w:after="100" w:afterAutospacing="1"/>
              <w:rPr>
                <w:rFonts w:cstheme="minorHAnsi"/>
              </w:rPr>
            </w:pPr>
            <w:r w:rsidRPr="00A847B7">
              <w:rPr>
                <w:rFonts w:cstheme="minorHAnsi"/>
              </w:rPr>
              <w:t xml:space="preserve">17 </w:t>
            </w:r>
          </w:p>
        </w:tc>
        <w:tc>
          <w:tcPr>
            <w:tcW w:w="2500" w:type="dxa"/>
          </w:tcPr>
          <w:p w14:paraId="58BBADFF" w14:textId="77777777" w:rsidR="00244BE0" w:rsidRPr="00A847B7" w:rsidRDefault="00244BE0" w:rsidP="00244BE0">
            <w:pPr>
              <w:spacing w:beforeAutospacing="1" w:after="100" w:afterAutospacing="1"/>
              <w:rPr>
                <w:rFonts w:cstheme="minorHAnsi"/>
              </w:rPr>
            </w:pPr>
            <w:r w:rsidRPr="00A847B7">
              <w:rPr>
                <w:rFonts w:cstheme="minorHAnsi"/>
              </w:rPr>
              <w:t xml:space="preserve">21 000 </w:t>
            </w:r>
          </w:p>
        </w:tc>
      </w:tr>
      <w:tr w:rsidR="00244BE0" w:rsidRPr="00A847B7" w14:paraId="0DD36135" w14:textId="77777777" w:rsidTr="00244BE0">
        <w:trPr>
          <w:trHeight w:val="109"/>
        </w:trPr>
        <w:tc>
          <w:tcPr>
            <w:tcW w:w="2500" w:type="dxa"/>
          </w:tcPr>
          <w:p w14:paraId="61531123" w14:textId="77777777" w:rsidR="00244BE0" w:rsidRPr="00A847B7" w:rsidRDefault="00244BE0" w:rsidP="00244BE0">
            <w:pPr>
              <w:spacing w:beforeAutospacing="1" w:after="100" w:afterAutospacing="1"/>
              <w:rPr>
                <w:rFonts w:cstheme="minorHAnsi"/>
              </w:rPr>
            </w:pPr>
            <w:r w:rsidRPr="00A847B7">
              <w:rPr>
                <w:rFonts w:cstheme="minorHAnsi"/>
              </w:rPr>
              <w:t xml:space="preserve">18 </w:t>
            </w:r>
          </w:p>
        </w:tc>
        <w:tc>
          <w:tcPr>
            <w:tcW w:w="2500" w:type="dxa"/>
          </w:tcPr>
          <w:p w14:paraId="4AC54ACC" w14:textId="77777777" w:rsidR="00244BE0" w:rsidRPr="00A847B7" w:rsidRDefault="00244BE0" w:rsidP="00244BE0">
            <w:pPr>
              <w:spacing w:beforeAutospacing="1" w:after="100" w:afterAutospacing="1"/>
              <w:rPr>
                <w:rFonts w:cstheme="minorHAnsi"/>
              </w:rPr>
            </w:pPr>
            <w:r w:rsidRPr="00A847B7">
              <w:rPr>
                <w:rFonts w:cstheme="minorHAnsi"/>
              </w:rPr>
              <w:t xml:space="preserve">23 500 </w:t>
            </w:r>
          </w:p>
        </w:tc>
      </w:tr>
      <w:tr w:rsidR="00244BE0" w:rsidRPr="00A847B7" w14:paraId="23191D76" w14:textId="77777777" w:rsidTr="00244BE0">
        <w:trPr>
          <w:trHeight w:val="109"/>
        </w:trPr>
        <w:tc>
          <w:tcPr>
            <w:tcW w:w="2500" w:type="dxa"/>
          </w:tcPr>
          <w:p w14:paraId="0144F3B7" w14:textId="77777777" w:rsidR="00244BE0" w:rsidRPr="00A847B7" w:rsidRDefault="00244BE0" w:rsidP="00244BE0">
            <w:pPr>
              <w:spacing w:beforeAutospacing="1" w:after="100" w:afterAutospacing="1"/>
              <w:rPr>
                <w:rFonts w:cstheme="minorHAnsi"/>
              </w:rPr>
            </w:pPr>
            <w:r w:rsidRPr="00A847B7">
              <w:rPr>
                <w:rFonts w:cstheme="minorHAnsi"/>
              </w:rPr>
              <w:t xml:space="preserve">19 </w:t>
            </w:r>
          </w:p>
        </w:tc>
        <w:tc>
          <w:tcPr>
            <w:tcW w:w="2500" w:type="dxa"/>
          </w:tcPr>
          <w:p w14:paraId="4D467591" w14:textId="77777777" w:rsidR="00244BE0" w:rsidRPr="00A847B7" w:rsidRDefault="00244BE0" w:rsidP="00244BE0">
            <w:pPr>
              <w:spacing w:beforeAutospacing="1" w:after="100" w:afterAutospacing="1"/>
              <w:rPr>
                <w:rFonts w:cstheme="minorHAnsi"/>
              </w:rPr>
            </w:pPr>
            <w:r w:rsidRPr="00A847B7">
              <w:rPr>
                <w:rFonts w:cstheme="minorHAnsi"/>
              </w:rPr>
              <w:t xml:space="preserve">26 000 </w:t>
            </w:r>
          </w:p>
        </w:tc>
      </w:tr>
      <w:tr w:rsidR="00244BE0" w:rsidRPr="00A847B7" w14:paraId="4FF445F1" w14:textId="77777777" w:rsidTr="00244BE0">
        <w:trPr>
          <w:trHeight w:val="109"/>
        </w:trPr>
        <w:tc>
          <w:tcPr>
            <w:tcW w:w="2500" w:type="dxa"/>
          </w:tcPr>
          <w:p w14:paraId="158BF862" w14:textId="77777777" w:rsidR="00244BE0" w:rsidRPr="00A847B7" w:rsidRDefault="00244BE0" w:rsidP="00244BE0">
            <w:pPr>
              <w:spacing w:beforeAutospacing="1" w:after="100" w:afterAutospacing="1"/>
              <w:rPr>
                <w:rFonts w:cstheme="minorHAnsi"/>
              </w:rPr>
            </w:pPr>
            <w:r w:rsidRPr="00A847B7">
              <w:rPr>
                <w:rFonts w:cstheme="minorHAnsi"/>
              </w:rPr>
              <w:t xml:space="preserve">20 </w:t>
            </w:r>
          </w:p>
        </w:tc>
        <w:tc>
          <w:tcPr>
            <w:tcW w:w="2500" w:type="dxa"/>
          </w:tcPr>
          <w:p w14:paraId="35C48A24" w14:textId="77777777" w:rsidR="00244BE0" w:rsidRPr="00A847B7" w:rsidRDefault="00244BE0" w:rsidP="00244BE0">
            <w:pPr>
              <w:spacing w:beforeAutospacing="1" w:after="100" w:afterAutospacing="1"/>
              <w:rPr>
                <w:rFonts w:cstheme="minorHAnsi"/>
              </w:rPr>
            </w:pPr>
            <w:r w:rsidRPr="00A847B7">
              <w:rPr>
                <w:rFonts w:cstheme="minorHAnsi"/>
              </w:rPr>
              <w:t xml:space="preserve">28 500 </w:t>
            </w:r>
          </w:p>
        </w:tc>
      </w:tr>
      <w:tr w:rsidR="00244BE0" w:rsidRPr="00A847B7" w14:paraId="140AEF32" w14:textId="77777777" w:rsidTr="00244BE0">
        <w:trPr>
          <w:trHeight w:val="109"/>
        </w:trPr>
        <w:tc>
          <w:tcPr>
            <w:tcW w:w="2500" w:type="dxa"/>
          </w:tcPr>
          <w:p w14:paraId="692C1799" w14:textId="77777777" w:rsidR="00244BE0" w:rsidRPr="00A847B7" w:rsidRDefault="00244BE0" w:rsidP="00244BE0">
            <w:pPr>
              <w:spacing w:beforeAutospacing="1" w:after="100" w:afterAutospacing="1"/>
              <w:rPr>
                <w:rFonts w:cstheme="minorHAnsi"/>
              </w:rPr>
            </w:pPr>
            <w:r w:rsidRPr="00A847B7">
              <w:rPr>
                <w:rFonts w:cstheme="minorHAnsi"/>
              </w:rPr>
              <w:t xml:space="preserve">21 </w:t>
            </w:r>
          </w:p>
        </w:tc>
        <w:tc>
          <w:tcPr>
            <w:tcW w:w="2500" w:type="dxa"/>
          </w:tcPr>
          <w:p w14:paraId="5B923BBF" w14:textId="77777777" w:rsidR="00244BE0" w:rsidRPr="00A847B7" w:rsidRDefault="00244BE0" w:rsidP="00244BE0">
            <w:pPr>
              <w:spacing w:beforeAutospacing="1" w:after="100" w:afterAutospacing="1"/>
              <w:rPr>
                <w:rFonts w:cstheme="minorHAnsi"/>
              </w:rPr>
            </w:pPr>
            <w:r w:rsidRPr="00A847B7">
              <w:rPr>
                <w:rFonts w:cstheme="minorHAnsi"/>
              </w:rPr>
              <w:t xml:space="preserve">31 000 </w:t>
            </w:r>
          </w:p>
        </w:tc>
      </w:tr>
      <w:tr w:rsidR="00244BE0" w:rsidRPr="00A847B7" w14:paraId="12583798" w14:textId="77777777" w:rsidTr="00244BE0">
        <w:trPr>
          <w:trHeight w:val="109"/>
        </w:trPr>
        <w:tc>
          <w:tcPr>
            <w:tcW w:w="2500" w:type="dxa"/>
          </w:tcPr>
          <w:p w14:paraId="02871EB8" w14:textId="77777777" w:rsidR="00244BE0" w:rsidRPr="00A847B7" w:rsidRDefault="00244BE0" w:rsidP="00244BE0">
            <w:pPr>
              <w:spacing w:beforeAutospacing="1" w:after="100" w:afterAutospacing="1"/>
              <w:rPr>
                <w:rFonts w:cstheme="minorHAnsi"/>
              </w:rPr>
            </w:pPr>
            <w:r w:rsidRPr="00A847B7">
              <w:rPr>
                <w:rFonts w:cstheme="minorHAnsi"/>
              </w:rPr>
              <w:t xml:space="preserve">22 </w:t>
            </w:r>
          </w:p>
        </w:tc>
        <w:tc>
          <w:tcPr>
            <w:tcW w:w="2500" w:type="dxa"/>
          </w:tcPr>
          <w:p w14:paraId="14B22C3F" w14:textId="77777777" w:rsidR="00244BE0" w:rsidRPr="00A847B7" w:rsidRDefault="00244BE0" w:rsidP="00244BE0">
            <w:pPr>
              <w:spacing w:beforeAutospacing="1" w:after="100" w:afterAutospacing="1"/>
              <w:rPr>
                <w:rFonts w:cstheme="minorHAnsi"/>
              </w:rPr>
            </w:pPr>
            <w:r w:rsidRPr="00A847B7">
              <w:rPr>
                <w:rFonts w:cstheme="minorHAnsi"/>
              </w:rPr>
              <w:t xml:space="preserve">33 500 </w:t>
            </w:r>
          </w:p>
        </w:tc>
      </w:tr>
      <w:tr w:rsidR="00244BE0" w:rsidRPr="00A847B7" w14:paraId="50AFA0B5" w14:textId="77777777" w:rsidTr="00244BE0">
        <w:trPr>
          <w:trHeight w:val="109"/>
        </w:trPr>
        <w:tc>
          <w:tcPr>
            <w:tcW w:w="2500" w:type="dxa"/>
          </w:tcPr>
          <w:p w14:paraId="5D59905E" w14:textId="77777777" w:rsidR="00244BE0" w:rsidRPr="00A847B7" w:rsidRDefault="00244BE0" w:rsidP="00244BE0">
            <w:pPr>
              <w:spacing w:beforeAutospacing="1" w:after="100" w:afterAutospacing="1"/>
              <w:rPr>
                <w:rFonts w:cstheme="minorHAnsi"/>
              </w:rPr>
            </w:pPr>
            <w:r w:rsidRPr="00A847B7">
              <w:rPr>
                <w:rFonts w:cstheme="minorHAnsi"/>
              </w:rPr>
              <w:t xml:space="preserve">23 </w:t>
            </w:r>
          </w:p>
        </w:tc>
        <w:tc>
          <w:tcPr>
            <w:tcW w:w="2500" w:type="dxa"/>
          </w:tcPr>
          <w:p w14:paraId="5004514C" w14:textId="77777777" w:rsidR="00244BE0" w:rsidRPr="00A847B7" w:rsidRDefault="00244BE0" w:rsidP="00244BE0">
            <w:pPr>
              <w:spacing w:beforeAutospacing="1" w:after="100" w:afterAutospacing="1"/>
              <w:rPr>
                <w:rFonts w:cstheme="minorHAnsi"/>
              </w:rPr>
            </w:pPr>
            <w:r w:rsidRPr="00A847B7">
              <w:rPr>
                <w:rFonts w:cstheme="minorHAnsi"/>
              </w:rPr>
              <w:t xml:space="preserve">36 000 </w:t>
            </w:r>
          </w:p>
        </w:tc>
      </w:tr>
      <w:tr w:rsidR="00244BE0" w:rsidRPr="00A847B7" w14:paraId="5ACDAD8F" w14:textId="77777777" w:rsidTr="00244BE0">
        <w:trPr>
          <w:trHeight w:val="109"/>
        </w:trPr>
        <w:tc>
          <w:tcPr>
            <w:tcW w:w="2500" w:type="dxa"/>
          </w:tcPr>
          <w:p w14:paraId="7CB52042" w14:textId="77777777" w:rsidR="00244BE0" w:rsidRPr="00A847B7" w:rsidRDefault="00244BE0" w:rsidP="00244BE0">
            <w:pPr>
              <w:spacing w:beforeAutospacing="1" w:after="100" w:afterAutospacing="1"/>
              <w:rPr>
                <w:rFonts w:cstheme="minorHAnsi"/>
              </w:rPr>
            </w:pPr>
            <w:r w:rsidRPr="00A847B7">
              <w:rPr>
                <w:rFonts w:cstheme="minorHAnsi"/>
              </w:rPr>
              <w:t xml:space="preserve">24 </w:t>
            </w:r>
          </w:p>
        </w:tc>
        <w:tc>
          <w:tcPr>
            <w:tcW w:w="2500" w:type="dxa"/>
          </w:tcPr>
          <w:p w14:paraId="4BA38261" w14:textId="77777777" w:rsidR="00244BE0" w:rsidRPr="00A847B7" w:rsidRDefault="00244BE0" w:rsidP="00244BE0">
            <w:pPr>
              <w:spacing w:beforeAutospacing="1" w:after="100" w:afterAutospacing="1"/>
              <w:rPr>
                <w:rFonts w:cstheme="minorHAnsi"/>
              </w:rPr>
            </w:pPr>
            <w:r w:rsidRPr="00A847B7">
              <w:rPr>
                <w:rFonts w:cstheme="minorHAnsi"/>
              </w:rPr>
              <w:t xml:space="preserve">38 500 </w:t>
            </w:r>
          </w:p>
        </w:tc>
      </w:tr>
      <w:tr w:rsidR="00244BE0" w:rsidRPr="00A847B7" w14:paraId="7BF9D999" w14:textId="77777777" w:rsidTr="00244BE0">
        <w:trPr>
          <w:trHeight w:val="109"/>
        </w:trPr>
        <w:tc>
          <w:tcPr>
            <w:tcW w:w="2500" w:type="dxa"/>
          </w:tcPr>
          <w:p w14:paraId="1F883D7D" w14:textId="77777777" w:rsidR="00244BE0" w:rsidRPr="00A847B7" w:rsidRDefault="00244BE0" w:rsidP="00244BE0">
            <w:pPr>
              <w:spacing w:beforeAutospacing="1" w:after="100" w:afterAutospacing="1"/>
              <w:rPr>
                <w:rFonts w:cstheme="minorHAnsi"/>
              </w:rPr>
            </w:pPr>
            <w:r w:rsidRPr="00A847B7">
              <w:rPr>
                <w:rFonts w:cstheme="minorHAnsi"/>
              </w:rPr>
              <w:t xml:space="preserve">à partir de 25 </w:t>
            </w:r>
          </w:p>
        </w:tc>
        <w:tc>
          <w:tcPr>
            <w:tcW w:w="2500" w:type="dxa"/>
          </w:tcPr>
          <w:p w14:paraId="48ABA586" w14:textId="77777777" w:rsidR="00244BE0" w:rsidRPr="00A847B7" w:rsidRDefault="00244BE0" w:rsidP="00244BE0">
            <w:pPr>
              <w:spacing w:beforeAutospacing="1" w:after="100" w:afterAutospacing="1"/>
              <w:rPr>
                <w:rFonts w:cstheme="minorHAnsi"/>
              </w:rPr>
            </w:pPr>
            <w:r w:rsidRPr="00A847B7">
              <w:rPr>
                <w:rFonts w:cstheme="minorHAnsi"/>
              </w:rPr>
              <w:t xml:space="preserve">40 000 </w:t>
            </w:r>
          </w:p>
        </w:tc>
      </w:tr>
    </w:tbl>
    <w:p w14:paraId="159B3D55" w14:textId="12B3824D" w:rsidR="00B21F1D" w:rsidRPr="00A847B7" w:rsidRDefault="00B21F1D" w:rsidP="00EE0687">
      <w:pPr>
        <w:pStyle w:val="Paragraphedeliste"/>
        <w:numPr>
          <w:ilvl w:val="0"/>
          <w:numId w:val="86"/>
        </w:numPr>
        <w:spacing w:beforeAutospacing="1" w:after="100" w:afterAutospacing="1"/>
        <w:rPr>
          <w:rFonts w:cstheme="minorHAnsi"/>
        </w:rPr>
      </w:pPr>
      <w:r w:rsidRPr="00A847B7">
        <w:rPr>
          <w:rFonts w:cstheme="minorHAnsi"/>
          <w:b/>
          <w:bCs/>
          <w:i/>
          <w:iCs/>
          <w:u w:val="single"/>
        </w:rPr>
        <w:t xml:space="preserve">Taxe sur </w:t>
      </w:r>
      <w:r w:rsidR="000D683F">
        <w:rPr>
          <w:rFonts w:cstheme="minorHAnsi"/>
          <w:b/>
          <w:bCs/>
          <w:i/>
          <w:iCs/>
          <w:u w:val="single"/>
        </w:rPr>
        <w:t>la masse</w:t>
      </w:r>
      <w:r w:rsidR="00E20DA9" w:rsidRPr="00A847B7">
        <w:rPr>
          <w:rFonts w:cstheme="minorHAnsi"/>
          <w:b/>
          <w:bCs/>
          <w:i/>
          <w:iCs/>
          <w:u w:val="single"/>
        </w:rPr>
        <w:t xml:space="preserve"> en ordre de marche</w:t>
      </w:r>
      <w:r w:rsidR="000D683F">
        <w:rPr>
          <w:rFonts w:cstheme="minorHAnsi"/>
          <w:b/>
          <w:bCs/>
          <w:i/>
          <w:iCs/>
          <w:u w:val="single"/>
        </w:rPr>
        <w:t xml:space="preserve"> des véhicules</w:t>
      </w:r>
    </w:p>
    <w:p w14:paraId="59077CFB" w14:textId="04563ACB" w:rsidR="00ED593E" w:rsidRPr="00A847B7" w:rsidRDefault="00E20DA9" w:rsidP="00C63330">
      <w:pPr>
        <w:spacing w:beforeAutospacing="1" w:after="100" w:afterAutospacing="1"/>
        <w:rPr>
          <w:rFonts w:cstheme="minorHAnsi"/>
        </w:rPr>
      </w:pPr>
      <w:r w:rsidRPr="00A847B7">
        <w:rPr>
          <w:rFonts w:cstheme="minorHAnsi"/>
        </w:rPr>
        <w:t xml:space="preserve">La Loi de Finances pour 2021 vient </w:t>
      </w:r>
      <w:r w:rsidR="00140989" w:rsidRPr="00A847B7">
        <w:rPr>
          <w:rFonts w:cstheme="minorHAnsi"/>
        </w:rPr>
        <w:t xml:space="preserve">compléter le malus par une nouvelle taxe, </w:t>
      </w:r>
      <w:r w:rsidR="00ED593E" w:rsidRPr="00A847B7">
        <w:rPr>
          <w:rFonts w:cstheme="minorHAnsi"/>
        </w:rPr>
        <w:t>applicable à compter du 1</w:t>
      </w:r>
      <w:r w:rsidR="00ED593E" w:rsidRPr="00A847B7">
        <w:rPr>
          <w:rFonts w:cstheme="minorHAnsi"/>
          <w:vertAlign w:val="superscript"/>
        </w:rPr>
        <w:t>er</w:t>
      </w:r>
      <w:r w:rsidR="00ED593E" w:rsidRPr="00A847B7">
        <w:rPr>
          <w:rFonts w:cstheme="minorHAnsi"/>
        </w:rPr>
        <w:t xml:space="preserve"> janvier 2022 : la taxe sur la masse en ordre de marche des véhicules de tourisme.</w:t>
      </w:r>
    </w:p>
    <w:p w14:paraId="030A5175" w14:textId="591FF88A" w:rsidR="00E20DA9" w:rsidRPr="00A847B7" w:rsidRDefault="0053577C" w:rsidP="00C63330">
      <w:pPr>
        <w:spacing w:beforeAutospacing="1" w:after="100" w:afterAutospacing="1"/>
        <w:rPr>
          <w:rFonts w:cstheme="minorHAnsi"/>
        </w:rPr>
      </w:pPr>
      <w:r w:rsidRPr="00A847B7">
        <w:rPr>
          <w:rFonts w:cstheme="minorHAnsi"/>
        </w:rPr>
        <w:t>Cette taxe s’applique aux véhicules de tourisme, lors de leur 1</w:t>
      </w:r>
      <w:r w:rsidRPr="00A847B7">
        <w:rPr>
          <w:rFonts w:cstheme="minorHAnsi"/>
          <w:vertAlign w:val="superscript"/>
        </w:rPr>
        <w:t>ère</w:t>
      </w:r>
      <w:r w:rsidRPr="00A847B7">
        <w:rPr>
          <w:rFonts w:cstheme="minorHAnsi"/>
        </w:rPr>
        <w:t xml:space="preserve"> immatriculation en France. Si au moment de leur 1</w:t>
      </w:r>
      <w:r w:rsidRPr="00A847B7">
        <w:rPr>
          <w:rFonts w:cstheme="minorHAnsi"/>
          <w:vertAlign w:val="superscript"/>
        </w:rPr>
        <w:t>ère</w:t>
      </w:r>
      <w:r w:rsidRPr="00A847B7">
        <w:rPr>
          <w:rFonts w:cstheme="minorHAnsi"/>
        </w:rPr>
        <w:t xml:space="preserve"> immatriculation, les véhicules en question ne sont pas des véhicules de tourisme, ou sont des véhicules de tourisme exonérés, </w:t>
      </w:r>
      <w:r w:rsidR="00F21101" w:rsidRPr="00A847B7">
        <w:rPr>
          <w:rFonts w:cstheme="minorHAnsi"/>
        </w:rPr>
        <w:t>cette taxe s’appliquera lors de l’immatriculation consécutive à la 1</w:t>
      </w:r>
      <w:r w:rsidR="00F21101" w:rsidRPr="00A847B7">
        <w:rPr>
          <w:rFonts w:cstheme="minorHAnsi"/>
          <w:vertAlign w:val="superscript"/>
        </w:rPr>
        <w:t>ère</w:t>
      </w:r>
      <w:r w:rsidR="00F21101" w:rsidRPr="00A847B7">
        <w:rPr>
          <w:rFonts w:cstheme="minorHAnsi"/>
        </w:rPr>
        <w:t xml:space="preserve"> modification de leurs caractéristiques techniques les faisant répondre à la définition d’un véhicule de tourisme, ou leur faisant perdre le bénéfice d’une exonération.</w:t>
      </w:r>
    </w:p>
    <w:p w14:paraId="0C3749A9" w14:textId="65B207C3" w:rsidR="00604A38" w:rsidRPr="00A847B7" w:rsidRDefault="00604A38" w:rsidP="00C63330">
      <w:pPr>
        <w:spacing w:beforeAutospacing="1" w:after="100" w:afterAutospacing="1"/>
        <w:rPr>
          <w:rFonts w:cstheme="minorHAnsi"/>
        </w:rPr>
      </w:pPr>
      <w:r w:rsidRPr="00A847B7">
        <w:rPr>
          <w:rFonts w:cstheme="minorHAnsi"/>
        </w:rPr>
        <w:t xml:space="preserve">La « masse en ordre de marche » s’entend : </w:t>
      </w:r>
    </w:p>
    <w:p w14:paraId="1B658A98" w14:textId="2C1D8062" w:rsidR="00604A38" w:rsidRPr="00A847B7" w:rsidRDefault="00604A38" w:rsidP="00EE0687">
      <w:pPr>
        <w:pStyle w:val="Paragraphedeliste"/>
        <w:numPr>
          <w:ilvl w:val="0"/>
          <w:numId w:val="69"/>
        </w:numPr>
        <w:spacing w:beforeAutospacing="1" w:after="100" w:afterAutospacing="1"/>
        <w:rPr>
          <w:rFonts w:cstheme="minorHAnsi"/>
        </w:rPr>
      </w:pPr>
      <w:r w:rsidRPr="00A847B7">
        <w:rPr>
          <w:rFonts w:cstheme="minorHAnsi"/>
        </w:rPr>
        <w:t>dans le cas d’un véhicule à moteur, de la masse du véhicule, le ou les réservoirs de carburant étant remplis au moins à 90 % de leur capacité, y compris la masse du conducteur, du carburant et des liquides, pourvu de l’équipement standard conformément aux spécifications du constructeur et, le cas échéant, la masse de la carrosserie, de la cabine, de l’attelage, de la ou des roues de secours ainsi que des outils;</w:t>
      </w:r>
    </w:p>
    <w:p w14:paraId="3B2A5592" w14:textId="209CF4AF" w:rsidR="00604A38" w:rsidRPr="00A847B7" w:rsidRDefault="00604A38" w:rsidP="00EE0687">
      <w:pPr>
        <w:pStyle w:val="Paragraphedeliste"/>
        <w:numPr>
          <w:ilvl w:val="0"/>
          <w:numId w:val="69"/>
        </w:numPr>
        <w:spacing w:beforeAutospacing="1" w:after="100" w:afterAutospacing="1"/>
        <w:rPr>
          <w:rFonts w:cstheme="minorHAnsi"/>
        </w:rPr>
      </w:pPr>
      <w:r w:rsidRPr="00A847B7">
        <w:rPr>
          <w:rFonts w:cstheme="minorHAnsi"/>
        </w:rPr>
        <w:t>dans le cas d’une remorque, de la masse du véhicule, y compris le carburant et les liquides, pourvu de l’équipement standard conformément aux spécifications du constructeur et, le cas échéant, la masse de la carrosserie, du ou des attelages supplémentaires, de la ou des roues de secours et des outils.</w:t>
      </w:r>
    </w:p>
    <w:p w14:paraId="598FED33" w14:textId="189D0FCA" w:rsidR="00F21101" w:rsidRPr="00A847B7" w:rsidRDefault="008C7D13" w:rsidP="00C63330">
      <w:pPr>
        <w:spacing w:beforeAutospacing="1" w:after="100" w:afterAutospacing="1"/>
        <w:rPr>
          <w:rFonts w:cstheme="minorHAnsi"/>
        </w:rPr>
      </w:pPr>
      <w:r w:rsidRPr="00A847B7">
        <w:rPr>
          <w:rFonts w:cstheme="minorHAnsi"/>
        </w:rPr>
        <w:t>Le montant de la taxe est égal au produit entre un tarif unitaire, en euros par kilogramme</w:t>
      </w:r>
      <w:r w:rsidR="00B14029" w:rsidRPr="00A847B7">
        <w:rPr>
          <w:rFonts w:cstheme="minorHAnsi"/>
        </w:rPr>
        <w:t>, et la fraction de la masse en ordre de marche excédant un seuil minimal (en kilogramme). En dessous de ce seuil, le montant de la taxe est nul.</w:t>
      </w:r>
    </w:p>
    <w:p w14:paraId="1399BDEF" w14:textId="729378F1" w:rsidR="00426265" w:rsidRPr="00A847B7" w:rsidRDefault="00426265" w:rsidP="00C63330">
      <w:pPr>
        <w:spacing w:beforeAutospacing="1" w:after="100" w:afterAutospacing="1"/>
        <w:rPr>
          <w:rFonts w:cstheme="minorHAnsi"/>
        </w:rPr>
      </w:pPr>
      <w:r w:rsidRPr="00A847B7">
        <w:rPr>
          <w:rFonts w:cstheme="minorHAnsi"/>
        </w:rPr>
        <w:t>A compter du 1</w:t>
      </w:r>
      <w:r w:rsidRPr="00A847B7">
        <w:rPr>
          <w:rFonts w:cstheme="minorHAnsi"/>
          <w:vertAlign w:val="superscript"/>
        </w:rPr>
        <w:t>er</w:t>
      </w:r>
      <w:r w:rsidRPr="00A847B7">
        <w:rPr>
          <w:rFonts w:cstheme="minorHAnsi"/>
        </w:rPr>
        <w:t xml:space="preserve"> janvier 2022 :</w:t>
      </w:r>
    </w:p>
    <w:p w14:paraId="210FDD20" w14:textId="535D2D5D" w:rsidR="00426265" w:rsidRPr="00A847B7" w:rsidRDefault="00426265" w:rsidP="00EE0687">
      <w:pPr>
        <w:pStyle w:val="Paragraphedeliste"/>
        <w:numPr>
          <w:ilvl w:val="0"/>
          <w:numId w:val="101"/>
        </w:numPr>
        <w:spacing w:beforeAutospacing="1" w:after="100" w:afterAutospacing="1"/>
        <w:rPr>
          <w:rFonts w:cstheme="minorHAnsi"/>
        </w:rPr>
      </w:pPr>
      <w:r w:rsidRPr="00A847B7">
        <w:rPr>
          <w:rFonts w:cstheme="minorHAnsi"/>
        </w:rPr>
        <w:t>le tarif unitaire de la taxe est égal à 10 € par kg ;</w:t>
      </w:r>
    </w:p>
    <w:p w14:paraId="409294BA" w14:textId="0C1C7835" w:rsidR="00426265" w:rsidRPr="00A847B7" w:rsidRDefault="00E268FA" w:rsidP="00EE0687">
      <w:pPr>
        <w:pStyle w:val="Paragraphedeliste"/>
        <w:numPr>
          <w:ilvl w:val="0"/>
          <w:numId w:val="101"/>
        </w:numPr>
        <w:spacing w:beforeAutospacing="1" w:after="100" w:afterAutospacing="1"/>
        <w:rPr>
          <w:rFonts w:cstheme="minorHAnsi"/>
        </w:rPr>
      </w:pPr>
      <w:r w:rsidRPr="00A847B7">
        <w:rPr>
          <w:rFonts w:cstheme="minorHAnsi"/>
        </w:rPr>
        <w:t xml:space="preserve">le seuil minimal de la taxe </w:t>
      </w:r>
      <w:r w:rsidR="00684A82" w:rsidRPr="00A847B7">
        <w:rPr>
          <w:rFonts w:cstheme="minorHAnsi"/>
        </w:rPr>
        <w:t>est égal à 1 800 kg.</w:t>
      </w:r>
    </w:p>
    <w:p w14:paraId="11FB17B6" w14:textId="20C6C018" w:rsidR="00684A82" w:rsidRPr="00A847B7" w:rsidRDefault="00684A82" w:rsidP="00684A82">
      <w:pPr>
        <w:spacing w:beforeAutospacing="1" w:after="100" w:afterAutospacing="1"/>
        <w:rPr>
          <w:rFonts w:cstheme="minorHAnsi"/>
        </w:rPr>
      </w:pPr>
      <w:r w:rsidRPr="00A847B7">
        <w:rPr>
          <w:rFonts w:cstheme="minorHAnsi"/>
        </w:rPr>
        <w:lastRenderedPageBreak/>
        <w:t>Pour les véhicules ayant fait l’objet d’une 1</w:t>
      </w:r>
      <w:r w:rsidRPr="00A847B7">
        <w:rPr>
          <w:rFonts w:cstheme="minorHAnsi"/>
          <w:vertAlign w:val="superscript"/>
        </w:rPr>
        <w:t>ère</w:t>
      </w:r>
      <w:r w:rsidRPr="00A847B7">
        <w:rPr>
          <w:rFonts w:cstheme="minorHAnsi"/>
        </w:rPr>
        <w:t xml:space="preserve"> immatriculation au moins 6 mois avant celle donnant lieu au malus, le </w:t>
      </w:r>
      <w:r w:rsidR="00100EFD" w:rsidRPr="00A847B7">
        <w:rPr>
          <w:rFonts w:cstheme="minorHAnsi"/>
        </w:rPr>
        <w:t>montant de taxe déterminé fait l’objet d’une réfaction de 10 % pour chaque période de 12 mois entamée depuis la date de la 1</w:t>
      </w:r>
      <w:r w:rsidR="00100EFD" w:rsidRPr="00A847B7">
        <w:rPr>
          <w:rFonts w:cstheme="minorHAnsi"/>
          <w:vertAlign w:val="superscript"/>
        </w:rPr>
        <w:t>ère</w:t>
      </w:r>
      <w:r w:rsidR="00100EFD" w:rsidRPr="00A847B7">
        <w:rPr>
          <w:rFonts w:cstheme="minorHAnsi"/>
        </w:rPr>
        <w:t xml:space="preserve"> immatriculation.</w:t>
      </w:r>
    </w:p>
    <w:p w14:paraId="441DA1BF" w14:textId="4C45A7E8" w:rsidR="00B14029" w:rsidRPr="00A847B7" w:rsidRDefault="00BD5FD7" w:rsidP="00C63330">
      <w:pPr>
        <w:spacing w:beforeAutospacing="1" w:after="100" w:afterAutospacing="1"/>
        <w:rPr>
          <w:rFonts w:cstheme="minorHAnsi"/>
        </w:rPr>
      </w:pPr>
      <w:r w:rsidRPr="00A847B7">
        <w:rPr>
          <w:rFonts w:cstheme="minorHAnsi"/>
        </w:rPr>
        <w:t>De même, dans certains cas, pour déterminer le montant de la taxe, la masse en ordre de marche peut faire l’objet des réfactions suivantes</w:t>
      </w:r>
      <w:r w:rsidR="002452CB" w:rsidRPr="00A847B7">
        <w:rPr>
          <w:rFonts w:cstheme="minorHAnsi"/>
        </w:rPr>
        <w:t> :</w:t>
      </w:r>
    </w:p>
    <w:p w14:paraId="7301109F" w14:textId="38711145" w:rsidR="002452CB" w:rsidRPr="00A847B7" w:rsidRDefault="00A135AE" w:rsidP="00EE0687">
      <w:pPr>
        <w:pStyle w:val="Paragraphedeliste"/>
        <w:numPr>
          <w:ilvl w:val="0"/>
          <w:numId w:val="102"/>
        </w:numPr>
        <w:spacing w:beforeAutospacing="1" w:after="100" w:afterAutospacing="1"/>
        <w:rPr>
          <w:rFonts w:cstheme="minorHAnsi"/>
        </w:rPr>
      </w:pPr>
      <w:r w:rsidRPr="00A847B7">
        <w:rPr>
          <w:rFonts w:cstheme="minorHAnsi"/>
        </w:rPr>
        <w:t>lorsque le propriétaire assume, au sein de son foyer fiscal, la charge effective et permanente d’au moins 3 enfants</w:t>
      </w:r>
      <w:r w:rsidR="00C47B4F" w:rsidRPr="00A847B7">
        <w:rPr>
          <w:rFonts w:cstheme="minorHAnsi"/>
        </w:rPr>
        <w:t xml:space="preserve"> et relevant du même foyer fiscal, 200 kg par enfant, dans la limite d’un seul véhicule d’au moins 5 places ;</w:t>
      </w:r>
    </w:p>
    <w:p w14:paraId="1686C8AA" w14:textId="1D258C5D" w:rsidR="00F31A7C" w:rsidRPr="00A847B7" w:rsidRDefault="00F31A7C" w:rsidP="00EE0687">
      <w:pPr>
        <w:pStyle w:val="Paragraphedeliste"/>
        <w:numPr>
          <w:ilvl w:val="0"/>
          <w:numId w:val="102"/>
        </w:numPr>
        <w:spacing w:beforeAutospacing="1" w:after="100" w:afterAutospacing="1"/>
        <w:rPr>
          <w:rFonts w:cstheme="minorHAnsi"/>
        </w:rPr>
      </w:pPr>
      <w:r w:rsidRPr="00A847B7">
        <w:rPr>
          <w:rFonts w:cstheme="minorHAnsi"/>
        </w:rPr>
        <w:t>lorsque le véhicule est acheté par une entreprise</w:t>
      </w:r>
      <w:r w:rsidR="0030233A" w:rsidRPr="00A847B7">
        <w:rPr>
          <w:rFonts w:cstheme="minorHAnsi"/>
        </w:rPr>
        <w:t xml:space="preserve"> ou une personne morale autre qu’une entreprise et comporte au moins 8 places assises, 400 kg.</w:t>
      </w:r>
    </w:p>
    <w:p w14:paraId="7BB2469F" w14:textId="2B940195" w:rsidR="0030233A" w:rsidRPr="00A847B7" w:rsidRDefault="0030233A" w:rsidP="0030233A">
      <w:pPr>
        <w:spacing w:beforeAutospacing="1" w:after="100" w:afterAutospacing="1"/>
        <w:rPr>
          <w:rFonts w:cstheme="minorHAnsi"/>
        </w:rPr>
      </w:pPr>
      <w:r w:rsidRPr="00A847B7">
        <w:rPr>
          <w:rFonts w:cstheme="minorHAnsi"/>
        </w:rPr>
        <w:t>La ré</w:t>
      </w:r>
      <w:r w:rsidR="00E07151" w:rsidRPr="00A847B7">
        <w:rPr>
          <w:rFonts w:cstheme="minorHAnsi"/>
        </w:rPr>
        <w:t>faction accordée en fonction du nombre d’enfant</w:t>
      </w:r>
      <w:r w:rsidR="00672C85">
        <w:rPr>
          <w:rFonts w:cstheme="minorHAnsi"/>
        </w:rPr>
        <w:t>s</w:t>
      </w:r>
      <w:r w:rsidR="00E07151" w:rsidRPr="00A847B7">
        <w:rPr>
          <w:rFonts w:cstheme="minorHAnsi"/>
        </w:rPr>
        <w:t xml:space="preserve"> à charge est mise en œuvre, dans des conditions précisées par Décret à paraître, au moyen d’une demande de remboursement déposée après la délivrance de la carte grise, auprès du service des impôts dont relève le propriétaire</w:t>
      </w:r>
      <w:r w:rsidR="002E6CB1" w:rsidRPr="00A847B7">
        <w:rPr>
          <w:rFonts w:cstheme="minorHAnsi"/>
        </w:rPr>
        <w:t xml:space="preserve">. </w:t>
      </w:r>
    </w:p>
    <w:p w14:paraId="155DB125" w14:textId="6DF83D18" w:rsidR="00ED25B4" w:rsidRPr="00A847B7" w:rsidRDefault="002E6CB1" w:rsidP="0030233A">
      <w:pPr>
        <w:spacing w:beforeAutospacing="1" w:after="100" w:afterAutospacing="1"/>
        <w:rPr>
          <w:rFonts w:cstheme="minorHAnsi"/>
        </w:rPr>
      </w:pPr>
      <w:r w:rsidRPr="00A847B7">
        <w:rPr>
          <w:rFonts w:cstheme="minorHAnsi"/>
        </w:rPr>
        <w:t>Notez que cette même réfaction s’applique également, toutes conditions par ailleurs remplies, lorsque le véhicule est pris en location longue durée.</w:t>
      </w:r>
    </w:p>
    <w:p w14:paraId="674CC00C" w14:textId="641B9054" w:rsidR="00160EC7" w:rsidRPr="00A847B7" w:rsidRDefault="00E773D0" w:rsidP="0030233A">
      <w:pPr>
        <w:spacing w:beforeAutospacing="1" w:after="100" w:afterAutospacing="1"/>
        <w:rPr>
          <w:rFonts w:cstheme="minorHAnsi"/>
        </w:rPr>
      </w:pPr>
      <w:r w:rsidRPr="00A847B7">
        <w:rPr>
          <w:rFonts w:cstheme="minorHAnsi"/>
        </w:rPr>
        <w:t xml:space="preserve">Le montant de la taxe est minoré afin de </w:t>
      </w:r>
      <w:r w:rsidR="00F108B4">
        <w:rPr>
          <w:rFonts w:cstheme="minorHAnsi"/>
        </w:rPr>
        <w:t xml:space="preserve">ne </w:t>
      </w:r>
      <w:r w:rsidRPr="00A847B7">
        <w:rPr>
          <w:rFonts w:cstheme="minorHAnsi"/>
        </w:rPr>
        <w:t>pas d</w:t>
      </w:r>
      <w:r w:rsidR="0009787B" w:rsidRPr="00A847B7">
        <w:rPr>
          <w:rFonts w:cstheme="minorHAnsi"/>
        </w:rPr>
        <w:t>épasser un seuil égal à la différence entre :</w:t>
      </w:r>
    </w:p>
    <w:p w14:paraId="194254E8" w14:textId="00D70D93" w:rsidR="0009787B" w:rsidRPr="00A847B7" w:rsidRDefault="0009787B" w:rsidP="00EE0687">
      <w:pPr>
        <w:pStyle w:val="Paragraphedeliste"/>
        <w:numPr>
          <w:ilvl w:val="0"/>
          <w:numId w:val="103"/>
        </w:numPr>
        <w:spacing w:beforeAutospacing="1" w:after="100" w:afterAutospacing="1"/>
        <w:rPr>
          <w:rFonts w:cstheme="minorHAnsi"/>
        </w:rPr>
      </w:pPr>
      <w:r w:rsidRPr="00A847B7">
        <w:rPr>
          <w:rFonts w:cstheme="minorHAnsi"/>
        </w:rPr>
        <w:t>le tarif maximal figurant dans le barème du ma</w:t>
      </w:r>
      <w:r w:rsidR="00C8574D" w:rsidRPr="00A847B7">
        <w:rPr>
          <w:rFonts w:cstheme="minorHAnsi"/>
        </w:rPr>
        <w:t>lus sur les émissions de dioxyde de carbone dont relève le véhicule concerné, auquel est appliqué, le cas échéant, une réfaction ;</w:t>
      </w:r>
    </w:p>
    <w:p w14:paraId="55307500" w14:textId="305287DB" w:rsidR="00C8574D" w:rsidRPr="00A847B7" w:rsidRDefault="003B5BD7" w:rsidP="00EE0687">
      <w:pPr>
        <w:pStyle w:val="Paragraphedeliste"/>
        <w:numPr>
          <w:ilvl w:val="0"/>
          <w:numId w:val="103"/>
        </w:numPr>
        <w:spacing w:beforeAutospacing="1" w:after="100" w:afterAutospacing="1"/>
        <w:rPr>
          <w:rFonts w:cstheme="minorHAnsi"/>
        </w:rPr>
      </w:pPr>
      <w:r w:rsidRPr="00A847B7">
        <w:rPr>
          <w:rFonts w:cstheme="minorHAnsi"/>
        </w:rPr>
        <w:t xml:space="preserve">et </w:t>
      </w:r>
      <w:r w:rsidR="00E84CF5" w:rsidRPr="00A847B7">
        <w:rPr>
          <w:rFonts w:cstheme="minorHAnsi"/>
        </w:rPr>
        <w:t>le montant du malus sur les émissions de dioxyde de carbone appli</w:t>
      </w:r>
      <w:r w:rsidR="00E317C0" w:rsidRPr="00A847B7">
        <w:rPr>
          <w:rFonts w:cstheme="minorHAnsi"/>
        </w:rPr>
        <w:t>cable à ce véhicule.</w:t>
      </w:r>
    </w:p>
    <w:p w14:paraId="6BD84301" w14:textId="654E101B" w:rsidR="008C158E" w:rsidRPr="00A847B7" w:rsidRDefault="008C158E" w:rsidP="008C158E">
      <w:pPr>
        <w:spacing w:beforeAutospacing="1" w:after="100" w:afterAutospacing="1"/>
        <w:rPr>
          <w:rFonts w:cstheme="minorHAnsi"/>
        </w:rPr>
      </w:pPr>
      <w:r w:rsidRPr="00A847B7">
        <w:rPr>
          <w:rFonts w:cstheme="minorHAnsi"/>
        </w:rPr>
        <w:t>Précisons enfin que certains véhicules sont exonérés de taxation. Sont concernés :</w:t>
      </w:r>
    </w:p>
    <w:p w14:paraId="7ECCDA36" w14:textId="718EB457" w:rsidR="008C158E" w:rsidRPr="00A847B7" w:rsidRDefault="00FB59D1" w:rsidP="00EE0687">
      <w:pPr>
        <w:pStyle w:val="Paragraphedeliste"/>
        <w:numPr>
          <w:ilvl w:val="0"/>
          <w:numId w:val="104"/>
        </w:numPr>
        <w:spacing w:beforeAutospacing="1" w:after="100" w:afterAutospacing="1"/>
        <w:rPr>
          <w:rFonts w:cstheme="minorHAnsi"/>
        </w:rPr>
      </w:pPr>
      <w:r w:rsidRPr="00A847B7">
        <w:rPr>
          <w:rFonts w:cstheme="minorHAnsi"/>
        </w:rPr>
        <w:t>les véhicules accessibles en fauteuil roulant</w:t>
      </w:r>
      <w:r w:rsidR="00637011" w:rsidRPr="00A847B7">
        <w:rPr>
          <w:rFonts w:cstheme="minorHAnsi"/>
        </w:rPr>
        <w:t xml:space="preserve"> ; </w:t>
      </w:r>
    </w:p>
    <w:p w14:paraId="0AA95DA0" w14:textId="48FA6AC2" w:rsidR="00637011" w:rsidRPr="00A847B7" w:rsidRDefault="00A626BC" w:rsidP="00EE0687">
      <w:pPr>
        <w:pStyle w:val="Paragraphedeliste"/>
        <w:numPr>
          <w:ilvl w:val="0"/>
          <w:numId w:val="104"/>
        </w:numPr>
        <w:spacing w:beforeAutospacing="1" w:after="100" w:afterAutospacing="1"/>
        <w:rPr>
          <w:rFonts w:cstheme="minorHAnsi"/>
        </w:rPr>
      </w:pPr>
      <w:r>
        <w:rPr>
          <w:rFonts w:cstheme="minorHAnsi"/>
        </w:rPr>
        <w:t xml:space="preserve">les véhicules, </w:t>
      </w:r>
      <w:r w:rsidR="00637011" w:rsidRPr="00A847B7">
        <w:rPr>
          <w:rFonts w:cstheme="minorHAnsi"/>
        </w:rPr>
        <w:t xml:space="preserve">dans la limite d'un véhicule par bénéficiaire, </w:t>
      </w:r>
      <w:r w:rsidR="003611E5">
        <w:rPr>
          <w:rFonts w:cstheme="minorHAnsi"/>
        </w:rPr>
        <w:t>dont</w:t>
      </w:r>
      <w:r w:rsidR="003611E5" w:rsidRPr="00A847B7">
        <w:rPr>
          <w:rFonts w:cstheme="minorHAnsi"/>
        </w:rPr>
        <w:t xml:space="preserve"> </w:t>
      </w:r>
      <w:r w:rsidR="00637011" w:rsidRPr="00A847B7">
        <w:rPr>
          <w:rFonts w:cstheme="minorHAnsi"/>
        </w:rPr>
        <w:t xml:space="preserve">le propriétaire soit est titulaire de la carte </w:t>
      </w:r>
      <w:r w:rsidR="00D017E6" w:rsidRPr="00A847B7">
        <w:rPr>
          <w:rFonts w:cstheme="minorHAnsi"/>
        </w:rPr>
        <w:t>« </w:t>
      </w:r>
      <w:r w:rsidR="00637011" w:rsidRPr="00A847B7">
        <w:rPr>
          <w:rFonts w:cstheme="minorHAnsi"/>
        </w:rPr>
        <w:t>mobilité inclusion</w:t>
      </w:r>
      <w:r w:rsidR="00D017E6" w:rsidRPr="00A847B7">
        <w:rPr>
          <w:rFonts w:cstheme="minorHAnsi"/>
        </w:rPr>
        <w:t> »</w:t>
      </w:r>
      <w:r w:rsidR="00637011" w:rsidRPr="00A847B7">
        <w:rPr>
          <w:rFonts w:cstheme="minorHAnsi"/>
        </w:rPr>
        <w:t xml:space="preserve"> portant la mention « invalidité » ou d'une carte d'invalidité militaire, soit assume la charge effective et permanente d'un enfant titulaire de cette carte et relevant du même foyer fiscal</w:t>
      </w:r>
      <w:r w:rsidR="003611E5">
        <w:rPr>
          <w:rFonts w:cstheme="minorHAnsi"/>
        </w:rPr>
        <w:t>. Cette</w:t>
      </w:r>
      <w:r w:rsidR="00637011" w:rsidRPr="00A847B7">
        <w:rPr>
          <w:rFonts w:cstheme="minorHAnsi"/>
        </w:rPr>
        <w:t xml:space="preserve"> exonération s'applique également en cas de formule locative de longue durée, toutes conditions par ailleurs remplies ;</w:t>
      </w:r>
    </w:p>
    <w:p w14:paraId="543E90A6" w14:textId="4E86DB28" w:rsidR="00637011" w:rsidRPr="00A847B7" w:rsidRDefault="00864FC0" w:rsidP="00EE0687">
      <w:pPr>
        <w:pStyle w:val="Paragraphedeliste"/>
        <w:numPr>
          <w:ilvl w:val="0"/>
          <w:numId w:val="104"/>
        </w:numPr>
        <w:spacing w:beforeAutospacing="1" w:after="100" w:afterAutospacing="1"/>
        <w:rPr>
          <w:rFonts w:cstheme="minorHAnsi"/>
        </w:rPr>
      </w:pPr>
      <w:r w:rsidRPr="00A847B7">
        <w:rPr>
          <w:rFonts w:cstheme="minorHAnsi"/>
        </w:rPr>
        <w:t xml:space="preserve">les hybrides électriques rechargeables de l’extérieur </w:t>
      </w:r>
      <w:r w:rsidR="00514B52" w:rsidRPr="00A847B7">
        <w:rPr>
          <w:rFonts w:cstheme="minorHAnsi"/>
        </w:rPr>
        <w:t>l</w:t>
      </w:r>
      <w:r w:rsidR="007203F6" w:rsidRPr="00A847B7">
        <w:rPr>
          <w:rFonts w:cstheme="minorHAnsi"/>
        </w:rPr>
        <w:t xml:space="preserve">orsque l’autonomie équivalente en mode tout électrique en ville déterminée lors de la réception est supérieure à 50 kilomètres. </w:t>
      </w:r>
    </w:p>
    <w:p w14:paraId="57227B7E" w14:textId="77777777" w:rsidR="00637011" w:rsidRPr="00A847B7" w:rsidRDefault="00637011" w:rsidP="00637011">
      <w:pPr>
        <w:spacing w:beforeAutospacing="1" w:after="100" w:afterAutospacing="1"/>
        <w:rPr>
          <w:rFonts w:cstheme="minorHAnsi"/>
        </w:rPr>
      </w:pPr>
    </w:p>
    <w:p w14:paraId="496E77E7" w14:textId="0D1DE547" w:rsidR="00FD515A" w:rsidRPr="00A847B7" w:rsidRDefault="00FD515A" w:rsidP="00FD515A">
      <w:pPr>
        <w:pStyle w:val="Titre3"/>
      </w:pPr>
      <w:bookmarkStart w:id="155" w:name="_Toc60781066"/>
      <w:r w:rsidRPr="00A847B7">
        <w:t xml:space="preserve">Slide </w:t>
      </w:r>
      <w:r w:rsidR="0024509D">
        <w:t>104</w:t>
      </w:r>
      <w:r w:rsidRPr="00A847B7">
        <w:t> : Malus automobile pour 2023</w:t>
      </w:r>
      <w:bookmarkEnd w:id="155"/>
    </w:p>
    <w:p w14:paraId="2DFAB083" w14:textId="4F823E60" w:rsidR="00FD515A" w:rsidRPr="00A847B7" w:rsidRDefault="000C668C" w:rsidP="000C668C">
      <w:r w:rsidRPr="004F587E">
        <w:rPr>
          <w:u w:val="single"/>
        </w:rPr>
        <w:t xml:space="preserve">Source </w:t>
      </w:r>
      <w:r w:rsidRPr="00A847B7">
        <w:t>:</w:t>
      </w:r>
      <w:r w:rsidR="00FD515A" w:rsidRPr="00A847B7">
        <w:t xml:space="preserve"> Loi de Finances pour 2021, </w:t>
      </w:r>
      <w:r w:rsidR="00FD515A" w:rsidRPr="005A54C4">
        <w:t xml:space="preserve">article </w:t>
      </w:r>
      <w:r w:rsidR="00F11C7D" w:rsidRPr="003E1502">
        <w:t>55</w:t>
      </w:r>
    </w:p>
    <w:p w14:paraId="11FCD2F2" w14:textId="011B5276" w:rsidR="004F72EF" w:rsidRPr="00A847B7" w:rsidRDefault="004F72EF" w:rsidP="000C668C">
      <w:pPr>
        <w:spacing w:beforeAutospacing="1" w:after="100" w:afterAutospacing="1"/>
      </w:pPr>
      <w:r w:rsidRPr="00A847B7">
        <w:t>Le montant du malus sur les émissions de dioxyde de carbone des véhicules de tourisme est déterminé par un barème qui est fonction des émissions de dioxyde de carbone. Toutefois, pour les véhicules ne relevant pas du nouveau dispositif d’immatriculation, ce barème est remplacé par un barème qui est fonction des puissances fiscales.</w:t>
      </w:r>
    </w:p>
    <w:p w14:paraId="22AEE34F" w14:textId="77777777" w:rsidR="00FD515A" w:rsidRPr="00A847B7" w:rsidRDefault="00FD515A" w:rsidP="000C668C">
      <w:pPr>
        <w:spacing w:beforeAutospacing="1" w:after="100" w:afterAutospacing="1"/>
        <w:rPr>
          <w:rFonts w:cstheme="minorHAnsi"/>
        </w:rPr>
      </w:pPr>
      <w:r w:rsidRPr="00A847B7">
        <w:rPr>
          <w:rFonts w:cstheme="minorHAnsi"/>
        </w:rPr>
        <w:t>A compter du 1</w:t>
      </w:r>
      <w:r w:rsidRPr="00A847B7">
        <w:rPr>
          <w:rFonts w:cstheme="minorHAnsi"/>
          <w:vertAlign w:val="superscript"/>
        </w:rPr>
        <w:t>er</w:t>
      </w:r>
      <w:r w:rsidRPr="00A847B7">
        <w:rPr>
          <w:rFonts w:cstheme="minorHAnsi"/>
        </w:rPr>
        <w:t xml:space="preserve"> janvier 2023, le barème des émissions de dioxyde de carbone est fixé de la façon suivante : </w:t>
      </w:r>
    </w:p>
    <w:p w14:paraId="2A531003" w14:textId="77777777" w:rsidR="00FD515A" w:rsidRPr="00A847B7" w:rsidRDefault="00FD515A" w:rsidP="00EE0687">
      <w:pPr>
        <w:pStyle w:val="Paragraphedeliste"/>
        <w:numPr>
          <w:ilvl w:val="0"/>
          <w:numId w:val="70"/>
        </w:numPr>
        <w:spacing w:beforeAutospacing="1" w:after="100" w:afterAutospacing="1"/>
        <w:rPr>
          <w:rFonts w:cstheme="minorHAnsi"/>
        </w:rPr>
      </w:pPr>
      <w:r w:rsidRPr="00A847B7">
        <w:rPr>
          <w:rFonts w:cstheme="minorHAnsi"/>
        </w:rPr>
        <w:lastRenderedPageBreak/>
        <w:t>lorsque les émissions sont inférieures à 123 g/km, le tarif est nul ;</w:t>
      </w:r>
    </w:p>
    <w:p w14:paraId="4F9A136A" w14:textId="6A1EE594" w:rsidR="00FD515A" w:rsidRPr="00A847B7" w:rsidRDefault="00FD515A" w:rsidP="00EE0687">
      <w:pPr>
        <w:pStyle w:val="Paragraphedeliste"/>
        <w:numPr>
          <w:ilvl w:val="0"/>
          <w:numId w:val="70"/>
        </w:numPr>
        <w:spacing w:beforeAutospacing="1" w:after="100" w:afterAutospacing="1"/>
        <w:rPr>
          <w:rFonts w:cstheme="minorHAnsi"/>
        </w:rPr>
      </w:pPr>
      <w:r w:rsidRPr="00A847B7">
        <w:rPr>
          <w:rFonts w:cstheme="minorHAnsi"/>
        </w:rPr>
        <w:t>lorsque les émissions sont supérieures ou égales à 123 g/km et inférieures ou égales à 2</w:t>
      </w:r>
      <w:r w:rsidR="00270C8F">
        <w:rPr>
          <w:rFonts w:cstheme="minorHAnsi"/>
        </w:rPr>
        <w:t>25</w:t>
      </w:r>
      <w:r w:rsidRPr="00A847B7">
        <w:rPr>
          <w:rFonts w:cstheme="minorHAnsi"/>
        </w:rPr>
        <w:t xml:space="preserve"> g/km, le barème est le suivant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3"/>
        <w:gridCol w:w="2713"/>
      </w:tblGrid>
      <w:tr w:rsidR="00FD515A" w:rsidRPr="00A847B7" w14:paraId="2817F280" w14:textId="77777777" w:rsidTr="00FD515A">
        <w:trPr>
          <w:trHeight w:val="242"/>
        </w:trPr>
        <w:tc>
          <w:tcPr>
            <w:tcW w:w="2713" w:type="dxa"/>
            <w:tcBorders>
              <w:top w:val="single" w:sz="4" w:space="0" w:color="auto"/>
              <w:left w:val="single" w:sz="4" w:space="0" w:color="auto"/>
              <w:bottom w:val="single" w:sz="4" w:space="0" w:color="auto"/>
              <w:right w:val="single" w:sz="4" w:space="0" w:color="auto"/>
            </w:tcBorders>
            <w:shd w:val="clear" w:color="auto" w:fill="297FD5" w:themeFill="accent3"/>
            <w:hideMark/>
          </w:tcPr>
          <w:p w14:paraId="64E7988E" w14:textId="77777777" w:rsidR="00FD515A" w:rsidRPr="00A847B7" w:rsidRDefault="00FD515A">
            <w:pPr>
              <w:spacing w:beforeAutospacing="1" w:after="100" w:afterAutospacing="1"/>
              <w:rPr>
                <w:b/>
                <w:bCs/>
                <w:color w:val="FFFFFF" w:themeColor="background1"/>
                <w:sz w:val="22"/>
                <w:szCs w:val="22"/>
              </w:rPr>
            </w:pPr>
            <w:r w:rsidRPr="00A847B7">
              <w:rPr>
                <w:b/>
                <w:bCs/>
                <w:color w:val="FFFFFF" w:themeColor="background1"/>
                <w:sz w:val="22"/>
                <w:szCs w:val="22"/>
              </w:rPr>
              <w:t xml:space="preserve">Émissions de dioxyde de carbone (en grammes par kilomètre) </w:t>
            </w:r>
          </w:p>
        </w:tc>
        <w:tc>
          <w:tcPr>
            <w:tcW w:w="2713" w:type="dxa"/>
            <w:tcBorders>
              <w:top w:val="single" w:sz="4" w:space="0" w:color="auto"/>
              <w:left w:val="single" w:sz="4" w:space="0" w:color="auto"/>
              <w:bottom w:val="single" w:sz="4" w:space="0" w:color="auto"/>
              <w:right w:val="single" w:sz="4" w:space="0" w:color="auto"/>
            </w:tcBorders>
            <w:shd w:val="clear" w:color="auto" w:fill="297FD5" w:themeFill="accent3"/>
            <w:hideMark/>
          </w:tcPr>
          <w:p w14:paraId="23D471A1" w14:textId="77777777" w:rsidR="00FD515A" w:rsidRPr="00A847B7" w:rsidRDefault="00FD515A">
            <w:pPr>
              <w:spacing w:beforeAutospacing="1" w:after="100" w:afterAutospacing="1"/>
              <w:rPr>
                <w:b/>
                <w:bCs/>
                <w:color w:val="FFFFFF" w:themeColor="background1"/>
                <w:sz w:val="22"/>
                <w:szCs w:val="22"/>
              </w:rPr>
            </w:pPr>
            <w:r w:rsidRPr="00A847B7">
              <w:rPr>
                <w:b/>
                <w:bCs/>
                <w:color w:val="FFFFFF" w:themeColor="background1"/>
                <w:sz w:val="22"/>
                <w:szCs w:val="22"/>
              </w:rPr>
              <w:t xml:space="preserve">Tarif par véhicule (en euros) </w:t>
            </w:r>
          </w:p>
        </w:tc>
      </w:tr>
      <w:tr w:rsidR="00FD515A" w:rsidRPr="00A847B7" w14:paraId="49BBE7DF"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39BED724" w14:textId="77777777" w:rsidR="00FD515A" w:rsidRPr="00A847B7" w:rsidRDefault="00FD515A">
            <w:pPr>
              <w:spacing w:beforeAutospacing="1" w:after="100" w:afterAutospacing="1"/>
            </w:pPr>
            <w:r w:rsidRPr="00A847B7">
              <w:t xml:space="preserve">123 </w:t>
            </w:r>
          </w:p>
        </w:tc>
        <w:tc>
          <w:tcPr>
            <w:tcW w:w="2713" w:type="dxa"/>
            <w:tcBorders>
              <w:top w:val="single" w:sz="4" w:space="0" w:color="auto"/>
              <w:left w:val="single" w:sz="4" w:space="0" w:color="auto"/>
              <w:bottom w:val="single" w:sz="4" w:space="0" w:color="auto"/>
              <w:right w:val="single" w:sz="4" w:space="0" w:color="auto"/>
            </w:tcBorders>
            <w:hideMark/>
          </w:tcPr>
          <w:p w14:paraId="69505438" w14:textId="77777777" w:rsidR="00FD515A" w:rsidRPr="00A847B7" w:rsidRDefault="00FD515A">
            <w:pPr>
              <w:spacing w:beforeAutospacing="1" w:after="100" w:afterAutospacing="1"/>
            </w:pPr>
            <w:r w:rsidRPr="00A847B7">
              <w:t xml:space="preserve">50 </w:t>
            </w:r>
          </w:p>
        </w:tc>
      </w:tr>
      <w:tr w:rsidR="00FD515A" w:rsidRPr="00A847B7" w14:paraId="323B5483"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48BB35B2" w14:textId="77777777" w:rsidR="00FD515A" w:rsidRPr="00A847B7" w:rsidRDefault="00FD515A">
            <w:pPr>
              <w:spacing w:beforeAutospacing="1" w:after="100" w:afterAutospacing="1"/>
            </w:pPr>
            <w:r w:rsidRPr="00A847B7">
              <w:t xml:space="preserve">124 </w:t>
            </w:r>
          </w:p>
        </w:tc>
        <w:tc>
          <w:tcPr>
            <w:tcW w:w="2713" w:type="dxa"/>
            <w:tcBorders>
              <w:top w:val="single" w:sz="4" w:space="0" w:color="auto"/>
              <w:left w:val="single" w:sz="4" w:space="0" w:color="auto"/>
              <w:bottom w:val="single" w:sz="4" w:space="0" w:color="auto"/>
              <w:right w:val="single" w:sz="4" w:space="0" w:color="auto"/>
            </w:tcBorders>
            <w:hideMark/>
          </w:tcPr>
          <w:p w14:paraId="5107C5C7" w14:textId="77777777" w:rsidR="00FD515A" w:rsidRPr="00A847B7" w:rsidRDefault="00FD515A">
            <w:pPr>
              <w:spacing w:beforeAutospacing="1" w:after="100" w:afterAutospacing="1"/>
            </w:pPr>
            <w:r w:rsidRPr="00A847B7">
              <w:t xml:space="preserve">75 </w:t>
            </w:r>
          </w:p>
        </w:tc>
      </w:tr>
      <w:tr w:rsidR="00FD515A" w:rsidRPr="00A847B7" w14:paraId="191FBC88"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2925EAAD" w14:textId="77777777" w:rsidR="00FD515A" w:rsidRPr="00A847B7" w:rsidRDefault="00FD515A">
            <w:pPr>
              <w:spacing w:beforeAutospacing="1" w:after="100" w:afterAutospacing="1"/>
            </w:pPr>
            <w:r w:rsidRPr="00A847B7">
              <w:t xml:space="preserve">125 </w:t>
            </w:r>
          </w:p>
        </w:tc>
        <w:tc>
          <w:tcPr>
            <w:tcW w:w="2713" w:type="dxa"/>
            <w:tcBorders>
              <w:top w:val="single" w:sz="4" w:space="0" w:color="auto"/>
              <w:left w:val="single" w:sz="4" w:space="0" w:color="auto"/>
              <w:bottom w:val="single" w:sz="4" w:space="0" w:color="auto"/>
              <w:right w:val="single" w:sz="4" w:space="0" w:color="auto"/>
            </w:tcBorders>
            <w:hideMark/>
          </w:tcPr>
          <w:p w14:paraId="2EA8B475" w14:textId="77777777" w:rsidR="00FD515A" w:rsidRPr="00A847B7" w:rsidRDefault="00FD515A">
            <w:pPr>
              <w:spacing w:beforeAutospacing="1" w:after="100" w:afterAutospacing="1"/>
            </w:pPr>
            <w:r w:rsidRPr="00A847B7">
              <w:t xml:space="preserve">100 </w:t>
            </w:r>
          </w:p>
        </w:tc>
      </w:tr>
      <w:tr w:rsidR="00FD515A" w:rsidRPr="00A847B7" w14:paraId="113BD0E9"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71906094" w14:textId="77777777" w:rsidR="00FD515A" w:rsidRPr="00A847B7" w:rsidRDefault="00FD515A">
            <w:pPr>
              <w:spacing w:beforeAutospacing="1" w:after="100" w:afterAutospacing="1"/>
            </w:pPr>
            <w:r w:rsidRPr="00A847B7">
              <w:t xml:space="preserve">126 </w:t>
            </w:r>
          </w:p>
        </w:tc>
        <w:tc>
          <w:tcPr>
            <w:tcW w:w="2713" w:type="dxa"/>
            <w:tcBorders>
              <w:top w:val="single" w:sz="4" w:space="0" w:color="auto"/>
              <w:left w:val="single" w:sz="4" w:space="0" w:color="auto"/>
              <w:bottom w:val="single" w:sz="4" w:space="0" w:color="auto"/>
              <w:right w:val="single" w:sz="4" w:space="0" w:color="auto"/>
            </w:tcBorders>
            <w:hideMark/>
          </w:tcPr>
          <w:p w14:paraId="4AD6104A" w14:textId="77777777" w:rsidR="00FD515A" w:rsidRPr="00A847B7" w:rsidRDefault="00FD515A">
            <w:pPr>
              <w:spacing w:beforeAutospacing="1" w:after="100" w:afterAutospacing="1"/>
            </w:pPr>
            <w:r w:rsidRPr="00A847B7">
              <w:t xml:space="preserve">125 </w:t>
            </w:r>
          </w:p>
        </w:tc>
      </w:tr>
      <w:tr w:rsidR="00FD515A" w:rsidRPr="00A847B7" w14:paraId="27C73303"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3ECA2EF2" w14:textId="77777777" w:rsidR="00FD515A" w:rsidRPr="00A847B7" w:rsidRDefault="00FD515A">
            <w:pPr>
              <w:spacing w:beforeAutospacing="1" w:after="100" w:afterAutospacing="1"/>
            </w:pPr>
            <w:r w:rsidRPr="00A847B7">
              <w:t xml:space="preserve">127 </w:t>
            </w:r>
          </w:p>
        </w:tc>
        <w:tc>
          <w:tcPr>
            <w:tcW w:w="2713" w:type="dxa"/>
            <w:tcBorders>
              <w:top w:val="single" w:sz="4" w:space="0" w:color="auto"/>
              <w:left w:val="single" w:sz="4" w:space="0" w:color="auto"/>
              <w:bottom w:val="single" w:sz="4" w:space="0" w:color="auto"/>
              <w:right w:val="single" w:sz="4" w:space="0" w:color="auto"/>
            </w:tcBorders>
            <w:hideMark/>
          </w:tcPr>
          <w:p w14:paraId="6D77CB82" w14:textId="77777777" w:rsidR="00FD515A" w:rsidRPr="00A847B7" w:rsidRDefault="00FD515A">
            <w:pPr>
              <w:spacing w:beforeAutospacing="1" w:after="100" w:afterAutospacing="1"/>
            </w:pPr>
            <w:r w:rsidRPr="00A847B7">
              <w:t xml:space="preserve">150 </w:t>
            </w:r>
          </w:p>
        </w:tc>
      </w:tr>
      <w:tr w:rsidR="00FD515A" w:rsidRPr="00A847B7" w14:paraId="4CDE4BAD"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1FFCCC70" w14:textId="77777777" w:rsidR="00FD515A" w:rsidRPr="00A847B7" w:rsidRDefault="00FD515A">
            <w:pPr>
              <w:spacing w:beforeAutospacing="1" w:after="100" w:afterAutospacing="1"/>
            </w:pPr>
            <w:r w:rsidRPr="00A847B7">
              <w:t xml:space="preserve">128 </w:t>
            </w:r>
          </w:p>
        </w:tc>
        <w:tc>
          <w:tcPr>
            <w:tcW w:w="2713" w:type="dxa"/>
            <w:tcBorders>
              <w:top w:val="single" w:sz="4" w:space="0" w:color="auto"/>
              <w:left w:val="single" w:sz="4" w:space="0" w:color="auto"/>
              <w:bottom w:val="single" w:sz="4" w:space="0" w:color="auto"/>
              <w:right w:val="single" w:sz="4" w:space="0" w:color="auto"/>
            </w:tcBorders>
            <w:hideMark/>
          </w:tcPr>
          <w:p w14:paraId="403BB011" w14:textId="77777777" w:rsidR="00FD515A" w:rsidRPr="00A847B7" w:rsidRDefault="00FD515A">
            <w:pPr>
              <w:spacing w:beforeAutospacing="1" w:after="100" w:afterAutospacing="1"/>
            </w:pPr>
            <w:r w:rsidRPr="00A847B7">
              <w:t xml:space="preserve">170 </w:t>
            </w:r>
          </w:p>
        </w:tc>
      </w:tr>
      <w:tr w:rsidR="00FD515A" w:rsidRPr="00A847B7" w14:paraId="57E0CDB2"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0709FAFA" w14:textId="77777777" w:rsidR="00FD515A" w:rsidRPr="00A847B7" w:rsidRDefault="00FD515A">
            <w:pPr>
              <w:spacing w:beforeAutospacing="1" w:after="100" w:afterAutospacing="1"/>
            </w:pPr>
            <w:r w:rsidRPr="00A847B7">
              <w:t xml:space="preserve">129 </w:t>
            </w:r>
          </w:p>
        </w:tc>
        <w:tc>
          <w:tcPr>
            <w:tcW w:w="2713" w:type="dxa"/>
            <w:tcBorders>
              <w:top w:val="single" w:sz="4" w:space="0" w:color="auto"/>
              <w:left w:val="single" w:sz="4" w:space="0" w:color="auto"/>
              <w:bottom w:val="single" w:sz="4" w:space="0" w:color="auto"/>
              <w:right w:val="single" w:sz="4" w:space="0" w:color="auto"/>
            </w:tcBorders>
            <w:hideMark/>
          </w:tcPr>
          <w:p w14:paraId="24EDF51B" w14:textId="77777777" w:rsidR="00FD515A" w:rsidRPr="00A847B7" w:rsidRDefault="00FD515A">
            <w:pPr>
              <w:spacing w:beforeAutospacing="1" w:after="100" w:afterAutospacing="1"/>
            </w:pPr>
            <w:r w:rsidRPr="00A847B7">
              <w:t xml:space="preserve">190 </w:t>
            </w:r>
          </w:p>
        </w:tc>
      </w:tr>
      <w:tr w:rsidR="00FD515A" w:rsidRPr="00A847B7" w14:paraId="5A511952"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66400B0A" w14:textId="77777777" w:rsidR="00FD515A" w:rsidRPr="00A847B7" w:rsidRDefault="00FD515A">
            <w:pPr>
              <w:spacing w:beforeAutospacing="1" w:after="100" w:afterAutospacing="1"/>
            </w:pPr>
            <w:r w:rsidRPr="00A847B7">
              <w:t xml:space="preserve">130 </w:t>
            </w:r>
          </w:p>
        </w:tc>
        <w:tc>
          <w:tcPr>
            <w:tcW w:w="2713" w:type="dxa"/>
            <w:tcBorders>
              <w:top w:val="single" w:sz="4" w:space="0" w:color="auto"/>
              <w:left w:val="single" w:sz="4" w:space="0" w:color="auto"/>
              <w:bottom w:val="single" w:sz="4" w:space="0" w:color="auto"/>
              <w:right w:val="single" w:sz="4" w:space="0" w:color="auto"/>
            </w:tcBorders>
            <w:hideMark/>
          </w:tcPr>
          <w:p w14:paraId="41F4759F" w14:textId="77777777" w:rsidR="00FD515A" w:rsidRPr="00A847B7" w:rsidRDefault="00FD515A">
            <w:pPr>
              <w:spacing w:beforeAutospacing="1" w:after="100" w:afterAutospacing="1"/>
            </w:pPr>
            <w:r w:rsidRPr="00A847B7">
              <w:t xml:space="preserve">210 </w:t>
            </w:r>
          </w:p>
        </w:tc>
      </w:tr>
      <w:tr w:rsidR="00FD515A" w:rsidRPr="00A847B7" w14:paraId="7E707B18"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74454058" w14:textId="77777777" w:rsidR="00FD515A" w:rsidRPr="00A847B7" w:rsidRDefault="00FD515A">
            <w:pPr>
              <w:spacing w:beforeAutospacing="1" w:after="100" w:afterAutospacing="1"/>
            </w:pPr>
            <w:r w:rsidRPr="00A847B7">
              <w:t xml:space="preserve">131 </w:t>
            </w:r>
          </w:p>
        </w:tc>
        <w:tc>
          <w:tcPr>
            <w:tcW w:w="2713" w:type="dxa"/>
            <w:tcBorders>
              <w:top w:val="single" w:sz="4" w:space="0" w:color="auto"/>
              <w:left w:val="single" w:sz="4" w:space="0" w:color="auto"/>
              <w:bottom w:val="single" w:sz="4" w:space="0" w:color="auto"/>
              <w:right w:val="single" w:sz="4" w:space="0" w:color="auto"/>
            </w:tcBorders>
            <w:hideMark/>
          </w:tcPr>
          <w:p w14:paraId="1FC25CD8" w14:textId="77777777" w:rsidR="00FD515A" w:rsidRPr="00A847B7" w:rsidRDefault="00FD515A">
            <w:pPr>
              <w:spacing w:beforeAutospacing="1" w:after="100" w:afterAutospacing="1"/>
            </w:pPr>
            <w:r w:rsidRPr="00A847B7">
              <w:t xml:space="preserve">230 </w:t>
            </w:r>
          </w:p>
        </w:tc>
      </w:tr>
      <w:tr w:rsidR="00FD515A" w:rsidRPr="00A847B7" w14:paraId="59E6D99F"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3C2F4380" w14:textId="77777777" w:rsidR="00FD515A" w:rsidRPr="00A847B7" w:rsidRDefault="00FD515A">
            <w:pPr>
              <w:spacing w:beforeAutospacing="1" w:after="100" w:afterAutospacing="1"/>
            </w:pPr>
            <w:r w:rsidRPr="00A847B7">
              <w:t xml:space="preserve">132 </w:t>
            </w:r>
          </w:p>
        </w:tc>
        <w:tc>
          <w:tcPr>
            <w:tcW w:w="2713" w:type="dxa"/>
            <w:tcBorders>
              <w:top w:val="single" w:sz="4" w:space="0" w:color="auto"/>
              <w:left w:val="single" w:sz="4" w:space="0" w:color="auto"/>
              <w:bottom w:val="single" w:sz="4" w:space="0" w:color="auto"/>
              <w:right w:val="single" w:sz="4" w:space="0" w:color="auto"/>
            </w:tcBorders>
            <w:hideMark/>
          </w:tcPr>
          <w:p w14:paraId="7C3D6208" w14:textId="77777777" w:rsidR="00FD515A" w:rsidRPr="00A847B7" w:rsidRDefault="00FD515A">
            <w:pPr>
              <w:spacing w:beforeAutospacing="1" w:after="100" w:afterAutospacing="1"/>
            </w:pPr>
            <w:r w:rsidRPr="00A847B7">
              <w:t xml:space="preserve">240 </w:t>
            </w:r>
          </w:p>
        </w:tc>
      </w:tr>
      <w:tr w:rsidR="00FD515A" w:rsidRPr="00A847B7" w14:paraId="495642CA"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08378766" w14:textId="77777777" w:rsidR="00FD515A" w:rsidRPr="00A847B7" w:rsidRDefault="00FD515A">
            <w:pPr>
              <w:spacing w:beforeAutospacing="1" w:after="100" w:afterAutospacing="1"/>
            </w:pPr>
            <w:r w:rsidRPr="00A847B7">
              <w:t xml:space="preserve">133 </w:t>
            </w:r>
          </w:p>
        </w:tc>
        <w:tc>
          <w:tcPr>
            <w:tcW w:w="2713" w:type="dxa"/>
            <w:tcBorders>
              <w:top w:val="single" w:sz="4" w:space="0" w:color="auto"/>
              <w:left w:val="single" w:sz="4" w:space="0" w:color="auto"/>
              <w:bottom w:val="single" w:sz="4" w:space="0" w:color="auto"/>
              <w:right w:val="single" w:sz="4" w:space="0" w:color="auto"/>
            </w:tcBorders>
            <w:hideMark/>
          </w:tcPr>
          <w:p w14:paraId="55521757" w14:textId="77777777" w:rsidR="00FD515A" w:rsidRPr="00A847B7" w:rsidRDefault="00FD515A">
            <w:pPr>
              <w:spacing w:beforeAutospacing="1" w:after="100" w:afterAutospacing="1"/>
            </w:pPr>
            <w:r w:rsidRPr="00A847B7">
              <w:t xml:space="preserve">260 </w:t>
            </w:r>
          </w:p>
        </w:tc>
      </w:tr>
      <w:tr w:rsidR="00FD515A" w:rsidRPr="00A847B7" w14:paraId="34E5AF97"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0D4D2597" w14:textId="77777777" w:rsidR="00FD515A" w:rsidRPr="00A847B7" w:rsidRDefault="00FD515A">
            <w:pPr>
              <w:spacing w:beforeAutospacing="1" w:after="100" w:afterAutospacing="1"/>
            </w:pPr>
            <w:r w:rsidRPr="00A847B7">
              <w:t xml:space="preserve">134 </w:t>
            </w:r>
          </w:p>
        </w:tc>
        <w:tc>
          <w:tcPr>
            <w:tcW w:w="2713" w:type="dxa"/>
            <w:tcBorders>
              <w:top w:val="single" w:sz="4" w:space="0" w:color="auto"/>
              <w:left w:val="single" w:sz="4" w:space="0" w:color="auto"/>
              <w:bottom w:val="single" w:sz="4" w:space="0" w:color="auto"/>
              <w:right w:val="single" w:sz="4" w:space="0" w:color="auto"/>
            </w:tcBorders>
            <w:hideMark/>
          </w:tcPr>
          <w:p w14:paraId="63A7BC0A" w14:textId="77777777" w:rsidR="00FD515A" w:rsidRPr="00A847B7" w:rsidRDefault="00FD515A">
            <w:pPr>
              <w:spacing w:beforeAutospacing="1" w:after="100" w:afterAutospacing="1"/>
            </w:pPr>
            <w:r w:rsidRPr="00A847B7">
              <w:t xml:space="preserve">280 </w:t>
            </w:r>
          </w:p>
        </w:tc>
      </w:tr>
      <w:tr w:rsidR="00FD515A" w:rsidRPr="00A847B7" w14:paraId="13E94A57"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6A8DF32B" w14:textId="77777777" w:rsidR="00FD515A" w:rsidRPr="00A847B7" w:rsidRDefault="00FD515A">
            <w:pPr>
              <w:spacing w:beforeAutospacing="1" w:after="100" w:afterAutospacing="1"/>
            </w:pPr>
            <w:r w:rsidRPr="00A847B7">
              <w:t xml:space="preserve">135 </w:t>
            </w:r>
          </w:p>
        </w:tc>
        <w:tc>
          <w:tcPr>
            <w:tcW w:w="2713" w:type="dxa"/>
            <w:tcBorders>
              <w:top w:val="single" w:sz="4" w:space="0" w:color="auto"/>
              <w:left w:val="single" w:sz="4" w:space="0" w:color="auto"/>
              <w:bottom w:val="single" w:sz="4" w:space="0" w:color="auto"/>
              <w:right w:val="single" w:sz="4" w:space="0" w:color="auto"/>
            </w:tcBorders>
            <w:hideMark/>
          </w:tcPr>
          <w:p w14:paraId="62B6A51E" w14:textId="77777777" w:rsidR="00FD515A" w:rsidRPr="00A847B7" w:rsidRDefault="00FD515A">
            <w:pPr>
              <w:spacing w:beforeAutospacing="1" w:after="100" w:afterAutospacing="1"/>
            </w:pPr>
            <w:r w:rsidRPr="00A847B7">
              <w:t xml:space="preserve">310 </w:t>
            </w:r>
          </w:p>
        </w:tc>
      </w:tr>
      <w:tr w:rsidR="00FD515A" w:rsidRPr="00A847B7" w14:paraId="3880D5FD"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77D5A84B" w14:textId="77777777" w:rsidR="00FD515A" w:rsidRPr="00A847B7" w:rsidRDefault="00FD515A">
            <w:pPr>
              <w:spacing w:beforeAutospacing="1" w:after="100" w:afterAutospacing="1"/>
            </w:pPr>
            <w:r w:rsidRPr="00A847B7">
              <w:t xml:space="preserve">136 </w:t>
            </w:r>
          </w:p>
        </w:tc>
        <w:tc>
          <w:tcPr>
            <w:tcW w:w="2713" w:type="dxa"/>
            <w:tcBorders>
              <w:top w:val="single" w:sz="4" w:space="0" w:color="auto"/>
              <w:left w:val="single" w:sz="4" w:space="0" w:color="auto"/>
              <w:bottom w:val="single" w:sz="4" w:space="0" w:color="auto"/>
              <w:right w:val="single" w:sz="4" w:space="0" w:color="auto"/>
            </w:tcBorders>
            <w:hideMark/>
          </w:tcPr>
          <w:p w14:paraId="5AA64A64" w14:textId="77777777" w:rsidR="00FD515A" w:rsidRPr="00A847B7" w:rsidRDefault="00FD515A">
            <w:pPr>
              <w:spacing w:beforeAutospacing="1" w:after="100" w:afterAutospacing="1"/>
            </w:pPr>
            <w:r w:rsidRPr="00A847B7">
              <w:t xml:space="preserve">330 </w:t>
            </w:r>
          </w:p>
        </w:tc>
      </w:tr>
      <w:tr w:rsidR="00FD515A" w:rsidRPr="00A847B7" w14:paraId="70A81D23"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419E27D2" w14:textId="77777777" w:rsidR="00FD515A" w:rsidRPr="00A847B7" w:rsidRDefault="00FD515A">
            <w:pPr>
              <w:spacing w:beforeAutospacing="1" w:after="100" w:afterAutospacing="1"/>
            </w:pPr>
            <w:r w:rsidRPr="00A847B7">
              <w:t xml:space="preserve">137 </w:t>
            </w:r>
          </w:p>
        </w:tc>
        <w:tc>
          <w:tcPr>
            <w:tcW w:w="2713" w:type="dxa"/>
            <w:tcBorders>
              <w:top w:val="single" w:sz="4" w:space="0" w:color="auto"/>
              <w:left w:val="single" w:sz="4" w:space="0" w:color="auto"/>
              <w:bottom w:val="single" w:sz="4" w:space="0" w:color="auto"/>
              <w:right w:val="single" w:sz="4" w:space="0" w:color="auto"/>
            </w:tcBorders>
            <w:hideMark/>
          </w:tcPr>
          <w:p w14:paraId="6B6A861E" w14:textId="77777777" w:rsidR="00FD515A" w:rsidRPr="00A847B7" w:rsidRDefault="00FD515A">
            <w:pPr>
              <w:spacing w:beforeAutospacing="1" w:after="100" w:afterAutospacing="1"/>
            </w:pPr>
            <w:r w:rsidRPr="00A847B7">
              <w:t xml:space="preserve">360 </w:t>
            </w:r>
          </w:p>
        </w:tc>
      </w:tr>
      <w:tr w:rsidR="00FD515A" w:rsidRPr="00A847B7" w14:paraId="6F3165A5"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7C72CBCF" w14:textId="77777777" w:rsidR="00FD515A" w:rsidRPr="00A847B7" w:rsidRDefault="00FD515A">
            <w:pPr>
              <w:spacing w:beforeAutospacing="1" w:after="100" w:afterAutospacing="1"/>
            </w:pPr>
            <w:r w:rsidRPr="00A847B7">
              <w:t xml:space="preserve">138 </w:t>
            </w:r>
          </w:p>
        </w:tc>
        <w:tc>
          <w:tcPr>
            <w:tcW w:w="2713" w:type="dxa"/>
            <w:tcBorders>
              <w:top w:val="single" w:sz="4" w:space="0" w:color="auto"/>
              <w:left w:val="single" w:sz="4" w:space="0" w:color="auto"/>
              <w:bottom w:val="single" w:sz="4" w:space="0" w:color="auto"/>
              <w:right w:val="single" w:sz="4" w:space="0" w:color="auto"/>
            </w:tcBorders>
            <w:hideMark/>
          </w:tcPr>
          <w:p w14:paraId="5B01CD64" w14:textId="77777777" w:rsidR="00FD515A" w:rsidRPr="00A847B7" w:rsidRDefault="00FD515A">
            <w:pPr>
              <w:spacing w:beforeAutospacing="1" w:after="100" w:afterAutospacing="1"/>
            </w:pPr>
            <w:r w:rsidRPr="00A847B7">
              <w:t xml:space="preserve">400 </w:t>
            </w:r>
          </w:p>
        </w:tc>
      </w:tr>
      <w:tr w:rsidR="00FD515A" w:rsidRPr="00A847B7" w14:paraId="29E21C03"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55154F7F" w14:textId="77777777" w:rsidR="00FD515A" w:rsidRPr="00A847B7" w:rsidRDefault="00FD515A">
            <w:pPr>
              <w:spacing w:beforeAutospacing="1" w:after="100" w:afterAutospacing="1"/>
            </w:pPr>
            <w:r w:rsidRPr="00A847B7">
              <w:t xml:space="preserve">139 </w:t>
            </w:r>
          </w:p>
        </w:tc>
        <w:tc>
          <w:tcPr>
            <w:tcW w:w="2713" w:type="dxa"/>
            <w:tcBorders>
              <w:top w:val="single" w:sz="4" w:space="0" w:color="auto"/>
              <w:left w:val="single" w:sz="4" w:space="0" w:color="auto"/>
              <w:bottom w:val="single" w:sz="4" w:space="0" w:color="auto"/>
              <w:right w:val="single" w:sz="4" w:space="0" w:color="auto"/>
            </w:tcBorders>
            <w:hideMark/>
          </w:tcPr>
          <w:p w14:paraId="2D978BFC" w14:textId="77777777" w:rsidR="00FD515A" w:rsidRPr="00A847B7" w:rsidRDefault="00FD515A">
            <w:pPr>
              <w:spacing w:beforeAutospacing="1" w:after="100" w:afterAutospacing="1"/>
            </w:pPr>
            <w:r w:rsidRPr="00A847B7">
              <w:t xml:space="preserve">450 </w:t>
            </w:r>
          </w:p>
        </w:tc>
      </w:tr>
      <w:tr w:rsidR="00FD515A" w:rsidRPr="00A847B7" w14:paraId="46E09085"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62597448" w14:textId="77777777" w:rsidR="00FD515A" w:rsidRPr="00A847B7" w:rsidRDefault="00FD515A">
            <w:pPr>
              <w:spacing w:beforeAutospacing="1" w:after="100" w:afterAutospacing="1"/>
            </w:pPr>
            <w:r w:rsidRPr="00A847B7">
              <w:t xml:space="preserve">140 </w:t>
            </w:r>
          </w:p>
        </w:tc>
        <w:tc>
          <w:tcPr>
            <w:tcW w:w="2713" w:type="dxa"/>
            <w:tcBorders>
              <w:top w:val="single" w:sz="4" w:space="0" w:color="auto"/>
              <w:left w:val="single" w:sz="4" w:space="0" w:color="auto"/>
              <w:bottom w:val="single" w:sz="4" w:space="0" w:color="auto"/>
              <w:right w:val="single" w:sz="4" w:space="0" w:color="auto"/>
            </w:tcBorders>
            <w:hideMark/>
          </w:tcPr>
          <w:p w14:paraId="1CCEDC27" w14:textId="77777777" w:rsidR="00FD515A" w:rsidRPr="00A847B7" w:rsidRDefault="00FD515A">
            <w:pPr>
              <w:spacing w:beforeAutospacing="1" w:after="100" w:afterAutospacing="1"/>
            </w:pPr>
            <w:r w:rsidRPr="00A847B7">
              <w:t xml:space="preserve">540 </w:t>
            </w:r>
          </w:p>
        </w:tc>
      </w:tr>
      <w:tr w:rsidR="00FD515A" w:rsidRPr="00A847B7" w14:paraId="35FF7D24"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30151BAE" w14:textId="77777777" w:rsidR="00FD515A" w:rsidRPr="00A847B7" w:rsidRDefault="00FD515A">
            <w:pPr>
              <w:spacing w:beforeAutospacing="1" w:after="100" w:afterAutospacing="1"/>
            </w:pPr>
            <w:r w:rsidRPr="00A847B7">
              <w:t xml:space="preserve">141 </w:t>
            </w:r>
          </w:p>
        </w:tc>
        <w:tc>
          <w:tcPr>
            <w:tcW w:w="2713" w:type="dxa"/>
            <w:tcBorders>
              <w:top w:val="single" w:sz="4" w:space="0" w:color="auto"/>
              <w:left w:val="single" w:sz="4" w:space="0" w:color="auto"/>
              <w:bottom w:val="single" w:sz="4" w:space="0" w:color="auto"/>
              <w:right w:val="single" w:sz="4" w:space="0" w:color="auto"/>
            </w:tcBorders>
            <w:hideMark/>
          </w:tcPr>
          <w:p w14:paraId="34D3A220" w14:textId="77777777" w:rsidR="00FD515A" w:rsidRPr="00A847B7" w:rsidRDefault="00FD515A">
            <w:pPr>
              <w:spacing w:beforeAutospacing="1" w:after="100" w:afterAutospacing="1"/>
            </w:pPr>
            <w:r w:rsidRPr="00A847B7">
              <w:t xml:space="preserve">650 </w:t>
            </w:r>
          </w:p>
        </w:tc>
      </w:tr>
      <w:tr w:rsidR="00FD515A" w:rsidRPr="00A847B7" w14:paraId="3C96FAA4"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2570ADEA" w14:textId="77777777" w:rsidR="00FD515A" w:rsidRPr="00A847B7" w:rsidRDefault="00FD515A">
            <w:pPr>
              <w:spacing w:beforeAutospacing="1" w:after="100" w:afterAutospacing="1"/>
            </w:pPr>
            <w:r w:rsidRPr="00A847B7">
              <w:t xml:space="preserve">142 </w:t>
            </w:r>
          </w:p>
        </w:tc>
        <w:tc>
          <w:tcPr>
            <w:tcW w:w="2713" w:type="dxa"/>
            <w:tcBorders>
              <w:top w:val="single" w:sz="4" w:space="0" w:color="auto"/>
              <w:left w:val="single" w:sz="4" w:space="0" w:color="auto"/>
              <w:bottom w:val="single" w:sz="4" w:space="0" w:color="auto"/>
              <w:right w:val="single" w:sz="4" w:space="0" w:color="auto"/>
            </w:tcBorders>
            <w:hideMark/>
          </w:tcPr>
          <w:p w14:paraId="6ECCA9B2" w14:textId="77777777" w:rsidR="00FD515A" w:rsidRPr="00A847B7" w:rsidRDefault="00FD515A">
            <w:pPr>
              <w:spacing w:beforeAutospacing="1" w:after="100" w:afterAutospacing="1"/>
            </w:pPr>
            <w:r w:rsidRPr="00A847B7">
              <w:t xml:space="preserve">740 </w:t>
            </w:r>
          </w:p>
        </w:tc>
      </w:tr>
      <w:tr w:rsidR="00FD515A" w:rsidRPr="00A847B7" w14:paraId="1CED4FF9"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071A2B7D" w14:textId="77777777" w:rsidR="00FD515A" w:rsidRPr="00A847B7" w:rsidRDefault="00FD515A">
            <w:pPr>
              <w:spacing w:beforeAutospacing="1" w:after="100" w:afterAutospacing="1"/>
            </w:pPr>
            <w:r w:rsidRPr="00A847B7">
              <w:t xml:space="preserve">143 </w:t>
            </w:r>
          </w:p>
        </w:tc>
        <w:tc>
          <w:tcPr>
            <w:tcW w:w="2713" w:type="dxa"/>
            <w:tcBorders>
              <w:top w:val="single" w:sz="4" w:space="0" w:color="auto"/>
              <w:left w:val="single" w:sz="4" w:space="0" w:color="auto"/>
              <w:bottom w:val="single" w:sz="4" w:space="0" w:color="auto"/>
              <w:right w:val="single" w:sz="4" w:space="0" w:color="auto"/>
            </w:tcBorders>
            <w:hideMark/>
          </w:tcPr>
          <w:p w14:paraId="12031FF2" w14:textId="77777777" w:rsidR="00FD515A" w:rsidRPr="00A847B7" w:rsidRDefault="00FD515A">
            <w:pPr>
              <w:spacing w:beforeAutospacing="1" w:after="100" w:afterAutospacing="1"/>
            </w:pPr>
            <w:r w:rsidRPr="00A847B7">
              <w:t xml:space="preserve">818 </w:t>
            </w:r>
          </w:p>
        </w:tc>
      </w:tr>
      <w:tr w:rsidR="00FD515A" w:rsidRPr="00A847B7" w14:paraId="42B3B9F3"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5721BAC1" w14:textId="77777777" w:rsidR="00FD515A" w:rsidRPr="00A847B7" w:rsidRDefault="00FD515A">
            <w:pPr>
              <w:spacing w:beforeAutospacing="1" w:after="100" w:afterAutospacing="1"/>
            </w:pPr>
            <w:r w:rsidRPr="00A847B7">
              <w:t xml:space="preserve">144 </w:t>
            </w:r>
          </w:p>
        </w:tc>
        <w:tc>
          <w:tcPr>
            <w:tcW w:w="2713" w:type="dxa"/>
            <w:tcBorders>
              <w:top w:val="single" w:sz="4" w:space="0" w:color="auto"/>
              <w:left w:val="single" w:sz="4" w:space="0" w:color="auto"/>
              <w:bottom w:val="single" w:sz="4" w:space="0" w:color="auto"/>
              <w:right w:val="single" w:sz="4" w:space="0" w:color="auto"/>
            </w:tcBorders>
            <w:hideMark/>
          </w:tcPr>
          <w:p w14:paraId="440659E7" w14:textId="77777777" w:rsidR="00FD515A" w:rsidRPr="00A847B7" w:rsidRDefault="00FD515A">
            <w:pPr>
              <w:spacing w:beforeAutospacing="1" w:after="100" w:afterAutospacing="1"/>
            </w:pPr>
            <w:r w:rsidRPr="00A847B7">
              <w:t xml:space="preserve">898 </w:t>
            </w:r>
          </w:p>
        </w:tc>
      </w:tr>
      <w:tr w:rsidR="00FD515A" w:rsidRPr="00A847B7" w14:paraId="3BBB287F"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03F1809D" w14:textId="77777777" w:rsidR="00FD515A" w:rsidRPr="00A847B7" w:rsidRDefault="00FD515A">
            <w:pPr>
              <w:spacing w:beforeAutospacing="1" w:after="100" w:afterAutospacing="1"/>
            </w:pPr>
            <w:r w:rsidRPr="00A847B7">
              <w:t xml:space="preserve">145 </w:t>
            </w:r>
          </w:p>
        </w:tc>
        <w:tc>
          <w:tcPr>
            <w:tcW w:w="2713" w:type="dxa"/>
            <w:tcBorders>
              <w:top w:val="single" w:sz="4" w:space="0" w:color="auto"/>
              <w:left w:val="single" w:sz="4" w:space="0" w:color="auto"/>
              <w:bottom w:val="single" w:sz="4" w:space="0" w:color="auto"/>
              <w:right w:val="single" w:sz="4" w:space="0" w:color="auto"/>
            </w:tcBorders>
            <w:hideMark/>
          </w:tcPr>
          <w:p w14:paraId="62DFB8A3" w14:textId="77777777" w:rsidR="00FD515A" w:rsidRPr="00A847B7" w:rsidRDefault="00FD515A">
            <w:pPr>
              <w:spacing w:beforeAutospacing="1" w:after="100" w:afterAutospacing="1"/>
            </w:pPr>
            <w:r w:rsidRPr="00A847B7">
              <w:t xml:space="preserve">983 </w:t>
            </w:r>
          </w:p>
        </w:tc>
      </w:tr>
      <w:tr w:rsidR="00FD515A" w:rsidRPr="00A847B7" w14:paraId="1131406D"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160D5D77" w14:textId="77777777" w:rsidR="00FD515A" w:rsidRPr="00A847B7" w:rsidRDefault="00FD515A">
            <w:pPr>
              <w:spacing w:beforeAutospacing="1" w:after="100" w:afterAutospacing="1"/>
            </w:pPr>
            <w:r w:rsidRPr="00A847B7">
              <w:t xml:space="preserve">146 </w:t>
            </w:r>
          </w:p>
        </w:tc>
        <w:tc>
          <w:tcPr>
            <w:tcW w:w="2713" w:type="dxa"/>
            <w:tcBorders>
              <w:top w:val="single" w:sz="4" w:space="0" w:color="auto"/>
              <w:left w:val="single" w:sz="4" w:space="0" w:color="auto"/>
              <w:bottom w:val="single" w:sz="4" w:space="0" w:color="auto"/>
              <w:right w:val="single" w:sz="4" w:space="0" w:color="auto"/>
            </w:tcBorders>
            <w:hideMark/>
          </w:tcPr>
          <w:p w14:paraId="19C76318" w14:textId="77777777" w:rsidR="00FD515A" w:rsidRPr="00A847B7" w:rsidRDefault="00FD515A">
            <w:pPr>
              <w:spacing w:beforeAutospacing="1" w:after="100" w:afterAutospacing="1"/>
            </w:pPr>
            <w:r w:rsidRPr="00A847B7">
              <w:t xml:space="preserve">1 074 </w:t>
            </w:r>
          </w:p>
        </w:tc>
      </w:tr>
      <w:tr w:rsidR="00FD515A" w:rsidRPr="00A847B7" w14:paraId="68D10412"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29814B9F" w14:textId="77777777" w:rsidR="00FD515A" w:rsidRPr="00A847B7" w:rsidRDefault="00FD515A">
            <w:pPr>
              <w:spacing w:beforeAutospacing="1" w:after="100" w:afterAutospacing="1"/>
            </w:pPr>
            <w:r w:rsidRPr="00A847B7">
              <w:t xml:space="preserve">147 </w:t>
            </w:r>
          </w:p>
        </w:tc>
        <w:tc>
          <w:tcPr>
            <w:tcW w:w="2713" w:type="dxa"/>
            <w:tcBorders>
              <w:top w:val="single" w:sz="4" w:space="0" w:color="auto"/>
              <w:left w:val="single" w:sz="4" w:space="0" w:color="auto"/>
              <w:bottom w:val="single" w:sz="4" w:space="0" w:color="auto"/>
              <w:right w:val="single" w:sz="4" w:space="0" w:color="auto"/>
            </w:tcBorders>
            <w:hideMark/>
          </w:tcPr>
          <w:p w14:paraId="603EEB2D" w14:textId="77777777" w:rsidR="00FD515A" w:rsidRPr="00A847B7" w:rsidRDefault="00FD515A">
            <w:pPr>
              <w:spacing w:beforeAutospacing="1" w:after="100" w:afterAutospacing="1"/>
            </w:pPr>
            <w:r w:rsidRPr="00A847B7">
              <w:t xml:space="preserve">1 172 </w:t>
            </w:r>
          </w:p>
        </w:tc>
      </w:tr>
      <w:tr w:rsidR="00FD515A" w:rsidRPr="00A847B7" w14:paraId="5735726A"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359627DE" w14:textId="77777777" w:rsidR="00FD515A" w:rsidRPr="00A847B7" w:rsidRDefault="00FD515A">
            <w:pPr>
              <w:spacing w:beforeAutospacing="1" w:after="100" w:afterAutospacing="1"/>
            </w:pPr>
            <w:r w:rsidRPr="00A847B7">
              <w:t xml:space="preserve">148 </w:t>
            </w:r>
          </w:p>
        </w:tc>
        <w:tc>
          <w:tcPr>
            <w:tcW w:w="2713" w:type="dxa"/>
            <w:tcBorders>
              <w:top w:val="single" w:sz="4" w:space="0" w:color="auto"/>
              <w:left w:val="single" w:sz="4" w:space="0" w:color="auto"/>
              <w:bottom w:val="single" w:sz="4" w:space="0" w:color="auto"/>
              <w:right w:val="single" w:sz="4" w:space="0" w:color="auto"/>
            </w:tcBorders>
            <w:hideMark/>
          </w:tcPr>
          <w:p w14:paraId="5C8436C1" w14:textId="77777777" w:rsidR="00FD515A" w:rsidRPr="00A847B7" w:rsidRDefault="00FD515A">
            <w:pPr>
              <w:spacing w:beforeAutospacing="1" w:after="100" w:afterAutospacing="1"/>
            </w:pPr>
            <w:r w:rsidRPr="00A847B7">
              <w:t xml:space="preserve">1 276 </w:t>
            </w:r>
          </w:p>
        </w:tc>
      </w:tr>
      <w:tr w:rsidR="00FD515A" w:rsidRPr="00A847B7" w14:paraId="0EF34681"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3873205A" w14:textId="77777777" w:rsidR="00FD515A" w:rsidRPr="00A847B7" w:rsidRDefault="00FD515A">
            <w:pPr>
              <w:spacing w:beforeAutospacing="1" w:after="100" w:afterAutospacing="1"/>
            </w:pPr>
            <w:r w:rsidRPr="00A847B7">
              <w:t xml:space="preserve">149 </w:t>
            </w:r>
          </w:p>
        </w:tc>
        <w:tc>
          <w:tcPr>
            <w:tcW w:w="2713" w:type="dxa"/>
            <w:tcBorders>
              <w:top w:val="single" w:sz="4" w:space="0" w:color="auto"/>
              <w:left w:val="single" w:sz="4" w:space="0" w:color="auto"/>
              <w:bottom w:val="single" w:sz="4" w:space="0" w:color="auto"/>
              <w:right w:val="single" w:sz="4" w:space="0" w:color="auto"/>
            </w:tcBorders>
            <w:hideMark/>
          </w:tcPr>
          <w:p w14:paraId="33AD005A" w14:textId="77777777" w:rsidR="00FD515A" w:rsidRPr="00A847B7" w:rsidRDefault="00FD515A">
            <w:pPr>
              <w:spacing w:beforeAutospacing="1" w:after="100" w:afterAutospacing="1"/>
            </w:pPr>
            <w:r w:rsidRPr="00A847B7">
              <w:t xml:space="preserve">1 386 </w:t>
            </w:r>
          </w:p>
        </w:tc>
      </w:tr>
      <w:tr w:rsidR="00FD515A" w:rsidRPr="00A847B7" w14:paraId="39A8E8E2"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25E4731E" w14:textId="77777777" w:rsidR="00FD515A" w:rsidRPr="00A847B7" w:rsidRDefault="00FD515A">
            <w:pPr>
              <w:spacing w:beforeAutospacing="1" w:after="100" w:afterAutospacing="1"/>
            </w:pPr>
            <w:r w:rsidRPr="00A847B7">
              <w:t xml:space="preserve">150 </w:t>
            </w:r>
          </w:p>
        </w:tc>
        <w:tc>
          <w:tcPr>
            <w:tcW w:w="2713" w:type="dxa"/>
            <w:tcBorders>
              <w:top w:val="single" w:sz="4" w:space="0" w:color="auto"/>
              <w:left w:val="single" w:sz="4" w:space="0" w:color="auto"/>
              <w:bottom w:val="single" w:sz="4" w:space="0" w:color="auto"/>
              <w:right w:val="single" w:sz="4" w:space="0" w:color="auto"/>
            </w:tcBorders>
            <w:hideMark/>
          </w:tcPr>
          <w:p w14:paraId="48211ED7" w14:textId="77777777" w:rsidR="00FD515A" w:rsidRPr="00A847B7" w:rsidRDefault="00FD515A">
            <w:pPr>
              <w:spacing w:beforeAutospacing="1" w:after="100" w:afterAutospacing="1"/>
            </w:pPr>
            <w:r w:rsidRPr="00A847B7">
              <w:t xml:space="preserve">1 504 </w:t>
            </w:r>
          </w:p>
        </w:tc>
      </w:tr>
      <w:tr w:rsidR="00FD515A" w:rsidRPr="00A847B7" w14:paraId="15BA2A93"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1FFB0A95" w14:textId="77777777" w:rsidR="00FD515A" w:rsidRPr="00A847B7" w:rsidRDefault="00FD515A">
            <w:pPr>
              <w:spacing w:beforeAutospacing="1" w:after="100" w:afterAutospacing="1"/>
            </w:pPr>
            <w:r w:rsidRPr="00A847B7">
              <w:t xml:space="preserve">151 </w:t>
            </w:r>
          </w:p>
        </w:tc>
        <w:tc>
          <w:tcPr>
            <w:tcW w:w="2713" w:type="dxa"/>
            <w:tcBorders>
              <w:top w:val="single" w:sz="4" w:space="0" w:color="auto"/>
              <w:left w:val="single" w:sz="4" w:space="0" w:color="auto"/>
              <w:bottom w:val="single" w:sz="4" w:space="0" w:color="auto"/>
              <w:right w:val="single" w:sz="4" w:space="0" w:color="auto"/>
            </w:tcBorders>
            <w:hideMark/>
          </w:tcPr>
          <w:p w14:paraId="7CD1BFDB" w14:textId="77777777" w:rsidR="00FD515A" w:rsidRPr="00A847B7" w:rsidRDefault="00FD515A">
            <w:pPr>
              <w:spacing w:beforeAutospacing="1" w:after="100" w:afterAutospacing="1"/>
            </w:pPr>
            <w:r w:rsidRPr="00A847B7">
              <w:t xml:space="preserve">1 629 </w:t>
            </w:r>
          </w:p>
        </w:tc>
      </w:tr>
      <w:tr w:rsidR="00FD515A" w:rsidRPr="00A847B7" w14:paraId="0A7D69BA"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2200002D" w14:textId="77777777" w:rsidR="00FD515A" w:rsidRPr="00A847B7" w:rsidRDefault="00FD515A">
            <w:pPr>
              <w:spacing w:beforeAutospacing="1" w:after="100" w:afterAutospacing="1"/>
            </w:pPr>
            <w:r w:rsidRPr="00A847B7">
              <w:t xml:space="preserve">152 </w:t>
            </w:r>
          </w:p>
        </w:tc>
        <w:tc>
          <w:tcPr>
            <w:tcW w:w="2713" w:type="dxa"/>
            <w:tcBorders>
              <w:top w:val="single" w:sz="4" w:space="0" w:color="auto"/>
              <w:left w:val="single" w:sz="4" w:space="0" w:color="auto"/>
              <w:bottom w:val="single" w:sz="4" w:space="0" w:color="auto"/>
              <w:right w:val="single" w:sz="4" w:space="0" w:color="auto"/>
            </w:tcBorders>
            <w:hideMark/>
          </w:tcPr>
          <w:p w14:paraId="75138FB8" w14:textId="77777777" w:rsidR="00FD515A" w:rsidRPr="00A847B7" w:rsidRDefault="00FD515A">
            <w:pPr>
              <w:spacing w:beforeAutospacing="1" w:after="100" w:afterAutospacing="1"/>
            </w:pPr>
            <w:r w:rsidRPr="00A847B7">
              <w:t xml:space="preserve">1 761 </w:t>
            </w:r>
          </w:p>
        </w:tc>
      </w:tr>
      <w:tr w:rsidR="00FD515A" w:rsidRPr="00A847B7" w14:paraId="36D63715"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084DBCFF" w14:textId="77777777" w:rsidR="00FD515A" w:rsidRPr="00A847B7" w:rsidRDefault="00FD515A">
            <w:pPr>
              <w:spacing w:beforeAutospacing="1" w:after="100" w:afterAutospacing="1"/>
            </w:pPr>
            <w:r w:rsidRPr="00A847B7">
              <w:t xml:space="preserve">153 </w:t>
            </w:r>
          </w:p>
        </w:tc>
        <w:tc>
          <w:tcPr>
            <w:tcW w:w="2713" w:type="dxa"/>
            <w:tcBorders>
              <w:top w:val="single" w:sz="4" w:space="0" w:color="auto"/>
              <w:left w:val="single" w:sz="4" w:space="0" w:color="auto"/>
              <w:bottom w:val="single" w:sz="4" w:space="0" w:color="auto"/>
              <w:right w:val="single" w:sz="4" w:space="0" w:color="auto"/>
            </w:tcBorders>
            <w:hideMark/>
          </w:tcPr>
          <w:p w14:paraId="29582D7F" w14:textId="77777777" w:rsidR="00FD515A" w:rsidRPr="00A847B7" w:rsidRDefault="00FD515A">
            <w:pPr>
              <w:spacing w:beforeAutospacing="1" w:after="100" w:afterAutospacing="1"/>
            </w:pPr>
            <w:r w:rsidRPr="00A847B7">
              <w:t xml:space="preserve">1 901 </w:t>
            </w:r>
          </w:p>
        </w:tc>
      </w:tr>
      <w:tr w:rsidR="00FD515A" w:rsidRPr="00A847B7" w14:paraId="6EFD67F0"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530BE137" w14:textId="77777777" w:rsidR="00FD515A" w:rsidRPr="00A847B7" w:rsidRDefault="00FD515A">
            <w:pPr>
              <w:spacing w:beforeAutospacing="1" w:after="100" w:afterAutospacing="1"/>
            </w:pPr>
            <w:r w:rsidRPr="00A847B7">
              <w:t xml:space="preserve">154 </w:t>
            </w:r>
          </w:p>
        </w:tc>
        <w:tc>
          <w:tcPr>
            <w:tcW w:w="2713" w:type="dxa"/>
            <w:tcBorders>
              <w:top w:val="single" w:sz="4" w:space="0" w:color="auto"/>
              <w:left w:val="single" w:sz="4" w:space="0" w:color="auto"/>
              <w:bottom w:val="single" w:sz="4" w:space="0" w:color="auto"/>
              <w:right w:val="single" w:sz="4" w:space="0" w:color="auto"/>
            </w:tcBorders>
            <w:hideMark/>
          </w:tcPr>
          <w:p w14:paraId="09CBEADA" w14:textId="77777777" w:rsidR="00FD515A" w:rsidRPr="00A847B7" w:rsidRDefault="00FD515A">
            <w:pPr>
              <w:spacing w:beforeAutospacing="1" w:after="100" w:afterAutospacing="1"/>
            </w:pPr>
            <w:r w:rsidRPr="00A847B7">
              <w:t xml:space="preserve">2 049 </w:t>
            </w:r>
          </w:p>
        </w:tc>
      </w:tr>
      <w:tr w:rsidR="00FD515A" w:rsidRPr="00A847B7" w14:paraId="7257C27F"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0A894B9D" w14:textId="77777777" w:rsidR="00FD515A" w:rsidRPr="00A847B7" w:rsidRDefault="00FD515A">
            <w:pPr>
              <w:spacing w:beforeAutospacing="1" w:after="100" w:afterAutospacing="1"/>
            </w:pPr>
            <w:r w:rsidRPr="00A847B7">
              <w:t xml:space="preserve">155 </w:t>
            </w:r>
          </w:p>
        </w:tc>
        <w:tc>
          <w:tcPr>
            <w:tcW w:w="2713" w:type="dxa"/>
            <w:tcBorders>
              <w:top w:val="single" w:sz="4" w:space="0" w:color="auto"/>
              <w:left w:val="single" w:sz="4" w:space="0" w:color="auto"/>
              <w:bottom w:val="single" w:sz="4" w:space="0" w:color="auto"/>
              <w:right w:val="single" w:sz="4" w:space="0" w:color="auto"/>
            </w:tcBorders>
            <w:hideMark/>
          </w:tcPr>
          <w:p w14:paraId="50268F64" w14:textId="77777777" w:rsidR="00FD515A" w:rsidRPr="00A847B7" w:rsidRDefault="00FD515A">
            <w:pPr>
              <w:spacing w:beforeAutospacing="1" w:after="100" w:afterAutospacing="1"/>
            </w:pPr>
            <w:r w:rsidRPr="00A847B7">
              <w:t xml:space="preserve">2 205 </w:t>
            </w:r>
          </w:p>
        </w:tc>
      </w:tr>
      <w:tr w:rsidR="00FD515A" w:rsidRPr="00A847B7" w14:paraId="53F9BF43"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2BCD73CE" w14:textId="77777777" w:rsidR="00FD515A" w:rsidRPr="00A847B7" w:rsidRDefault="00FD515A">
            <w:pPr>
              <w:spacing w:beforeAutospacing="1" w:after="100" w:afterAutospacing="1"/>
            </w:pPr>
            <w:r w:rsidRPr="00A847B7">
              <w:t xml:space="preserve">156 </w:t>
            </w:r>
          </w:p>
        </w:tc>
        <w:tc>
          <w:tcPr>
            <w:tcW w:w="2713" w:type="dxa"/>
            <w:tcBorders>
              <w:top w:val="single" w:sz="4" w:space="0" w:color="auto"/>
              <w:left w:val="single" w:sz="4" w:space="0" w:color="auto"/>
              <w:bottom w:val="single" w:sz="4" w:space="0" w:color="auto"/>
              <w:right w:val="single" w:sz="4" w:space="0" w:color="auto"/>
            </w:tcBorders>
            <w:hideMark/>
          </w:tcPr>
          <w:p w14:paraId="03E06E72" w14:textId="77777777" w:rsidR="00FD515A" w:rsidRPr="00A847B7" w:rsidRDefault="00FD515A">
            <w:pPr>
              <w:spacing w:beforeAutospacing="1" w:after="100" w:afterAutospacing="1"/>
            </w:pPr>
            <w:r w:rsidRPr="00A847B7">
              <w:t xml:space="preserve">2 370 </w:t>
            </w:r>
          </w:p>
        </w:tc>
      </w:tr>
      <w:tr w:rsidR="00FD515A" w:rsidRPr="00A847B7" w14:paraId="2D99A712"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2F2B61DB" w14:textId="77777777" w:rsidR="00FD515A" w:rsidRPr="00A847B7" w:rsidRDefault="00FD515A">
            <w:pPr>
              <w:spacing w:beforeAutospacing="1" w:after="100" w:afterAutospacing="1"/>
            </w:pPr>
            <w:r w:rsidRPr="00A847B7">
              <w:t xml:space="preserve">157 </w:t>
            </w:r>
          </w:p>
        </w:tc>
        <w:tc>
          <w:tcPr>
            <w:tcW w:w="2713" w:type="dxa"/>
            <w:tcBorders>
              <w:top w:val="single" w:sz="4" w:space="0" w:color="auto"/>
              <w:left w:val="single" w:sz="4" w:space="0" w:color="auto"/>
              <w:bottom w:val="single" w:sz="4" w:space="0" w:color="auto"/>
              <w:right w:val="single" w:sz="4" w:space="0" w:color="auto"/>
            </w:tcBorders>
            <w:hideMark/>
          </w:tcPr>
          <w:p w14:paraId="2E55D358" w14:textId="77777777" w:rsidR="00FD515A" w:rsidRPr="00A847B7" w:rsidRDefault="00FD515A">
            <w:pPr>
              <w:spacing w:beforeAutospacing="1" w:after="100" w:afterAutospacing="1"/>
            </w:pPr>
            <w:r w:rsidRPr="00A847B7">
              <w:t xml:space="preserve">2 544 </w:t>
            </w:r>
          </w:p>
        </w:tc>
      </w:tr>
      <w:tr w:rsidR="00FD515A" w:rsidRPr="00A847B7" w14:paraId="0E2BAD5D"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7AAB17AE" w14:textId="77777777" w:rsidR="00FD515A" w:rsidRPr="00A847B7" w:rsidRDefault="00FD515A">
            <w:pPr>
              <w:spacing w:beforeAutospacing="1" w:after="100" w:afterAutospacing="1"/>
            </w:pPr>
            <w:r w:rsidRPr="00A847B7">
              <w:t xml:space="preserve">158 </w:t>
            </w:r>
          </w:p>
        </w:tc>
        <w:tc>
          <w:tcPr>
            <w:tcW w:w="2713" w:type="dxa"/>
            <w:tcBorders>
              <w:top w:val="single" w:sz="4" w:space="0" w:color="auto"/>
              <w:left w:val="single" w:sz="4" w:space="0" w:color="auto"/>
              <w:bottom w:val="single" w:sz="4" w:space="0" w:color="auto"/>
              <w:right w:val="single" w:sz="4" w:space="0" w:color="auto"/>
            </w:tcBorders>
            <w:hideMark/>
          </w:tcPr>
          <w:p w14:paraId="10B86C9E" w14:textId="77777777" w:rsidR="00FD515A" w:rsidRPr="00A847B7" w:rsidRDefault="00FD515A">
            <w:pPr>
              <w:spacing w:beforeAutospacing="1" w:after="100" w:afterAutospacing="1"/>
            </w:pPr>
            <w:r w:rsidRPr="00A847B7">
              <w:t xml:space="preserve">2 726 </w:t>
            </w:r>
          </w:p>
        </w:tc>
      </w:tr>
      <w:tr w:rsidR="00FD515A" w:rsidRPr="00A847B7" w14:paraId="51CB3895"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3CA67298" w14:textId="77777777" w:rsidR="00FD515A" w:rsidRPr="00A847B7" w:rsidRDefault="00FD515A">
            <w:pPr>
              <w:spacing w:beforeAutospacing="1" w:after="100" w:afterAutospacing="1"/>
            </w:pPr>
            <w:r w:rsidRPr="00A847B7">
              <w:t xml:space="preserve">159 </w:t>
            </w:r>
          </w:p>
        </w:tc>
        <w:tc>
          <w:tcPr>
            <w:tcW w:w="2713" w:type="dxa"/>
            <w:tcBorders>
              <w:top w:val="single" w:sz="4" w:space="0" w:color="auto"/>
              <w:left w:val="single" w:sz="4" w:space="0" w:color="auto"/>
              <w:bottom w:val="single" w:sz="4" w:space="0" w:color="auto"/>
              <w:right w:val="single" w:sz="4" w:space="0" w:color="auto"/>
            </w:tcBorders>
            <w:hideMark/>
          </w:tcPr>
          <w:p w14:paraId="588718B2" w14:textId="77777777" w:rsidR="00FD515A" w:rsidRPr="00A847B7" w:rsidRDefault="00FD515A">
            <w:pPr>
              <w:spacing w:beforeAutospacing="1" w:after="100" w:afterAutospacing="1"/>
            </w:pPr>
            <w:r w:rsidRPr="00A847B7">
              <w:t xml:space="preserve">2 918 </w:t>
            </w:r>
          </w:p>
        </w:tc>
      </w:tr>
      <w:tr w:rsidR="00FD515A" w:rsidRPr="00A847B7" w14:paraId="43C07C40"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7C4696C0" w14:textId="77777777" w:rsidR="00FD515A" w:rsidRPr="00A847B7" w:rsidRDefault="00FD515A">
            <w:pPr>
              <w:spacing w:beforeAutospacing="1" w:after="100" w:afterAutospacing="1"/>
            </w:pPr>
            <w:r w:rsidRPr="00A847B7">
              <w:t xml:space="preserve">160 </w:t>
            </w:r>
          </w:p>
        </w:tc>
        <w:tc>
          <w:tcPr>
            <w:tcW w:w="2713" w:type="dxa"/>
            <w:tcBorders>
              <w:top w:val="single" w:sz="4" w:space="0" w:color="auto"/>
              <w:left w:val="single" w:sz="4" w:space="0" w:color="auto"/>
              <w:bottom w:val="single" w:sz="4" w:space="0" w:color="auto"/>
              <w:right w:val="single" w:sz="4" w:space="0" w:color="auto"/>
            </w:tcBorders>
            <w:hideMark/>
          </w:tcPr>
          <w:p w14:paraId="3B122FCC" w14:textId="77777777" w:rsidR="00FD515A" w:rsidRPr="00A847B7" w:rsidRDefault="00FD515A">
            <w:pPr>
              <w:spacing w:beforeAutospacing="1" w:after="100" w:afterAutospacing="1"/>
            </w:pPr>
            <w:r w:rsidRPr="00A847B7">
              <w:t xml:space="preserve">3 119 </w:t>
            </w:r>
          </w:p>
        </w:tc>
      </w:tr>
      <w:tr w:rsidR="00FD515A" w:rsidRPr="00A847B7" w14:paraId="1BAB470D"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4A6B869B" w14:textId="77777777" w:rsidR="00FD515A" w:rsidRPr="00A847B7" w:rsidRDefault="00FD515A">
            <w:pPr>
              <w:spacing w:beforeAutospacing="1" w:after="100" w:afterAutospacing="1"/>
            </w:pPr>
            <w:r w:rsidRPr="00A847B7">
              <w:t xml:space="preserve">161 </w:t>
            </w:r>
          </w:p>
        </w:tc>
        <w:tc>
          <w:tcPr>
            <w:tcW w:w="2713" w:type="dxa"/>
            <w:tcBorders>
              <w:top w:val="single" w:sz="4" w:space="0" w:color="auto"/>
              <w:left w:val="single" w:sz="4" w:space="0" w:color="auto"/>
              <w:bottom w:val="single" w:sz="4" w:space="0" w:color="auto"/>
              <w:right w:val="single" w:sz="4" w:space="0" w:color="auto"/>
            </w:tcBorders>
            <w:hideMark/>
          </w:tcPr>
          <w:p w14:paraId="1A17BC9B" w14:textId="77777777" w:rsidR="00FD515A" w:rsidRPr="00A847B7" w:rsidRDefault="00FD515A">
            <w:pPr>
              <w:spacing w:beforeAutospacing="1" w:after="100" w:afterAutospacing="1"/>
            </w:pPr>
            <w:r w:rsidRPr="00A847B7">
              <w:t xml:space="preserve">3 331 </w:t>
            </w:r>
          </w:p>
        </w:tc>
      </w:tr>
      <w:tr w:rsidR="00FD515A" w:rsidRPr="00A847B7" w14:paraId="7A18D86A"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14D16ECE" w14:textId="77777777" w:rsidR="00FD515A" w:rsidRPr="00A847B7" w:rsidRDefault="00FD515A">
            <w:pPr>
              <w:spacing w:beforeAutospacing="1" w:after="100" w:afterAutospacing="1"/>
            </w:pPr>
            <w:r w:rsidRPr="00A847B7">
              <w:t xml:space="preserve">162 </w:t>
            </w:r>
          </w:p>
        </w:tc>
        <w:tc>
          <w:tcPr>
            <w:tcW w:w="2713" w:type="dxa"/>
            <w:tcBorders>
              <w:top w:val="single" w:sz="4" w:space="0" w:color="auto"/>
              <w:left w:val="single" w:sz="4" w:space="0" w:color="auto"/>
              <w:bottom w:val="single" w:sz="4" w:space="0" w:color="auto"/>
              <w:right w:val="single" w:sz="4" w:space="0" w:color="auto"/>
            </w:tcBorders>
            <w:hideMark/>
          </w:tcPr>
          <w:p w14:paraId="41948756" w14:textId="77777777" w:rsidR="00FD515A" w:rsidRPr="00A847B7" w:rsidRDefault="00FD515A">
            <w:pPr>
              <w:spacing w:beforeAutospacing="1" w:after="100" w:afterAutospacing="1"/>
            </w:pPr>
            <w:r w:rsidRPr="00A847B7">
              <w:t xml:space="preserve">3 552 </w:t>
            </w:r>
          </w:p>
        </w:tc>
      </w:tr>
      <w:tr w:rsidR="00FD515A" w:rsidRPr="00A847B7" w14:paraId="4944D837"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2633431C" w14:textId="77777777" w:rsidR="00FD515A" w:rsidRPr="00A847B7" w:rsidRDefault="00FD515A">
            <w:pPr>
              <w:spacing w:beforeAutospacing="1" w:after="100" w:afterAutospacing="1"/>
            </w:pPr>
            <w:r w:rsidRPr="00A847B7">
              <w:t xml:space="preserve">163 </w:t>
            </w:r>
          </w:p>
        </w:tc>
        <w:tc>
          <w:tcPr>
            <w:tcW w:w="2713" w:type="dxa"/>
            <w:tcBorders>
              <w:top w:val="single" w:sz="4" w:space="0" w:color="auto"/>
              <w:left w:val="single" w:sz="4" w:space="0" w:color="auto"/>
              <w:bottom w:val="single" w:sz="4" w:space="0" w:color="auto"/>
              <w:right w:val="single" w:sz="4" w:space="0" w:color="auto"/>
            </w:tcBorders>
            <w:hideMark/>
          </w:tcPr>
          <w:p w14:paraId="17A25288" w14:textId="77777777" w:rsidR="00FD515A" w:rsidRPr="00A847B7" w:rsidRDefault="00FD515A">
            <w:pPr>
              <w:spacing w:beforeAutospacing="1" w:after="100" w:afterAutospacing="1"/>
            </w:pPr>
            <w:r w:rsidRPr="00A847B7">
              <w:t xml:space="preserve">3 784 </w:t>
            </w:r>
          </w:p>
        </w:tc>
      </w:tr>
      <w:tr w:rsidR="00FD515A" w:rsidRPr="00A847B7" w14:paraId="396443F8"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71278148" w14:textId="77777777" w:rsidR="00FD515A" w:rsidRPr="00A847B7" w:rsidRDefault="00FD515A">
            <w:pPr>
              <w:spacing w:beforeAutospacing="1" w:after="100" w:afterAutospacing="1"/>
            </w:pPr>
            <w:r w:rsidRPr="00A847B7">
              <w:lastRenderedPageBreak/>
              <w:t xml:space="preserve">164 </w:t>
            </w:r>
          </w:p>
        </w:tc>
        <w:tc>
          <w:tcPr>
            <w:tcW w:w="2713" w:type="dxa"/>
            <w:tcBorders>
              <w:top w:val="single" w:sz="4" w:space="0" w:color="auto"/>
              <w:left w:val="single" w:sz="4" w:space="0" w:color="auto"/>
              <w:bottom w:val="single" w:sz="4" w:space="0" w:color="auto"/>
              <w:right w:val="single" w:sz="4" w:space="0" w:color="auto"/>
            </w:tcBorders>
            <w:hideMark/>
          </w:tcPr>
          <w:p w14:paraId="1397960E" w14:textId="77777777" w:rsidR="00FD515A" w:rsidRPr="00A847B7" w:rsidRDefault="00FD515A">
            <w:pPr>
              <w:spacing w:beforeAutospacing="1" w:after="100" w:afterAutospacing="1"/>
            </w:pPr>
            <w:r w:rsidRPr="00A847B7">
              <w:t xml:space="preserve">4 026 </w:t>
            </w:r>
          </w:p>
        </w:tc>
      </w:tr>
      <w:tr w:rsidR="00FD515A" w:rsidRPr="00A847B7" w14:paraId="61D79E91"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5690535D" w14:textId="77777777" w:rsidR="00FD515A" w:rsidRPr="00A847B7" w:rsidRDefault="00FD515A">
            <w:pPr>
              <w:spacing w:beforeAutospacing="1" w:after="100" w:afterAutospacing="1"/>
            </w:pPr>
            <w:r w:rsidRPr="00A847B7">
              <w:t xml:space="preserve">165 </w:t>
            </w:r>
          </w:p>
        </w:tc>
        <w:tc>
          <w:tcPr>
            <w:tcW w:w="2713" w:type="dxa"/>
            <w:tcBorders>
              <w:top w:val="single" w:sz="4" w:space="0" w:color="auto"/>
              <w:left w:val="single" w:sz="4" w:space="0" w:color="auto"/>
              <w:bottom w:val="single" w:sz="4" w:space="0" w:color="auto"/>
              <w:right w:val="single" w:sz="4" w:space="0" w:color="auto"/>
            </w:tcBorders>
            <w:hideMark/>
          </w:tcPr>
          <w:p w14:paraId="79DB018E" w14:textId="77777777" w:rsidR="00FD515A" w:rsidRPr="00A847B7" w:rsidRDefault="00FD515A">
            <w:pPr>
              <w:spacing w:beforeAutospacing="1" w:after="100" w:afterAutospacing="1"/>
            </w:pPr>
            <w:r w:rsidRPr="00A847B7">
              <w:t xml:space="preserve">4 279 </w:t>
            </w:r>
          </w:p>
        </w:tc>
      </w:tr>
      <w:tr w:rsidR="00FD515A" w:rsidRPr="00A847B7" w14:paraId="70E142B7"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27EB15CA" w14:textId="77777777" w:rsidR="00FD515A" w:rsidRPr="00A847B7" w:rsidRDefault="00FD515A">
            <w:pPr>
              <w:spacing w:beforeAutospacing="1" w:after="100" w:afterAutospacing="1"/>
            </w:pPr>
            <w:r w:rsidRPr="00A847B7">
              <w:t xml:space="preserve">166 </w:t>
            </w:r>
          </w:p>
        </w:tc>
        <w:tc>
          <w:tcPr>
            <w:tcW w:w="2713" w:type="dxa"/>
            <w:tcBorders>
              <w:top w:val="single" w:sz="4" w:space="0" w:color="auto"/>
              <w:left w:val="single" w:sz="4" w:space="0" w:color="auto"/>
              <w:bottom w:val="single" w:sz="4" w:space="0" w:color="auto"/>
              <w:right w:val="single" w:sz="4" w:space="0" w:color="auto"/>
            </w:tcBorders>
            <w:hideMark/>
          </w:tcPr>
          <w:p w14:paraId="00AFBC8E" w14:textId="77777777" w:rsidR="00FD515A" w:rsidRPr="00A847B7" w:rsidRDefault="00FD515A">
            <w:pPr>
              <w:spacing w:beforeAutospacing="1" w:after="100" w:afterAutospacing="1"/>
            </w:pPr>
            <w:r w:rsidRPr="00A847B7">
              <w:t xml:space="preserve">4 543 </w:t>
            </w:r>
          </w:p>
        </w:tc>
      </w:tr>
      <w:tr w:rsidR="00FD515A" w:rsidRPr="00A847B7" w14:paraId="1EB89F3D"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0CC949FD" w14:textId="77777777" w:rsidR="00FD515A" w:rsidRPr="00A847B7" w:rsidRDefault="00FD515A">
            <w:pPr>
              <w:spacing w:beforeAutospacing="1" w:after="100" w:afterAutospacing="1"/>
            </w:pPr>
            <w:r w:rsidRPr="00A847B7">
              <w:t xml:space="preserve">167 </w:t>
            </w:r>
          </w:p>
        </w:tc>
        <w:tc>
          <w:tcPr>
            <w:tcW w:w="2713" w:type="dxa"/>
            <w:tcBorders>
              <w:top w:val="single" w:sz="4" w:space="0" w:color="auto"/>
              <w:left w:val="single" w:sz="4" w:space="0" w:color="auto"/>
              <w:bottom w:val="single" w:sz="4" w:space="0" w:color="auto"/>
              <w:right w:val="single" w:sz="4" w:space="0" w:color="auto"/>
            </w:tcBorders>
            <w:hideMark/>
          </w:tcPr>
          <w:p w14:paraId="21283652" w14:textId="77777777" w:rsidR="00FD515A" w:rsidRPr="00A847B7" w:rsidRDefault="00FD515A">
            <w:pPr>
              <w:spacing w:beforeAutospacing="1" w:after="100" w:afterAutospacing="1"/>
            </w:pPr>
            <w:r w:rsidRPr="00A847B7">
              <w:t xml:space="preserve">4 818 </w:t>
            </w:r>
          </w:p>
        </w:tc>
      </w:tr>
      <w:tr w:rsidR="00FD515A" w:rsidRPr="00A847B7" w14:paraId="00EDFEAE"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2BC1AA86" w14:textId="77777777" w:rsidR="00FD515A" w:rsidRPr="00A847B7" w:rsidRDefault="00FD515A">
            <w:pPr>
              <w:spacing w:beforeAutospacing="1" w:after="100" w:afterAutospacing="1"/>
            </w:pPr>
            <w:r w:rsidRPr="00A847B7">
              <w:t xml:space="preserve">168 </w:t>
            </w:r>
          </w:p>
        </w:tc>
        <w:tc>
          <w:tcPr>
            <w:tcW w:w="2713" w:type="dxa"/>
            <w:tcBorders>
              <w:top w:val="single" w:sz="4" w:space="0" w:color="auto"/>
              <w:left w:val="single" w:sz="4" w:space="0" w:color="auto"/>
              <w:bottom w:val="single" w:sz="4" w:space="0" w:color="auto"/>
              <w:right w:val="single" w:sz="4" w:space="0" w:color="auto"/>
            </w:tcBorders>
            <w:hideMark/>
          </w:tcPr>
          <w:p w14:paraId="3FB79578" w14:textId="77777777" w:rsidR="00FD515A" w:rsidRPr="00A847B7" w:rsidRDefault="00FD515A">
            <w:pPr>
              <w:spacing w:beforeAutospacing="1" w:after="100" w:afterAutospacing="1"/>
            </w:pPr>
            <w:r w:rsidRPr="00A847B7">
              <w:t xml:space="preserve">5 105 </w:t>
            </w:r>
          </w:p>
        </w:tc>
      </w:tr>
      <w:tr w:rsidR="00FD515A" w:rsidRPr="00A847B7" w14:paraId="7FA14588"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455003C5" w14:textId="77777777" w:rsidR="00FD515A" w:rsidRPr="00A847B7" w:rsidRDefault="00FD515A">
            <w:pPr>
              <w:spacing w:beforeAutospacing="1" w:after="100" w:afterAutospacing="1"/>
            </w:pPr>
            <w:r w:rsidRPr="00A847B7">
              <w:t xml:space="preserve">169 </w:t>
            </w:r>
          </w:p>
        </w:tc>
        <w:tc>
          <w:tcPr>
            <w:tcW w:w="2713" w:type="dxa"/>
            <w:tcBorders>
              <w:top w:val="single" w:sz="4" w:space="0" w:color="auto"/>
              <w:left w:val="single" w:sz="4" w:space="0" w:color="auto"/>
              <w:bottom w:val="single" w:sz="4" w:space="0" w:color="auto"/>
              <w:right w:val="single" w:sz="4" w:space="0" w:color="auto"/>
            </w:tcBorders>
            <w:hideMark/>
          </w:tcPr>
          <w:p w14:paraId="29AD7D01" w14:textId="77777777" w:rsidR="00FD515A" w:rsidRPr="00A847B7" w:rsidRDefault="00FD515A">
            <w:pPr>
              <w:spacing w:beforeAutospacing="1" w:after="100" w:afterAutospacing="1"/>
            </w:pPr>
            <w:r w:rsidRPr="00A847B7">
              <w:t xml:space="preserve">5 404 </w:t>
            </w:r>
          </w:p>
        </w:tc>
      </w:tr>
      <w:tr w:rsidR="00FD515A" w:rsidRPr="00A847B7" w14:paraId="728188D6"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68F57F1F" w14:textId="77777777" w:rsidR="00FD515A" w:rsidRPr="00A847B7" w:rsidRDefault="00FD515A">
            <w:pPr>
              <w:spacing w:beforeAutospacing="1" w:after="100" w:afterAutospacing="1"/>
            </w:pPr>
            <w:r w:rsidRPr="00A847B7">
              <w:t xml:space="preserve">170 </w:t>
            </w:r>
          </w:p>
        </w:tc>
        <w:tc>
          <w:tcPr>
            <w:tcW w:w="2713" w:type="dxa"/>
            <w:tcBorders>
              <w:top w:val="single" w:sz="4" w:space="0" w:color="auto"/>
              <w:left w:val="single" w:sz="4" w:space="0" w:color="auto"/>
              <w:bottom w:val="single" w:sz="4" w:space="0" w:color="auto"/>
              <w:right w:val="single" w:sz="4" w:space="0" w:color="auto"/>
            </w:tcBorders>
            <w:hideMark/>
          </w:tcPr>
          <w:p w14:paraId="2D1AA6E6" w14:textId="77777777" w:rsidR="00FD515A" w:rsidRPr="00A847B7" w:rsidRDefault="00FD515A">
            <w:pPr>
              <w:spacing w:beforeAutospacing="1" w:after="100" w:afterAutospacing="1"/>
            </w:pPr>
            <w:r w:rsidRPr="00A847B7">
              <w:t xml:space="preserve">5 715 </w:t>
            </w:r>
          </w:p>
        </w:tc>
      </w:tr>
      <w:tr w:rsidR="00FD515A" w:rsidRPr="00A847B7" w14:paraId="12C3D37D"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6E6B7E4A" w14:textId="77777777" w:rsidR="00FD515A" w:rsidRPr="00A847B7" w:rsidRDefault="00FD515A">
            <w:pPr>
              <w:spacing w:beforeAutospacing="1" w:after="100" w:afterAutospacing="1"/>
            </w:pPr>
            <w:r w:rsidRPr="00A847B7">
              <w:t xml:space="preserve">171 </w:t>
            </w:r>
          </w:p>
        </w:tc>
        <w:tc>
          <w:tcPr>
            <w:tcW w:w="2713" w:type="dxa"/>
            <w:tcBorders>
              <w:top w:val="single" w:sz="4" w:space="0" w:color="auto"/>
              <w:left w:val="single" w:sz="4" w:space="0" w:color="auto"/>
              <w:bottom w:val="single" w:sz="4" w:space="0" w:color="auto"/>
              <w:right w:val="single" w:sz="4" w:space="0" w:color="auto"/>
            </w:tcBorders>
            <w:hideMark/>
          </w:tcPr>
          <w:p w14:paraId="2CD8C329" w14:textId="77777777" w:rsidR="00FD515A" w:rsidRPr="00A847B7" w:rsidRDefault="00FD515A">
            <w:pPr>
              <w:spacing w:beforeAutospacing="1" w:after="100" w:afterAutospacing="1"/>
            </w:pPr>
            <w:r w:rsidRPr="00A847B7">
              <w:t xml:space="preserve">6 039 </w:t>
            </w:r>
          </w:p>
        </w:tc>
      </w:tr>
      <w:tr w:rsidR="00FD515A" w:rsidRPr="00A847B7" w14:paraId="49FDE243"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7D9522D8" w14:textId="77777777" w:rsidR="00FD515A" w:rsidRPr="00A847B7" w:rsidRDefault="00FD515A">
            <w:pPr>
              <w:spacing w:beforeAutospacing="1" w:after="100" w:afterAutospacing="1"/>
            </w:pPr>
            <w:r w:rsidRPr="00A847B7">
              <w:t xml:space="preserve">172 </w:t>
            </w:r>
          </w:p>
        </w:tc>
        <w:tc>
          <w:tcPr>
            <w:tcW w:w="2713" w:type="dxa"/>
            <w:tcBorders>
              <w:top w:val="single" w:sz="4" w:space="0" w:color="auto"/>
              <w:left w:val="single" w:sz="4" w:space="0" w:color="auto"/>
              <w:bottom w:val="single" w:sz="4" w:space="0" w:color="auto"/>
              <w:right w:val="single" w:sz="4" w:space="0" w:color="auto"/>
            </w:tcBorders>
            <w:hideMark/>
          </w:tcPr>
          <w:p w14:paraId="5D66C0C3" w14:textId="77777777" w:rsidR="00FD515A" w:rsidRPr="00A847B7" w:rsidRDefault="00FD515A">
            <w:pPr>
              <w:spacing w:beforeAutospacing="1" w:after="100" w:afterAutospacing="1"/>
            </w:pPr>
            <w:r w:rsidRPr="00A847B7">
              <w:t xml:space="preserve">6 375 </w:t>
            </w:r>
          </w:p>
        </w:tc>
      </w:tr>
      <w:tr w:rsidR="00FD515A" w:rsidRPr="00A847B7" w14:paraId="1025732D"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2BDE13FC" w14:textId="77777777" w:rsidR="00FD515A" w:rsidRPr="00A847B7" w:rsidRDefault="00FD515A">
            <w:pPr>
              <w:spacing w:beforeAutospacing="1" w:after="100" w:afterAutospacing="1"/>
            </w:pPr>
            <w:r w:rsidRPr="00A847B7">
              <w:t xml:space="preserve">173 </w:t>
            </w:r>
          </w:p>
        </w:tc>
        <w:tc>
          <w:tcPr>
            <w:tcW w:w="2713" w:type="dxa"/>
            <w:tcBorders>
              <w:top w:val="single" w:sz="4" w:space="0" w:color="auto"/>
              <w:left w:val="single" w:sz="4" w:space="0" w:color="auto"/>
              <w:bottom w:val="single" w:sz="4" w:space="0" w:color="auto"/>
              <w:right w:val="single" w:sz="4" w:space="0" w:color="auto"/>
            </w:tcBorders>
            <w:hideMark/>
          </w:tcPr>
          <w:p w14:paraId="01B176C1" w14:textId="77777777" w:rsidR="00FD515A" w:rsidRPr="00A847B7" w:rsidRDefault="00FD515A">
            <w:pPr>
              <w:spacing w:beforeAutospacing="1" w:after="100" w:afterAutospacing="1"/>
            </w:pPr>
            <w:r w:rsidRPr="00A847B7">
              <w:t xml:space="preserve">6 724 </w:t>
            </w:r>
          </w:p>
        </w:tc>
      </w:tr>
      <w:tr w:rsidR="00FD515A" w:rsidRPr="00A847B7" w14:paraId="417E93A9"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07C04D82" w14:textId="77777777" w:rsidR="00FD515A" w:rsidRPr="00A847B7" w:rsidRDefault="00FD515A">
            <w:pPr>
              <w:spacing w:beforeAutospacing="1" w:after="100" w:afterAutospacing="1"/>
            </w:pPr>
            <w:r w:rsidRPr="00A847B7">
              <w:t xml:space="preserve">174 </w:t>
            </w:r>
          </w:p>
        </w:tc>
        <w:tc>
          <w:tcPr>
            <w:tcW w:w="2713" w:type="dxa"/>
            <w:tcBorders>
              <w:top w:val="single" w:sz="4" w:space="0" w:color="auto"/>
              <w:left w:val="single" w:sz="4" w:space="0" w:color="auto"/>
              <w:bottom w:val="single" w:sz="4" w:space="0" w:color="auto"/>
              <w:right w:val="single" w:sz="4" w:space="0" w:color="auto"/>
            </w:tcBorders>
            <w:hideMark/>
          </w:tcPr>
          <w:p w14:paraId="776A3BA1" w14:textId="77777777" w:rsidR="00FD515A" w:rsidRPr="00A847B7" w:rsidRDefault="00FD515A">
            <w:pPr>
              <w:spacing w:beforeAutospacing="1" w:after="100" w:afterAutospacing="1"/>
            </w:pPr>
            <w:r w:rsidRPr="00A847B7">
              <w:t xml:space="preserve">7 086 </w:t>
            </w:r>
          </w:p>
        </w:tc>
      </w:tr>
      <w:tr w:rsidR="00FD515A" w:rsidRPr="00A847B7" w14:paraId="6797ECCD"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2FF3A41F" w14:textId="77777777" w:rsidR="00FD515A" w:rsidRPr="00A847B7" w:rsidRDefault="00FD515A">
            <w:pPr>
              <w:spacing w:beforeAutospacing="1" w:after="100" w:afterAutospacing="1"/>
            </w:pPr>
            <w:r w:rsidRPr="00A847B7">
              <w:t xml:space="preserve">175 </w:t>
            </w:r>
          </w:p>
        </w:tc>
        <w:tc>
          <w:tcPr>
            <w:tcW w:w="2713" w:type="dxa"/>
            <w:tcBorders>
              <w:top w:val="single" w:sz="4" w:space="0" w:color="auto"/>
              <w:left w:val="single" w:sz="4" w:space="0" w:color="auto"/>
              <w:bottom w:val="single" w:sz="4" w:space="0" w:color="auto"/>
              <w:right w:val="single" w:sz="4" w:space="0" w:color="auto"/>
            </w:tcBorders>
            <w:hideMark/>
          </w:tcPr>
          <w:p w14:paraId="30EBF80E" w14:textId="77777777" w:rsidR="00FD515A" w:rsidRPr="00A847B7" w:rsidRDefault="00FD515A">
            <w:pPr>
              <w:spacing w:beforeAutospacing="1" w:after="100" w:afterAutospacing="1"/>
            </w:pPr>
            <w:r w:rsidRPr="00A847B7">
              <w:t xml:space="preserve">7 462 </w:t>
            </w:r>
          </w:p>
        </w:tc>
      </w:tr>
      <w:tr w:rsidR="00FD515A" w:rsidRPr="00A847B7" w14:paraId="142FA8B8"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4A646BC2" w14:textId="77777777" w:rsidR="00FD515A" w:rsidRPr="00A847B7" w:rsidRDefault="00FD515A">
            <w:pPr>
              <w:spacing w:beforeAutospacing="1" w:after="100" w:afterAutospacing="1"/>
            </w:pPr>
            <w:r w:rsidRPr="00A847B7">
              <w:t xml:space="preserve">176 </w:t>
            </w:r>
          </w:p>
        </w:tc>
        <w:tc>
          <w:tcPr>
            <w:tcW w:w="2713" w:type="dxa"/>
            <w:tcBorders>
              <w:top w:val="single" w:sz="4" w:space="0" w:color="auto"/>
              <w:left w:val="single" w:sz="4" w:space="0" w:color="auto"/>
              <w:bottom w:val="single" w:sz="4" w:space="0" w:color="auto"/>
              <w:right w:val="single" w:sz="4" w:space="0" w:color="auto"/>
            </w:tcBorders>
            <w:hideMark/>
          </w:tcPr>
          <w:p w14:paraId="0986D1EA" w14:textId="77777777" w:rsidR="00FD515A" w:rsidRPr="00A847B7" w:rsidRDefault="00FD515A">
            <w:pPr>
              <w:spacing w:beforeAutospacing="1" w:after="100" w:afterAutospacing="1"/>
            </w:pPr>
            <w:r w:rsidRPr="00A847B7">
              <w:t xml:space="preserve">7 851 </w:t>
            </w:r>
          </w:p>
        </w:tc>
      </w:tr>
      <w:tr w:rsidR="00FD515A" w:rsidRPr="00A847B7" w14:paraId="1517EB4D"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036862DB" w14:textId="77777777" w:rsidR="00FD515A" w:rsidRPr="00A847B7" w:rsidRDefault="00FD515A">
            <w:pPr>
              <w:spacing w:beforeAutospacing="1" w:after="100" w:afterAutospacing="1"/>
            </w:pPr>
            <w:r w:rsidRPr="00A847B7">
              <w:t xml:space="preserve">177 </w:t>
            </w:r>
          </w:p>
        </w:tc>
        <w:tc>
          <w:tcPr>
            <w:tcW w:w="2713" w:type="dxa"/>
            <w:tcBorders>
              <w:top w:val="single" w:sz="4" w:space="0" w:color="auto"/>
              <w:left w:val="single" w:sz="4" w:space="0" w:color="auto"/>
              <w:bottom w:val="single" w:sz="4" w:space="0" w:color="auto"/>
              <w:right w:val="single" w:sz="4" w:space="0" w:color="auto"/>
            </w:tcBorders>
            <w:hideMark/>
          </w:tcPr>
          <w:p w14:paraId="56A50E06" w14:textId="77777777" w:rsidR="00FD515A" w:rsidRPr="00A847B7" w:rsidRDefault="00FD515A">
            <w:pPr>
              <w:spacing w:beforeAutospacing="1" w:after="100" w:afterAutospacing="1"/>
            </w:pPr>
            <w:r w:rsidRPr="00A847B7">
              <w:t xml:space="preserve">8 254 </w:t>
            </w:r>
          </w:p>
        </w:tc>
      </w:tr>
      <w:tr w:rsidR="00FD515A" w:rsidRPr="00A847B7" w14:paraId="29A04B49"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51AAAAC2" w14:textId="77777777" w:rsidR="00FD515A" w:rsidRPr="00A847B7" w:rsidRDefault="00FD515A">
            <w:pPr>
              <w:spacing w:beforeAutospacing="1" w:after="100" w:afterAutospacing="1"/>
            </w:pPr>
            <w:r w:rsidRPr="00A847B7">
              <w:t xml:space="preserve">178 </w:t>
            </w:r>
          </w:p>
        </w:tc>
        <w:tc>
          <w:tcPr>
            <w:tcW w:w="2713" w:type="dxa"/>
            <w:tcBorders>
              <w:top w:val="single" w:sz="4" w:space="0" w:color="auto"/>
              <w:left w:val="single" w:sz="4" w:space="0" w:color="auto"/>
              <w:bottom w:val="single" w:sz="4" w:space="0" w:color="auto"/>
              <w:right w:val="single" w:sz="4" w:space="0" w:color="auto"/>
            </w:tcBorders>
            <w:hideMark/>
          </w:tcPr>
          <w:p w14:paraId="1B65C0C0" w14:textId="77777777" w:rsidR="00FD515A" w:rsidRPr="00A847B7" w:rsidRDefault="00FD515A">
            <w:pPr>
              <w:spacing w:beforeAutospacing="1" w:after="100" w:afterAutospacing="1"/>
            </w:pPr>
            <w:r w:rsidRPr="00A847B7">
              <w:t xml:space="preserve">8 671 </w:t>
            </w:r>
          </w:p>
        </w:tc>
      </w:tr>
      <w:tr w:rsidR="00FD515A" w:rsidRPr="00A847B7" w14:paraId="50A92A99"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0574F894" w14:textId="77777777" w:rsidR="00FD515A" w:rsidRPr="00A847B7" w:rsidRDefault="00FD515A">
            <w:pPr>
              <w:spacing w:beforeAutospacing="1" w:after="100" w:afterAutospacing="1"/>
            </w:pPr>
            <w:r w:rsidRPr="00A847B7">
              <w:t xml:space="preserve">179 </w:t>
            </w:r>
          </w:p>
        </w:tc>
        <w:tc>
          <w:tcPr>
            <w:tcW w:w="2713" w:type="dxa"/>
            <w:tcBorders>
              <w:top w:val="single" w:sz="4" w:space="0" w:color="auto"/>
              <w:left w:val="single" w:sz="4" w:space="0" w:color="auto"/>
              <w:bottom w:val="single" w:sz="4" w:space="0" w:color="auto"/>
              <w:right w:val="single" w:sz="4" w:space="0" w:color="auto"/>
            </w:tcBorders>
            <w:hideMark/>
          </w:tcPr>
          <w:p w14:paraId="7370FD0F" w14:textId="77777777" w:rsidR="00FD515A" w:rsidRPr="00A847B7" w:rsidRDefault="00FD515A">
            <w:pPr>
              <w:spacing w:beforeAutospacing="1" w:after="100" w:afterAutospacing="1"/>
            </w:pPr>
            <w:r w:rsidRPr="00A847B7">
              <w:t xml:space="preserve">9 103 </w:t>
            </w:r>
          </w:p>
        </w:tc>
      </w:tr>
      <w:tr w:rsidR="00FD515A" w:rsidRPr="00A847B7" w14:paraId="2AE90E07"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04D41D0E" w14:textId="77777777" w:rsidR="00FD515A" w:rsidRPr="00A847B7" w:rsidRDefault="00FD515A">
            <w:pPr>
              <w:spacing w:beforeAutospacing="1" w:after="100" w:afterAutospacing="1"/>
            </w:pPr>
            <w:r w:rsidRPr="00A847B7">
              <w:t xml:space="preserve">180 </w:t>
            </w:r>
          </w:p>
        </w:tc>
        <w:tc>
          <w:tcPr>
            <w:tcW w:w="2713" w:type="dxa"/>
            <w:tcBorders>
              <w:top w:val="single" w:sz="4" w:space="0" w:color="auto"/>
              <w:left w:val="single" w:sz="4" w:space="0" w:color="auto"/>
              <w:bottom w:val="single" w:sz="4" w:space="0" w:color="auto"/>
              <w:right w:val="single" w:sz="4" w:space="0" w:color="auto"/>
            </w:tcBorders>
            <w:hideMark/>
          </w:tcPr>
          <w:p w14:paraId="586B6406" w14:textId="77777777" w:rsidR="00FD515A" w:rsidRPr="00A847B7" w:rsidRDefault="00FD515A">
            <w:pPr>
              <w:spacing w:beforeAutospacing="1" w:after="100" w:afterAutospacing="1"/>
            </w:pPr>
            <w:r w:rsidRPr="00A847B7">
              <w:t xml:space="preserve">9 550 </w:t>
            </w:r>
          </w:p>
        </w:tc>
      </w:tr>
      <w:tr w:rsidR="00FD515A" w:rsidRPr="00A847B7" w14:paraId="78A47779"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49CBDFD6" w14:textId="77777777" w:rsidR="00FD515A" w:rsidRPr="00A847B7" w:rsidRDefault="00FD515A">
            <w:pPr>
              <w:spacing w:beforeAutospacing="1" w:after="100" w:afterAutospacing="1"/>
            </w:pPr>
            <w:r w:rsidRPr="00A847B7">
              <w:t xml:space="preserve">181 </w:t>
            </w:r>
          </w:p>
        </w:tc>
        <w:tc>
          <w:tcPr>
            <w:tcW w:w="2713" w:type="dxa"/>
            <w:tcBorders>
              <w:top w:val="single" w:sz="4" w:space="0" w:color="auto"/>
              <w:left w:val="single" w:sz="4" w:space="0" w:color="auto"/>
              <w:bottom w:val="single" w:sz="4" w:space="0" w:color="auto"/>
              <w:right w:val="single" w:sz="4" w:space="0" w:color="auto"/>
            </w:tcBorders>
            <w:hideMark/>
          </w:tcPr>
          <w:p w14:paraId="2D56DE8C" w14:textId="77777777" w:rsidR="00FD515A" w:rsidRPr="00A847B7" w:rsidRDefault="00FD515A">
            <w:pPr>
              <w:spacing w:beforeAutospacing="1" w:after="100" w:afterAutospacing="1"/>
            </w:pPr>
            <w:r w:rsidRPr="00A847B7">
              <w:t xml:space="preserve">10 011 </w:t>
            </w:r>
          </w:p>
        </w:tc>
      </w:tr>
      <w:tr w:rsidR="00FD515A" w:rsidRPr="00A847B7" w14:paraId="28F9E040"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58885C42" w14:textId="77777777" w:rsidR="00FD515A" w:rsidRPr="00A847B7" w:rsidRDefault="00FD515A">
            <w:pPr>
              <w:spacing w:beforeAutospacing="1" w:after="100" w:afterAutospacing="1"/>
            </w:pPr>
            <w:r w:rsidRPr="00A847B7">
              <w:t xml:space="preserve">182 </w:t>
            </w:r>
          </w:p>
        </w:tc>
        <w:tc>
          <w:tcPr>
            <w:tcW w:w="2713" w:type="dxa"/>
            <w:tcBorders>
              <w:top w:val="single" w:sz="4" w:space="0" w:color="auto"/>
              <w:left w:val="single" w:sz="4" w:space="0" w:color="auto"/>
              <w:bottom w:val="single" w:sz="4" w:space="0" w:color="auto"/>
              <w:right w:val="single" w:sz="4" w:space="0" w:color="auto"/>
            </w:tcBorders>
            <w:hideMark/>
          </w:tcPr>
          <w:p w14:paraId="02484133" w14:textId="77777777" w:rsidR="00FD515A" w:rsidRPr="00A847B7" w:rsidRDefault="00FD515A">
            <w:pPr>
              <w:spacing w:beforeAutospacing="1" w:after="100" w:afterAutospacing="1"/>
            </w:pPr>
            <w:r w:rsidRPr="00A847B7">
              <w:t xml:space="preserve">10 488 </w:t>
            </w:r>
          </w:p>
        </w:tc>
      </w:tr>
      <w:tr w:rsidR="00FD515A" w:rsidRPr="00A847B7" w14:paraId="582A7CC0"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151CBCDD" w14:textId="77777777" w:rsidR="00FD515A" w:rsidRPr="00A847B7" w:rsidRDefault="00FD515A">
            <w:pPr>
              <w:spacing w:beforeAutospacing="1" w:after="100" w:afterAutospacing="1"/>
            </w:pPr>
            <w:r w:rsidRPr="00A847B7">
              <w:t xml:space="preserve">183 </w:t>
            </w:r>
          </w:p>
        </w:tc>
        <w:tc>
          <w:tcPr>
            <w:tcW w:w="2713" w:type="dxa"/>
            <w:tcBorders>
              <w:top w:val="single" w:sz="4" w:space="0" w:color="auto"/>
              <w:left w:val="single" w:sz="4" w:space="0" w:color="auto"/>
              <w:bottom w:val="single" w:sz="4" w:space="0" w:color="auto"/>
              <w:right w:val="single" w:sz="4" w:space="0" w:color="auto"/>
            </w:tcBorders>
            <w:hideMark/>
          </w:tcPr>
          <w:p w14:paraId="0A862AF4" w14:textId="77777777" w:rsidR="00FD515A" w:rsidRPr="00A847B7" w:rsidRDefault="00FD515A">
            <w:pPr>
              <w:spacing w:beforeAutospacing="1" w:after="100" w:afterAutospacing="1"/>
            </w:pPr>
            <w:r w:rsidRPr="00A847B7">
              <w:t xml:space="preserve">10 980 </w:t>
            </w:r>
          </w:p>
        </w:tc>
      </w:tr>
      <w:tr w:rsidR="00FD515A" w:rsidRPr="00A847B7" w14:paraId="1E4020D8"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7100AEBC" w14:textId="77777777" w:rsidR="00FD515A" w:rsidRPr="00A847B7" w:rsidRDefault="00FD515A">
            <w:pPr>
              <w:spacing w:beforeAutospacing="1" w:after="100" w:afterAutospacing="1"/>
            </w:pPr>
            <w:r w:rsidRPr="00A847B7">
              <w:t xml:space="preserve">184 </w:t>
            </w:r>
          </w:p>
        </w:tc>
        <w:tc>
          <w:tcPr>
            <w:tcW w:w="2713" w:type="dxa"/>
            <w:tcBorders>
              <w:top w:val="single" w:sz="4" w:space="0" w:color="auto"/>
              <w:left w:val="single" w:sz="4" w:space="0" w:color="auto"/>
              <w:bottom w:val="single" w:sz="4" w:space="0" w:color="auto"/>
              <w:right w:val="single" w:sz="4" w:space="0" w:color="auto"/>
            </w:tcBorders>
            <w:hideMark/>
          </w:tcPr>
          <w:p w14:paraId="423C4C19" w14:textId="77777777" w:rsidR="00FD515A" w:rsidRPr="00A847B7" w:rsidRDefault="00FD515A">
            <w:pPr>
              <w:spacing w:beforeAutospacing="1" w:after="100" w:afterAutospacing="1"/>
            </w:pPr>
            <w:r w:rsidRPr="00A847B7">
              <w:t xml:space="preserve">11 488 </w:t>
            </w:r>
          </w:p>
        </w:tc>
      </w:tr>
      <w:tr w:rsidR="00FD515A" w:rsidRPr="00A847B7" w14:paraId="5166ADDE"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1D38B611" w14:textId="77777777" w:rsidR="00FD515A" w:rsidRPr="00A847B7" w:rsidRDefault="00FD515A">
            <w:pPr>
              <w:spacing w:beforeAutospacing="1" w:after="100" w:afterAutospacing="1"/>
            </w:pPr>
            <w:r w:rsidRPr="00A847B7">
              <w:t xml:space="preserve">185 </w:t>
            </w:r>
          </w:p>
        </w:tc>
        <w:tc>
          <w:tcPr>
            <w:tcW w:w="2713" w:type="dxa"/>
            <w:tcBorders>
              <w:top w:val="single" w:sz="4" w:space="0" w:color="auto"/>
              <w:left w:val="single" w:sz="4" w:space="0" w:color="auto"/>
              <w:bottom w:val="single" w:sz="4" w:space="0" w:color="auto"/>
              <w:right w:val="single" w:sz="4" w:space="0" w:color="auto"/>
            </w:tcBorders>
            <w:hideMark/>
          </w:tcPr>
          <w:p w14:paraId="23AD7B7A" w14:textId="77777777" w:rsidR="00FD515A" w:rsidRPr="00A847B7" w:rsidRDefault="00FD515A">
            <w:pPr>
              <w:spacing w:beforeAutospacing="1" w:after="100" w:afterAutospacing="1"/>
            </w:pPr>
            <w:r w:rsidRPr="00A847B7">
              <w:t xml:space="preserve">12 012 </w:t>
            </w:r>
          </w:p>
        </w:tc>
      </w:tr>
      <w:tr w:rsidR="00FD515A" w:rsidRPr="00A847B7" w14:paraId="7FFACA0B"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6B29007A" w14:textId="77777777" w:rsidR="00FD515A" w:rsidRPr="00A847B7" w:rsidRDefault="00FD515A">
            <w:pPr>
              <w:spacing w:beforeAutospacing="1" w:after="100" w:afterAutospacing="1"/>
            </w:pPr>
            <w:r w:rsidRPr="00A847B7">
              <w:t xml:space="preserve">186 </w:t>
            </w:r>
          </w:p>
        </w:tc>
        <w:tc>
          <w:tcPr>
            <w:tcW w:w="2713" w:type="dxa"/>
            <w:tcBorders>
              <w:top w:val="single" w:sz="4" w:space="0" w:color="auto"/>
              <w:left w:val="single" w:sz="4" w:space="0" w:color="auto"/>
              <w:bottom w:val="single" w:sz="4" w:space="0" w:color="auto"/>
              <w:right w:val="single" w:sz="4" w:space="0" w:color="auto"/>
            </w:tcBorders>
            <w:hideMark/>
          </w:tcPr>
          <w:p w14:paraId="1F043891" w14:textId="77777777" w:rsidR="00FD515A" w:rsidRPr="00A847B7" w:rsidRDefault="00FD515A">
            <w:pPr>
              <w:spacing w:beforeAutospacing="1" w:after="100" w:afterAutospacing="1"/>
            </w:pPr>
            <w:r w:rsidRPr="00A847B7">
              <w:t xml:space="preserve">12 552 </w:t>
            </w:r>
          </w:p>
        </w:tc>
      </w:tr>
      <w:tr w:rsidR="00FD515A" w:rsidRPr="00A847B7" w14:paraId="128C9CA6"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5326111D" w14:textId="77777777" w:rsidR="00FD515A" w:rsidRPr="00A847B7" w:rsidRDefault="00FD515A">
            <w:pPr>
              <w:spacing w:beforeAutospacing="1" w:after="100" w:afterAutospacing="1"/>
            </w:pPr>
            <w:r w:rsidRPr="00A847B7">
              <w:t xml:space="preserve">187 </w:t>
            </w:r>
          </w:p>
        </w:tc>
        <w:tc>
          <w:tcPr>
            <w:tcW w:w="2713" w:type="dxa"/>
            <w:tcBorders>
              <w:top w:val="single" w:sz="4" w:space="0" w:color="auto"/>
              <w:left w:val="single" w:sz="4" w:space="0" w:color="auto"/>
              <w:bottom w:val="single" w:sz="4" w:space="0" w:color="auto"/>
              <w:right w:val="single" w:sz="4" w:space="0" w:color="auto"/>
            </w:tcBorders>
            <w:hideMark/>
          </w:tcPr>
          <w:p w14:paraId="766B6EF5" w14:textId="77777777" w:rsidR="00FD515A" w:rsidRPr="00A847B7" w:rsidRDefault="00FD515A">
            <w:pPr>
              <w:spacing w:beforeAutospacing="1" w:after="100" w:afterAutospacing="1"/>
            </w:pPr>
            <w:r w:rsidRPr="00A847B7">
              <w:t xml:space="preserve">13 109 </w:t>
            </w:r>
          </w:p>
        </w:tc>
      </w:tr>
      <w:tr w:rsidR="00FD515A" w:rsidRPr="00A847B7" w14:paraId="5C989C9B"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376258A8" w14:textId="77777777" w:rsidR="00FD515A" w:rsidRPr="00A847B7" w:rsidRDefault="00FD515A">
            <w:pPr>
              <w:spacing w:beforeAutospacing="1" w:after="100" w:afterAutospacing="1"/>
            </w:pPr>
            <w:r w:rsidRPr="00A847B7">
              <w:t xml:space="preserve">188 </w:t>
            </w:r>
          </w:p>
        </w:tc>
        <w:tc>
          <w:tcPr>
            <w:tcW w:w="2713" w:type="dxa"/>
            <w:tcBorders>
              <w:top w:val="single" w:sz="4" w:space="0" w:color="auto"/>
              <w:left w:val="single" w:sz="4" w:space="0" w:color="auto"/>
              <w:bottom w:val="single" w:sz="4" w:space="0" w:color="auto"/>
              <w:right w:val="single" w:sz="4" w:space="0" w:color="auto"/>
            </w:tcBorders>
            <w:hideMark/>
          </w:tcPr>
          <w:p w14:paraId="52F00264" w14:textId="77777777" w:rsidR="00FD515A" w:rsidRPr="00A847B7" w:rsidRDefault="00FD515A">
            <w:pPr>
              <w:spacing w:beforeAutospacing="1" w:after="100" w:afterAutospacing="1"/>
            </w:pPr>
            <w:r w:rsidRPr="00A847B7">
              <w:t xml:space="preserve">13 682 </w:t>
            </w:r>
          </w:p>
        </w:tc>
      </w:tr>
      <w:tr w:rsidR="00FD515A" w:rsidRPr="00A847B7" w14:paraId="50B6A619"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65BCBDD3" w14:textId="77777777" w:rsidR="00FD515A" w:rsidRPr="00A847B7" w:rsidRDefault="00FD515A">
            <w:pPr>
              <w:spacing w:beforeAutospacing="1" w:after="100" w:afterAutospacing="1"/>
            </w:pPr>
            <w:r w:rsidRPr="00A847B7">
              <w:t xml:space="preserve">189 </w:t>
            </w:r>
          </w:p>
        </w:tc>
        <w:tc>
          <w:tcPr>
            <w:tcW w:w="2713" w:type="dxa"/>
            <w:tcBorders>
              <w:top w:val="single" w:sz="4" w:space="0" w:color="auto"/>
              <w:left w:val="single" w:sz="4" w:space="0" w:color="auto"/>
              <w:bottom w:val="single" w:sz="4" w:space="0" w:color="auto"/>
              <w:right w:val="single" w:sz="4" w:space="0" w:color="auto"/>
            </w:tcBorders>
            <w:hideMark/>
          </w:tcPr>
          <w:p w14:paraId="14CB277D" w14:textId="77777777" w:rsidR="00FD515A" w:rsidRPr="00A847B7" w:rsidRDefault="00FD515A">
            <w:pPr>
              <w:spacing w:beforeAutospacing="1" w:after="100" w:afterAutospacing="1"/>
            </w:pPr>
            <w:r w:rsidRPr="00A847B7">
              <w:t xml:space="preserve">14 273 </w:t>
            </w:r>
          </w:p>
        </w:tc>
      </w:tr>
      <w:tr w:rsidR="00FD515A" w:rsidRPr="00A847B7" w14:paraId="25A7A616"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0A0EF60F" w14:textId="77777777" w:rsidR="00FD515A" w:rsidRPr="00A847B7" w:rsidRDefault="00FD515A">
            <w:pPr>
              <w:spacing w:beforeAutospacing="1" w:after="100" w:afterAutospacing="1"/>
            </w:pPr>
            <w:r w:rsidRPr="00A847B7">
              <w:t xml:space="preserve">190 </w:t>
            </w:r>
          </w:p>
        </w:tc>
        <w:tc>
          <w:tcPr>
            <w:tcW w:w="2713" w:type="dxa"/>
            <w:tcBorders>
              <w:top w:val="single" w:sz="4" w:space="0" w:color="auto"/>
              <w:left w:val="single" w:sz="4" w:space="0" w:color="auto"/>
              <w:bottom w:val="single" w:sz="4" w:space="0" w:color="auto"/>
              <w:right w:val="single" w:sz="4" w:space="0" w:color="auto"/>
            </w:tcBorders>
            <w:hideMark/>
          </w:tcPr>
          <w:p w14:paraId="7B026347" w14:textId="77777777" w:rsidR="00FD515A" w:rsidRPr="00A847B7" w:rsidRDefault="00FD515A">
            <w:pPr>
              <w:spacing w:beforeAutospacing="1" w:after="100" w:afterAutospacing="1"/>
            </w:pPr>
            <w:r w:rsidRPr="00A847B7">
              <w:t xml:space="preserve">14 881 </w:t>
            </w:r>
          </w:p>
        </w:tc>
      </w:tr>
      <w:tr w:rsidR="00FD515A" w:rsidRPr="00A847B7" w14:paraId="0E1C427C"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2B9B673F" w14:textId="77777777" w:rsidR="00FD515A" w:rsidRPr="00A847B7" w:rsidRDefault="00FD515A">
            <w:pPr>
              <w:spacing w:beforeAutospacing="1" w:after="100" w:afterAutospacing="1"/>
            </w:pPr>
            <w:r w:rsidRPr="00A847B7">
              <w:t xml:space="preserve">191 </w:t>
            </w:r>
          </w:p>
        </w:tc>
        <w:tc>
          <w:tcPr>
            <w:tcW w:w="2713" w:type="dxa"/>
            <w:tcBorders>
              <w:top w:val="single" w:sz="4" w:space="0" w:color="auto"/>
              <w:left w:val="single" w:sz="4" w:space="0" w:color="auto"/>
              <w:bottom w:val="single" w:sz="4" w:space="0" w:color="auto"/>
              <w:right w:val="single" w:sz="4" w:space="0" w:color="auto"/>
            </w:tcBorders>
            <w:hideMark/>
          </w:tcPr>
          <w:p w14:paraId="03D499C8" w14:textId="77777777" w:rsidR="00FD515A" w:rsidRPr="00A847B7" w:rsidRDefault="00FD515A">
            <w:pPr>
              <w:spacing w:beforeAutospacing="1" w:after="100" w:afterAutospacing="1"/>
            </w:pPr>
            <w:r w:rsidRPr="00A847B7">
              <w:t xml:space="preserve">15 506 </w:t>
            </w:r>
          </w:p>
        </w:tc>
      </w:tr>
      <w:tr w:rsidR="00FD515A" w:rsidRPr="00A847B7" w14:paraId="3200B4FD"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6D2F44B1" w14:textId="77777777" w:rsidR="00FD515A" w:rsidRPr="00A847B7" w:rsidRDefault="00FD515A">
            <w:pPr>
              <w:spacing w:beforeAutospacing="1" w:after="100" w:afterAutospacing="1"/>
            </w:pPr>
            <w:r w:rsidRPr="00A847B7">
              <w:t xml:space="preserve">192 </w:t>
            </w:r>
          </w:p>
        </w:tc>
        <w:tc>
          <w:tcPr>
            <w:tcW w:w="2713" w:type="dxa"/>
            <w:tcBorders>
              <w:top w:val="single" w:sz="4" w:space="0" w:color="auto"/>
              <w:left w:val="single" w:sz="4" w:space="0" w:color="auto"/>
              <w:bottom w:val="single" w:sz="4" w:space="0" w:color="auto"/>
              <w:right w:val="single" w:sz="4" w:space="0" w:color="auto"/>
            </w:tcBorders>
            <w:hideMark/>
          </w:tcPr>
          <w:p w14:paraId="496B3C9A" w14:textId="77777777" w:rsidR="00FD515A" w:rsidRPr="00A847B7" w:rsidRDefault="00FD515A">
            <w:pPr>
              <w:spacing w:beforeAutospacing="1" w:after="100" w:afterAutospacing="1"/>
            </w:pPr>
            <w:r w:rsidRPr="00A847B7">
              <w:t xml:space="preserve">16 149 </w:t>
            </w:r>
          </w:p>
        </w:tc>
      </w:tr>
      <w:tr w:rsidR="00FD515A" w:rsidRPr="00A847B7" w14:paraId="1AECD78D"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602C2DF7" w14:textId="77777777" w:rsidR="00FD515A" w:rsidRPr="00A847B7" w:rsidRDefault="00FD515A">
            <w:pPr>
              <w:spacing w:beforeAutospacing="1" w:after="100" w:afterAutospacing="1"/>
            </w:pPr>
            <w:r w:rsidRPr="00A847B7">
              <w:t xml:space="preserve">193 </w:t>
            </w:r>
          </w:p>
        </w:tc>
        <w:tc>
          <w:tcPr>
            <w:tcW w:w="2713" w:type="dxa"/>
            <w:tcBorders>
              <w:top w:val="single" w:sz="4" w:space="0" w:color="auto"/>
              <w:left w:val="single" w:sz="4" w:space="0" w:color="auto"/>
              <w:bottom w:val="single" w:sz="4" w:space="0" w:color="auto"/>
              <w:right w:val="single" w:sz="4" w:space="0" w:color="auto"/>
            </w:tcBorders>
            <w:hideMark/>
          </w:tcPr>
          <w:p w14:paraId="19EC57B1" w14:textId="77777777" w:rsidR="00FD515A" w:rsidRPr="00A847B7" w:rsidRDefault="00FD515A">
            <w:pPr>
              <w:spacing w:beforeAutospacing="1" w:after="100" w:afterAutospacing="1"/>
            </w:pPr>
            <w:r w:rsidRPr="00A847B7">
              <w:t xml:space="preserve">16 810 </w:t>
            </w:r>
          </w:p>
        </w:tc>
      </w:tr>
      <w:tr w:rsidR="00FD515A" w:rsidRPr="00A847B7" w14:paraId="111572FE"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0B16032F" w14:textId="77777777" w:rsidR="00FD515A" w:rsidRPr="00A847B7" w:rsidRDefault="00FD515A">
            <w:pPr>
              <w:spacing w:beforeAutospacing="1" w:after="100" w:afterAutospacing="1"/>
            </w:pPr>
            <w:r w:rsidRPr="00A847B7">
              <w:t xml:space="preserve">194 </w:t>
            </w:r>
          </w:p>
        </w:tc>
        <w:tc>
          <w:tcPr>
            <w:tcW w:w="2713" w:type="dxa"/>
            <w:tcBorders>
              <w:top w:val="single" w:sz="4" w:space="0" w:color="auto"/>
              <w:left w:val="single" w:sz="4" w:space="0" w:color="auto"/>
              <w:bottom w:val="single" w:sz="4" w:space="0" w:color="auto"/>
              <w:right w:val="single" w:sz="4" w:space="0" w:color="auto"/>
            </w:tcBorders>
            <w:hideMark/>
          </w:tcPr>
          <w:p w14:paraId="6684D613" w14:textId="77777777" w:rsidR="00FD515A" w:rsidRPr="00A847B7" w:rsidRDefault="00FD515A">
            <w:pPr>
              <w:spacing w:beforeAutospacing="1" w:after="100" w:afterAutospacing="1"/>
            </w:pPr>
            <w:r w:rsidRPr="00A847B7">
              <w:t xml:space="preserve">17 490 </w:t>
            </w:r>
          </w:p>
        </w:tc>
      </w:tr>
      <w:tr w:rsidR="00FD515A" w:rsidRPr="00A847B7" w14:paraId="23384579"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7EE936D0" w14:textId="77777777" w:rsidR="00FD515A" w:rsidRPr="00A847B7" w:rsidRDefault="00FD515A">
            <w:pPr>
              <w:spacing w:beforeAutospacing="1" w:after="100" w:afterAutospacing="1"/>
            </w:pPr>
            <w:r w:rsidRPr="00A847B7">
              <w:t xml:space="preserve">195 </w:t>
            </w:r>
          </w:p>
        </w:tc>
        <w:tc>
          <w:tcPr>
            <w:tcW w:w="2713" w:type="dxa"/>
            <w:tcBorders>
              <w:top w:val="single" w:sz="4" w:space="0" w:color="auto"/>
              <w:left w:val="single" w:sz="4" w:space="0" w:color="auto"/>
              <w:bottom w:val="single" w:sz="4" w:space="0" w:color="auto"/>
              <w:right w:val="single" w:sz="4" w:space="0" w:color="auto"/>
            </w:tcBorders>
            <w:hideMark/>
          </w:tcPr>
          <w:p w14:paraId="53E8C0C6" w14:textId="77777777" w:rsidR="00FD515A" w:rsidRPr="00A847B7" w:rsidRDefault="00FD515A">
            <w:pPr>
              <w:spacing w:beforeAutospacing="1" w:after="100" w:afterAutospacing="1"/>
            </w:pPr>
            <w:r w:rsidRPr="00A847B7">
              <w:t xml:space="preserve">18 188 </w:t>
            </w:r>
          </w:p>
        </w:tc>
      </w:tr>
      <w:tr w:rsidR="00FD515A" w:rsidRPr="00A847B7" w14:paraId="2CF63FA3"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40CDE8C1" w14:textId="77777777" w:rsidR="00FD515A" w:rsidRPr="00A847B7" w:rsidRDefault="00FD515A">
            <w:pPr>
              <w:spacing w:beforeAutospacing="1" w:after="100" w:afterAutospacing="1"/>
            </w:pPr>
            <w:r w:rsidRPr="00A847B7">
              <w:t xml:space="preserve">196 </w:t>
            </w:r>
          </w:p>
        </w:tc>
        <w:tc>
          <w:tcPr>
            <w:tcW w:w="2713" w:type="dxa"/>
            <w:tcBorders>
              <w:top w:val="single" w:sz="4" w:space="0" w:color="auto"/>
              <w:left w:val="single" w:sz="4" w:space="0" w:color="auto"/>
              <w:bottom w:val="single" w:sz="4" w:space="0" w:color="auto"/>
              <w:right w:val="single" w:sz="4" w:space="0" w:color="auto"/>
            </w:tcBorders>
            <w:hideMark/>
          </w:tcPr>
          <w:p w14:paraId="36671DFD" w14:textId="77777777" w:rsidR="00FD515A" w:rsidRPr="00A847B7" w:rsidRDefault="00FD515A">
            <w:pPr>
              <w:spacing w:beforeAutospacing="1" w:after="100" w:afterAutospacing="1"/>
            </w:pPr>
            <w:r w:rsidRPr="00A847B7">
              <w:t xml:space="preserve">18 905 </w:t>
            </w:r>
          </w:p>
        </w:tc>
      </w:tr>
      <w:tr w:rsidR="00FD515A" w:rsidRPr="00A847B7" w14:paraId="2407E805"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7DF42A0D" w14:textId="77777777" w:rsidR="00FD515A" w:rsidRPr="00A847B7" w:rsidRDefault="00FD515A">
            <w:pPr>
              <w:spacing w:beforeAutospacing="1" w:after="100" w:afterAutospacing="1"/>
            </w:pPr>
            <w:r w:rsidRPr="00A847B7">
              <w:t xml:space="preserve">197 </w:t>
            </w:r>
          </w:p>
        </w:tc>
        <w:tc>
          <w:tcPr>
            <w:tcW w:w="2713" w:type="dxa"/>
            <w:tcBorders>
              <w:top w:val="single" w:sz="4" w:space="0" w:color="auto"/>
              <w:left w:val="single" w:sz="4" w:space="0" w:color="auto"/>
              <w:bottom w:val="single" w:sz="4" w:space="0" w:color="auto"/>
              <w:right w:val="single" w:sz="4" w:space="0" w:color="auto"/>
            </w:tcBorders>
            <w:hideMark/>
          </w:tcPr>
          <w:p w14:paraId="1AFE2CC3" w14:textId="77777777" w:rsidR="00FD515A" w:rsidRPr="00A847B7" w:rsidRDefault="00FD515A">
            <w:pPr>
              <w:spacing w:beforeAutospacing="1" w:after="100" w:afterAutospacing="1"/>
            </w:pPr>
            <w:r w:rsidRPr="00A847B7">
              <w:t xml:space="preserve">19 641 </w:t>
            </w:r>
          </w:p>
        </w:tc>
      </w:tr>
      <w:tr w:rsidR="00FD515A" w:rsidRPr="00A847B7" w14:paraId="7165CC5E"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5E5CBD9D" w14:textId="77777777" w:rsidR="00FD515A" w:rsidRPr="00A847B7" w:rsidRDefault="00FD515A">
            <w:pPr>
              <w:spacing w:beforeAutospacing="1" w:after="100" w:afterAutospacing="1"/>
            </w:pPr>
            <w:r w:rsidRPr="00A847B7">
              <w:t xml:space="preserve">198 </w:t>
            </w:r>
          </w:p>
        </w:tc>
        <w:tc>
          <w:tcPr>
            <w:tcW w:w="2713" w:type="dxa"/>
            <w:tcBorders>
              <w:top w:val="single" w:sz="4" w:space="0" w:color="auto"/>
              <w:left w:val="single" w:sz="4" w:space="0" w:color="auto"/>
              <w:bottom w:val="single" w:sz="4" w:space="0" w:color="auto"/>
              <w:right w:val="single" w:sz="4" w:space="0" w:color="auto"/>
            </w:tcBorders>
            <w:hideMark/>
          </w:tcPr>
          <w:p w14:paraId="26E319E9" w14:textId="77777777" w:rsidR="00FD515A" w:rsidRPr="00A847B7" w:rsidRDefault="00FD515A">
            <w:pPr>
              <w:spacing w:beforeAutospacing="1" w:after="100" w:afterAutospacing="1"/>
            </w:pPr>
            <w:r w:rsidRPr="00A847B7">
              <w:t xml:space="preserve">20 396 </w:t>
            </w:r>
          </w:p>
        </w:tc>
      </w:tr>
      <w:tr w:rsidR="00FD515A" w:rsidRPr="00A847B7" w14:paraId="6F1F6768"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695E3259" w14:textId="77777777" w:rsidR="00FD515A" w:rsidRPr="00A847B7" w:rsidRDefault="00FD515A">
            <w:pPr>
              <w:spacing w:beforeAutospacing="1" w:after="100" w:afterAutospacing="1"/>
            </w:pPr>
            <w:r w:rsidRPr="00A847B7">
              <w:t xml:space="preserve">199 </w:t>
            </w:r>
          </w:p>
        </w:tc>
        <w:tc>
          <w:tcPr>
            <w:tcW w:w="2713" w:type="dxa"/>
            <w:tcBorders>
              <w:top w:val="single" w:sz="4" w:space="0" w:color="auto"/>
              <w:left w:val="single" w:sz="4" w:space="0" w:color="auto"/>
              <w:bottom w:val="single" w:sz="4" w:space="0" w:color="auto"/>
              <w:right w:val="single" w:sz="4" w:space="0" w:color="auto"/>
            </w:tcBorders>
            <w:hideMark/>
          </w:tcPr>
          <w:p w14:paraId="5DBE7871" w14:textId="77777777" w:rsidR="00FD515A" w:rsidRPr="00A847B7" w:rsidRDefault="00FD515A">
            <w:pPr>
              <w:spacing w:beforeAutospacing="1" w:after="100" w:afterAutospacing="1"/>
            </w:pPr>
            <w:r w:rsidRPr="00A847B7">
              <w:t xml:space="preserve">21 171 </w:t>
            </w:r>
          </w:p>
        </w:tc>
      </w:tr>
      <w:tr w:rsidR="00FD515A" w:rsidRPr="00A847B7" w14:paraId="305A6191"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22CEF140" w14:textId="77777777" w:rsidR="00FD515A" w:rsidRPr="00A847B7" w:rsidRDefault="00FD515A">
            <w:pPr>
              <w:spacing w:beforeAutospacing="1" w:after="100" w:afterAutospacing="1"/>
            </w:pPr>
            <w:r w:rsidRPr="00A847B7">
              <w:t xml:space="preserve">200 </w:t>
            </w:r>
          </w:p>
        </w:tc>
        <w:tc>
          <w:tcPr>
            <w:tcW w:w="2713" w:type="dxa"/>
            <w:tcBorders>
              <w:top w:val="single" w:sz="4" w:space="0" w:color="auto"/>
              <w:left w:val="single" w:sz="4" w:space="0" w:color="auto"/>
              <w:bottom w:val="single" w:sz="4" w:space="0" w:color="auto"/>
              <w:right w:val="single" w:sz="4" w:space="0" w:color="auto"/>
            </w:tcBorders>
            <w:hideMark/>
          </w:tcPr>
          <w:p w14:paraId="7809F073" w14:textId="77777777" w:rsidR="00FD515A" w:rsidRPr="00A847B7" w:rsidRDefault="00FD515A">
            <w:pPr>
              <w:spacing w:beforeAutospacing="1" w:after="100" w:afterAutospacing="1"/>
            </w:pPr>
            <w:r w:rsidRPr="00A847B7">
              <w:t xml:space="preserve">21 966 </w:t>
            </w:r>
          </w:p>
        </w:tc>
      </w:tr>
      <w:tr w:rsidR="00FD515A" w:rsidRPr="00A847B7" w14:paraId="65BEE351"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165DBFD6" w14:textId="77777777" w:rsidR="00FD515A" w:rsidRPr="00A847B7" w:rsidRDefault="00FD515A">
            <w:pPr>
              <w:spacing w:beforeAutospacing="1" w:after="100" w:afterAutospacing="1"/>
            </w:pPr>
            <w:r w:rsidRPr="00A847B7">
              <w:t xml:space="preserve">201 </w:t>
            </w:r>
          </w:p>
        </w:tc>
        <w:tc>
          <w:tcPr>
            <w:tcW w:w="2713" w:type="dxa"/>
            <w:tcBorders>
              <w:top w:val="single" w:sz="4" w:space="0" w:color="auto"/>
              <w:left w:val="single" w:sz="4" w:space="0" w:color="auto"/>
              <w:bottom w:val="single" w:sz="4" w:space="0" w:color="auto"/>
              <w:right w:val="single" w:sz="4" w:space="0" w:color="auto"/>
            </w:tcBorders>
            <w:hideMark/>
          </w:tcPr>
          <w:p w14:paraId="25952526" w14:textId="77777777" w:rsidR="00FD515A" w:rsidRPr="00A847B7" w:rsidRDefault="00FD515A">
            <w:pPr>
              <w:spacing w:beforeAutospacing="1" w:after="100" w:afterAutospacing="1"/>
            </w:pPr>
            <w:r w:rsidRPr="00A847B7">
              <w:t xml:space="preserve">22 781 </w:t>
            </w:r>
          </w:p>
        </w:tc>
      </w:tr>
      <w:tr w:rsidR="00FD515A" w:rsidRPr="00A847B7" w14:paraId="25862E4A"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67238353" w14:textId="77777777" w:rsidR="00FD515A" w:rsidRPr="00A847B7" w:rsidRDefault="00FD515A">
            <w:pPr>
              <w:spacing w:beforeAutospacing="1" w:after="100" w:afterAutospacing="1"/>
            </w:pPr>
            <w:r w:rsidRPr="00A847B7">
              <w:t xml:space="preserve">202 </w:t>
            </w:r>
          </w:p>
        </w:tc>
        <w:tc>
          <w:tcPr>
            <w:tcW w:w="2713" w:type="dxa"/>
            <w:tcBorders>
              <w:top w:val="single" w:sz="4" w:space="0" w:color="auto"/>
              <w:left w:val="single" w:sz="4" w:space="0" w:color="auto"/>
              <w:bottom w:val="single" w:sz="4" w:space="0" w:color="auto"/>
              <w:right w:val="single" w:sz="4" w:space="0" w:color="auto"/>
            </w:tcBorders>
            <w:hideMark/>
          </w:tcPr>
          <w:p w14:paraId="5871EC61" w14:textId="77777777" w:rsidR="00FD515A" w:rsidRPr="00A847B7" w:rsidRDefault="00FD515A">
            <w:pPr>
              <w:spacing w:beforeAutospacing="1" w:after="100" w:afterAutospacing="1"/>
            </w:pPr>
            <w:r w:rsidRPr="00A847B7">
              <w:t xml:space="preserve">23 616 </w:t>
            </w:r>
          </w:p>
        </w:tc>
      </w:tr>
      <w:tr w:rsidR="00FD515A" w:rsidRPr="00A847B7" w14:paraId="05131028"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27AA99B0" w14:textId="77777777" w:rsidR="00FD515A" w:rsidRPr="00A847B7" w:rsidRDefault="00FD515A">
            <w:pPr>
              <w:spacing w:beforeAutospacing="1" w:after="100" w:afterAutospacing="1"/>
            </w:pPr>
            <w:r w:rsidRPr="00A847B7">
              <w:t xml:space="preserve">203 </w:t>
            </w:r>
          </w:p>
        </w:tc>
        <w:tc>
          <w:tcPr>
            <w:tcW w:w="2713" w:type="dxa"/>
            <w:tcBorders>
              <w:top w:val="single" w:sz="4" w:space="0" w:color="auto"/>
              <w:left w:val="single" w:sz="4" w:space="0" w:color="auto"/>
              <w:bottom w:val="single" w:sz="4" w:space="0" w:color="auto"/>
              <w:right w:val="single" w:sz="4" w:space="0" w:color="auto"/>
            </w:tcBorders>
            <w:hideMark/>
          </w:tcPr>
          <w:p w14:paraId="56D6AF61" w14:textId="77777777" w:rsidR="00FD515A" w:rsidRPr="00A847B7" w:rsidRDefault="00FD515A">
            <w:pPr>
              <w:spacing w:beforeAutospacing="1" w:after="100" w:afterAutospacing="1"/>
            </w:pPr>
            <w:r w:rsidRPr="00A847B7">
              <w:t xml:space="preserve">24 472 </w:t>
            </w:r>
          </w:p>
        </w:tc>
      </w:tr>
      <w:tr w:rsidR="00FD515A" w:rsidRPr="00A847B7" w14:paraId="7E04B08D"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475F81EF" w14:textId="77777777" w:rsidR="00FD515A" w:rsidRPr="00A847B7" w:rsidRDefault="00FD515A">
            <w:pPr>
              <w:spacing w:beforeAutospacing="1" w:after="100" w:afterAutospacing="1"/>
            </w:pPr>
            <w:r w:rsidRPr="00A847B7">
              <w:t xml:space="preserve">204 </w:t>
            </w:r>
          </w:p>
        </w:tc>
        <w:tc>
          <w:tcPr>
            <w:tcW w:w="2713" w:type="dxa"/>
            <w:tcBorders>
              <w:top w:val="single" w:sz="4" w:space="0" w:color="auto"/>
              <w:left w:val="single" w:sz="4" w:space="0" w:color="auto"/>
              <w:bottom w:val="single" w:sz="4" w:space="0" w:color="auto"/>
              <w:right w:val="single" w:sz="4" w:space="0" w:color="auto"/>
            </w:tcBorders>
            <w:hideMark/>
          </w:tcPr>
          <w:p w14:paraId="36087887" w14:textId="77777777" w:rsidR="00FD515A" w:rsidRPr="00A847B7" w:rsidRDefault="00FD515A">
            <w:pPr>
              <w:spacing w:beforeAutospacing="1" w:after="100" w:afterAutospacing="1"/>
            </w:pPr>
            <w:r w:rsidRPr="00A847B7">
              <w:t xml:space="preserve">25 349 </w:t>
            </w:r>
          </w:p>
        </w:tc>
      </w:tr>
      <w:tr w:rsidR="00FD515A" w:rsidRPr="00A847B7" w14:paraId="2B3965D2"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14F60570" w14:textId="77777777" w:rsidR="00FD515A" w:rsidRPr="00A847B7" w:rsidRDefault="00FD515A">
            <w:pPr>
              <w:spacing w:beforeAutospacing="1" w:after="100" w:afterAutospacing="1"/>
            </w:pPr>
            <w:r w:rsidRPr="00A847B7">
              <w:t xml:space="preserve">205 </w:t>
            </w:r>
          </w:p>
        </w:tc>
        <w:tc>
          <w:tcPr>
            <w:tcW w:w="2713" w:type="dxa"/>
            <w:tcBorders>
              <w:top w:val="single" w:sz="4" w:space="0" w:color="auto"/>
              <w:left w:val="single" w:sz="4" w:space="0" w:color="auto"/>
              <w:bottom w:val="single" w:sz="4" w:space="0" w:color="auto"/>
              <w:right w:val="single" w:sz="4" w:space="0" w:color="auto"/>
            </w:tcBorders>
            <w:hideMark/>
          </w:tcPr>
          <w:p w14:paraId="3D3B6909" w14:textId="77777777" w:rsidR="00FD515A" w:rsidRPr="00A847B7" w:rsidRDefault="00FD515A">
            <w:pPr>
              <w:spacing w:beforeAutospacing="1" w:after="100" w:afterAutospacing="1"/>
            </w:pPr>
            <w:r w:rsidRPr="00A847B7">
              <w:t xml:space="preserve">26 247 </w:t>
            </w:r>
          </w:p>
        </w:tc>
      </w:tr>
      <w:tr w:rsidR="00FD515A" w:rsidRPr="00A847B7" w14:paraId="45C32941"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5404042D" w14:textId="77777777" w:rsidR="00FD515A" w:rsidRPr="00A847B7" w:rsidRDefault="00FD515A">
            <w:pPr>
              <w:spacing w:beforeAutospacing="1" w:after="100" w:afterAutospacing="1"/>
            </w:pPr>
            <w:r w:rsidRPr="00A847B7">
              <w:t xml:space="preserve">206 </w:t>
            </w:r>
          </w:p>
        </w:tc>
        <w:tc>
          <w:tcPr>
            <w:tcW w:w="2713" w:type="dxa"/>
            <w:tcBorders>
              <w:top w:val="single" w:sz="4" w:space="0" w:color="auto"/>
              <w:left w:val="single" w:sz="4" w:space="0" w:color="auto"/>
              <w:bottom w:val="single" w:sz="4" w:space="0" w:color="auto"/>
              <w:right w:val="single" w:sz="4" w:space="0" w:color="auto"/>
            </w:tcBorders>
            <w:hideMark/>
          </w:tcPr>
          <w:p w14:paraId="392118DA" w14:textId="77777777" w:rsidR="00FD515A" w:rsidRPr="00A847B7" w:rsidRDefault="00FD515A">
            <w:pPr>
              <w:spacing w:beforeAutospacing="1" w:after="100" w:afterAutospacing="1"/>
            </w:pPr>
            <w:r w:rsidRPr="00A847B7">
              <w:t xml:space="preserve">27 166 </w:t>
            </w:r>
          </w:p>
        </w:tc>
      </w:tr>
      <w:tr w:rsidR="00FD515A" w:rsidRPr="00A847B7" w14:paraId="0E64BF53"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6B127615" w14:textId="77777777" w:rsidR="00FD515A" w:rsidRPr="00A847B7" w:rsidRDefault="00FD515A">
            <w:pPr>
              <w:spacing w:beforeAutospacing="1" w:after="100" w:afterAutospacing="1"/>
            </w:pPr>
            <w:r w:rsidRPr="00A847B7">
              <w:t xml:space="preserve">207 </w:t>
            </w:r>
          </w:p>
        </w:tc>
        <w:tc>
          <w:tcPr>
            <w:tcW w:w="2713" w:type="dxa"/>
            <w:tcBorders>
              <w:top w:val="single" w:sz="4" w:space="0" w:color="auto"/>
              <w:left w:val="single" w:sz="4" w:space="0" w:color="auto"/>
              <w:bottom w:val="single" w:sz="4" w:space="0" w:color="auto"/>
              <w:right w:val="single" w:sz="4" w:space="0" w:color="auto"/>
            </w:tcBorders>
            <w:hideMark/>
          </w:tcPr>
          <w:p w14:paraId="3E48EACE" w14:textId="77777777" w:rsidR="00FD515A" w:rsidRPr="00A847B7" w:rsidRDefault="00FD515A">
            <w:pPr>
              <w:spacing w:beforeAutospacing="1" w:after="100" w:afterAutospacing="1"/>
            </w:pPr>
            <w:r w:rsidRPr="00A847B7">
              <w:t xml:space="preserve">28 107 </w:t>
            </w:r>
          </w:p>
        </w:tc>
      </w:tr>
      <w:tr w:rsidR="00FD515A" w:rsidRPr="00A847B7" w14:paraId="150E758E"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4A0C8880" w14:textId="77777777" w:rsidR="00FD515A" w:rsidRPr="00A847B7" w:rsidRDefault="00FD515A">
            <w:pPr>
              <w:spacing w:beforeAutospacing="1" w:after="100" w:afterAutospacing="1"/>
            </w:pPr>
            <w:r w:rsidRPr="00A847B7">
              <w:t xml:space="preserve">208 </w:t>
            </w:r>
          </w:p>
        </w:tc>
        <w:tc>
          <w:tcPr>
            <w:tcW w:w="2713" w:type="dxa"/>
            <w:tcBorders>
              <w:top w:val="single" w:sz="4" w:space="0" w:color="auto"/>
              <w:left w:val="single" w:sz="4" w:space="0" w:color="auto"/>
              <w:bottom w:val="single" w:sz="4" w:space="0" w:color="auto"/>
              <w:right w:val="single" w:sz="4" w:space="0" w:color="auto"/>
            </w:tcBorders>
            <w:hideMark/>
          </w:tcPr>
          <w:p w14:paraId="5DDD7CED" w14:textId="77777777" w:rsidR="00FD515A" w:rsidRPr="00A847B7" w:rsidRDefault="00FD515A">
            <w:pPr>
              <w:spacing w:beforeAutospacing="1" w:after="100" w:afterAutospacing="1"/>
            </w:pPr>
            <w:r w:rsidRPr="00A847B7">
              <w:t xml:space="preserve">29 070 </w:t>
            </w:r>
          </w:p>
        </w:tc>
      </w:tr>
      <w:tr w:rsidR="00FD515A" w:rsidRPr="00A847B7" w14:paraId="123D5CB8"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66C079D0" w14:textId="77777777" w:rsidR="00FD515A" w:rsidRPr="00A847B7" w:rsidRDefault="00FD515A">
            <w:pPr>
              <w:spacing w:beforeAutospacing="1" w:after="100" w:afterAutospacing="1"/>
            </w:pPr>
            <w:r w:rsidRPr="00A847B7">
              <w:t xml:space="preserve">209 </w:t>
            </w:r>
          </w:p>
        </w:tc>
        <w:tc>
          <w:tcPr>
            <w:tcW w:w="2713" w:type="dxa"/>
            <w:tcBorders>
              <w:top w:val="single" w:sz="4" w:space="0" w:color="auto"/>
              <w:left w:val="single" w:sz="4" w:space="0" w:color="auto"/>
              <w:bottom w:val="single" w:sz="4" w:space="0" w:color="auto"/>
              <w:right w:val="single" w:sz="4" w:space="0" w:color="auto"/>
            </w:tcBorders>
            <w:hideMark/>
          </w:tcPr>
          <w:p w14:paraId="010E075E" w14:textId="77777777" w:rsidR="00FD515A" w:rsidRPr="00A847B7" w:rsidRDefault="00FD515A">
            <w:pPr>
              <w:spacing w:beforeAutospacing="1" w:after="100" w:afterAutospacing="1"/>
            </w:pPr>
            <w:r w:rsidRPr="00A847B7">
              <w:t xml:space="preserve">30 056 </w:t>
            </w:r>
          </w:p>
        </w:tc>
      </w:tr>
      <w:tr w:rsidR="00FD515A" w:rsidRPr="00A847B7" w14:paraId="4147F4CF"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571AC1D4" w14:textId="77777777" w:rsidR="00FD515A" w:rsidRPr="00A847B7" w:rsidRDefault="00FD515A">
            <w:pPr>
              <w:spacing w:beforeAutospacing="1" w:after="100" w:afterAutospacing="1"/>
            </w:pPr>
            <w:r w:rsidRPr="00A847B7">
              <w:t xml:space="preserve">210 </w:t>
            </w:r>
          </w:p>
        </w:tc>
        <w:tc>
          <w:tcPr>
            <w:tcW w:w="2713" w:type="dxa"/>
            <w:tcBorders>
              <w:top w:val="single" w:sz="4" w:space="0" w:color="auto"/>
              <w:left w:val="single" w:sz="4" w:space="0" w:color="auto"/>
              <w:bottom w:val="single" w:sz="4" w:space="0" w:color="auto"/>
              <w:right w:val="single" w:sz="4" w:space="0" w:color="auto"/>
            </w:tcBorders>
            <w:hideMark/>
          </w:tcPr>
          <w:p w14:paraId="388AD631" w14:textId="77777777" w:rsidR="00FD515A" w:rsidRPr="00A847B7" w:rsidRDefault="00FD515A">
            <w:pPr>
              <w:spacing w:beforeAutospacing="1" w:after="100" w:afterAutospacing="1"/>
            </w:pPr>
            <w:r w:rsidRPr="00A847B7">
              <w:t xml:space="preserve">31 063 </w:t>
            </w:r>
          </w:p>
        </w:tc>
      </w:tr>
      <w:tr w:rsidR="00FD515A" w:rsidRPr="00A847B7" w14:paraId="678AA7CB"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00878F55" w14:textId="77777777" w:rsidR="00FD515A" w:rsidRPr="00A847B7" w:rsidRDefault="00FD515A">
            <w:pPr>
              <w:spacing w:beforeAutospacing="1" w:after="100" w:afterAutospacing="1"/>
            </w:pPr>
            <w:r w:rsidRPr="00A847B7">
              <w:t xml:space="preserve">211 </w:t>
            </w:r>
          </w:p>
        </w:tc>
        <w:tc>
          <w:tcPr>
            <w:tcW w:w="2713" w:type="dxa"/>
            <w:tcBorders>
              <w:top w:val="single" w:sz="4" w:space="0" w:color="auto"/>
              <w:left w:val="single" w:sz="4" w:space="0" w:color="auto"/>
              <w:bottom w:val="single" w:sz="4" w:space="0" w:color="auto"/>
              <w:right w:val="single" w:sz="4" w:space="0" w:color="auto"/>
            </w:tcBorders>
            <w:hideMark/>
          </w:tcPr>
          <w:p w14:paraId="6B925318" w14:textId="77777777" w:rsidR="00FD515A" w:rsidRPr="00A847B7" w:rsidRDefault="00FD515A">
            <w:pPr>
              <w:spacing w:beforeAutospacing="1" w:after="100" w:afterAutospacing="1"/>
            </w:pPr>
            <w:r w:rsidRPr="00A847B7">
              <w:t xml:space="preserve">32 094 </w:t>
            </w:r>
          </w:p>
        </w:tc>
      </w:tr>
      <w:tr w:rsidR="00FD515A" w:rsidRPr="00A847B7" w14:paraId="1FFC96F9"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4D5407AA" w14:textId="77777777" w:rsidR="00FD515A" w:rsidRPr="00A847B7" w:rsidRDefault="00FD515A">
            <w:pPr>
              <w:spacing w:beforeAutospacing="1" w:after="100" w:afterAutospacing="1"/>
            </w:pPr>
            <w:r w:rsidRPr="00A847B7">
              <w:lastRenderedPageBreak/>
              <w:t xml:space="preserve">212 </w:t>
            </w:r>
          </w:p>
        </w:tc>
        <w:tc>
          <w:tcPr>
            <w:tcW w:w="2713" w:type="dxa"/>
            <w:tcBorders>
              <w:top w:val="single" w:sz="4" w:space="0" w:color="auto"/>
              <w:left w:val="single" w:sz="4" w:space="0" w:color="auto"/>
              <w:bottom w:val="single" w:sz="4" w:space="0" w:color="auto"/>
              <w:right w:val="single" w:sz="4" w:space="0" w:color="auto"/>
            </w:tcBorders>
            <w:hideMark/>
          </w:tcPr>
          <w:p w14:paraId="2BB6D455" w14:textId="77777777" w:rsidR="00FD515A" w:rsidRPr="00A847B7" w:rsidRDefault="00FD515A">
            <w:pPr>
              <w:spacing w:beforeAutospacing="1" w:after="100" w:afterAutospacing="1"/>
            </w:pPr>
            <w:r w:rsidRPr="00A847B7">
              <w:t xml:space="preserve">33 147 </w:t>
            </w:r>
          </w:p>
        </w:tc>
      </w:tr>
      <w:tr w:rsidR="00FD515A" w:rsidRPr="00A847B7" w14:paraId="4FBC570E"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38389CFC" w14:textId="77777777" w:rsidR="00FD515A" w:rsidRPr="00A847B7" w:rsidRDefault="00FD515A">
            <w:pPr>
              <w:spacing w:beforeAutospacing="1" w:after="100" w:afterAutospacing="1"/>
            </w:pPr>
            <w:r w:rsidRPr="00A847B7">
              <w:t xml:space="preserve">213 </w:t>
            </w:r>
          </w:p>
        </w:tc>
        <w:tc>
          <w:tcPr>
            <w:tcW w:w="2713" w:type="dxa"/>
            <w:tcBorders>
              <w:top w:val="single" w:sz="4" w:space="0" w:color="auto"/>
              <w:left w:val="single" w:sz="4" w:space="0" w:color="auto"/>
              <w:bottom w:val="single" w:sz="4" w:space="0" w:color="auto"/>
              <w:right w:val="single" w:sz="4" w:space="0" w:color="auto"/>
            </w:tcBorders>
            <w:hideMark/>
          </w:tcPr>
          <w:p w14:paraId="6EEB30CF" w14:textId="77777777" w:rsidR="00FD515A" w:rsidRPr="00A847B7" w:rsidRDefault="00FD515A">
            <w:pPr>
              <w:spacing w:beforeAutospacing="1" w:after="100" w:afterAutospacing="1"/>
            </w:pPr>
            <w:r w:rsidRPr="00A847B7">
              <w:t xml:space="preserve">34 224 </w:t>
            </w:r>
          </w:p>
        </w:tc>
      </w:tr>
      <w:tr w:rsidR="00FD515A" w:rsidRPr="00A847B7" w14:paraId="5D4AF045"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0764969F" w14:textId="77777777" w:rsidR="00FD515A" w:rsidRPr="00A847B7" w:rsidRDefault="00FD515A">
            <w:pPr>
              <w:spacing w:beforeAutospacing="1" w:after="100" w:afterAutospacing="1"/>
            </w:pPr>
            <w:r w:rsidRPr="00A847B7">
              <w:t xml:space="preserve">214 </w:t>
            </w:r>
          </w:p>
        </w:tc>
        <w:tc>
          <w:tcPr>
            <w:tcW w:w="2713" w:type="dxa"/>
            <w:tcBorders>
              <w:top w:val="single" w:sz="4" w:space="0" w:color="auto"/>
              <w:left w:val="single" w:sz="4" w:space="0" w:color="auto"/>
              <w:bottom w:val="single" w:sz="4" w:space="0" w:color="auto"/>
              <w:right w:val="single" w:sz="4" w:space="0" w:color="auto"/>
            </w:tcBorders>
            <w:hideMark/>
          </w:tcPr>
          <w:p w14:paraId="38F2FFC5" w14:textId="77777777" w:rsidR="00FD515A" w:rsidRPr="00A847B7" w:rsidRDefault="00FD515A">
            <w:pPr>
              <w:spacing w:beforeAutospacing="1" w:after="100" w:afterAutospacing="1"/>
            </w:pPr>
            <w:r w:rsidRPr="00A847B7">
              <w:t xml:space="preserve">35 324 </w:t>
            </w:r>
          </w:p>
        </w:tc>
      </w:tr>
      <w:tr w:rsidR="00FD515A" w:rsidRPr="00A847B7" w14:paraId="0019B691"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1EF080C1" w14:textId="77777777" w:rsidR="00FD515A" w:rsidRPr="00A847B7" w:rsidRDefault="00FD515A">
            <w:pPr>
              <w:spacing w:beforeAutospacing="1" w:after="100" w:afterAutospacing="1"/>
            </w:pPr>
            <w:r w:rsidRPr="00A847B7">
              <w:t xml:space="preserve">215 </w:t>
            </w:r>
          </w:p>
        </w:tc>
        <w:tc>
          <w:tcPr>
            <w:tcW w:w="2713" w:type="dxa"/>
            <w:tcBorders>
              <w:top w:val="single" w:sz="4" w:space="0" w:color="auto"/>
              <w:left w:val="single" w:sz="4" w:space="0" w:color="auto"/>
              <w:bottom w:val="single" w:sz="4" w:space="0" w:color="auto"/>
              <w:right w:val="single" w:sz="4" w:space="0" w:color="auto"/>
            </w:tcBorders>
            <w:hideMark/>
          </w:tcPr>
          <w:p w14:paraId="0B881EFE" w14:textId="77777777" w:rsidR="00FD515A" w:rsidRPr="00A847B7" w:rsidRDefault="00FD515A">
            <w:pPr>
              <w:spacing w:beforeAutospacing="1" w:after="100" w:afterAutospacing="1"/>
            </w:pPr>
            <w:r w:rsidRPr="00A847B7">
              <w:t xml:space="preserve">36 447 </w:t>
            </w:r>
          </w:p>
        </w:tc>
      </w:tr>
      <w:tr w:rsidR="00FD515A" w:rsidRPr="00A847B7" w14:paraId="00852CD0"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757D864E" w14:textId="77777777" w:rsidR="00FD515A" w:rsidRPr="00A847B7" w:rsidRDefault="00FD515A">
            <w:pPr>
              <w:spacing w:beforeAutospacing="1" w:after="100" w:afterAutospacing="1"/>
            </w:pPr>
            <w:r w:rsidRPr="00A847B7">
              <w:t xml:space="preserve">216 </w:t>
            </w:r>
          </w:p>
        </w:tc>
        <w:tc>
          <w:tcPr>
            <w:tcW w:w="2713" w:type="dxa"/>
            <w:tcBorders>
              <w:top w:val="single" w:sz="4" w:space="0" w:color="auto"/>
              <w:left w:val="single" w:sz="4" w:space="0" w:color="auto"/>
              <w:bottom w:val="single" w:sz="4" w:space="0" w:color="auto"/>
              <w:right w:val="single" w:sz="4" w:space="0" w:color="auto"/>
            </w:tcBorders>
            <w:hideMark/>
          </w:tcPr>
          <w:p w14:paraId="6B964FED" w14:textId="77777777" w:rsidR="00FD515A" w:rsidRPr="00A847B7" w:rsidRDefault="00FD515A">
            <w:pPr>
              <w:spacing w:beforeAutospacing="1" w:after="100" w:afterAutospacing="1"/>
            </w:pPr>
            <w:r w:rsidRPr="00A847B7">
              <w:t xml:space="preserve">37 595 </w:t>
            </w:r>
          </w:p>
        </w:tc>
      </w:tr>
      <w:tr w:rsidR="00FD515A" w:rsidRPr="00A847B7" w14:paraId="3CFD111C"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1014E8D4" w14:textId="77777777" w:rsidR="00FD515A" w:rsidRPr="00A847B7" w:rsidRDefault="00FD515A">
            <w:pPr>
              <w:spacing w:beforeAutospacing="1" w:after="100" w:afterAutospacing="1"/>
            </w:pPr>
            <w:r w:rsidRPr="00A847B7">
              <w:t xml:space="preserve">217 </w:t>
            </w:r>
          </w:p>
        </w:tc>
        <w:tc>
          <w:tcPr>
            <w:tcW w:w="2713" w:type="dxa"/>
            <w:tcBorders>
              <w:top w:val="single" w:sz="4" w:space="0" w:color="auto"/>
              <w:left w:val="single" w:sz="4" w:space="0" w:color="auto"/>
              <w:bottom w:val="single" w:sz="4" w:space="0" w:color="auto"/>
              <w:right w:val="single" w:sz="4" w:space="0" w:color="auto"/>
            </w:tcBorders>
            <w:hideMark/>
          </w:tcPr>
          <w:p w14:paraId="0D34C883" w14:textId="77777777" w:rsidR="00FD515A" w:rsidRPr="00A847B7" w:rsidRDefault="00FD515A">
            <w:pPr>
              <w:spacing w:beforeAutospacing="1" w:after="100" w:afterAutospacing="1"/>
            </w:pPr>
            <w:r w:rsidRPr="00A847B7">
              <w:t xml:space="preserve">38 767 </w:t>
            </w:r>
          </w:p>
        </w:tc>
      </w:tr>
      <w:tr w:rsidR="00FD515A" w:rsidRPr="00A847B7" w14:paraId="4012D33D"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53863441" w14:textId="77777777" w:rsidR="00FD515A" w:rsidRPr="00A847B7" w:rsidRDefault="00FD515A">
            <w:pPr>
              <w:spacing w:beforeAutospacing="1" w:after="100" w:afterAutospacing="1"/>
            </w:pPr>
            <w:r w:rsidRPr="00A847B7">
              <w:t xml:space="preserve">218 </w:t>
            </w:r>
          </w:p>
        </w:tc>
        <w:tc>
          <w:tcPr>
            <w:tcW w:w="2713" w:type="dxa"/>
            <w:tcBorders>
              <w:top w:val="single" w:sz="4" w:space="0" w:color="auto"/>
              <w:left w:val="single" w:sz="4" w:space="0" w:color="auto"/>
              <w:bottom w:val="single" w:sz="4" w:space="0" w:color="auto"/>
              <w:right w:val="single" w:sz="4" w:space="0" w:color="auto"/>
            </w:tcBorders>
            <w:hideMark/>
          </w:tcPr>
          <w:p w14:paraId="5E8F71EF" w14:textId="77777777" w:rsidR="00FD515A" w:rsidRPr="00A847B7" w:rsidRDefault="00FD515A">
            <w:pPr>
              <w:spacing w:beforeAutospacing="1" w:after="100" w:afterAutospacing="1"/>
            </w:pPr>
            <w:r w:rsidRPr="00A847B7">
              <w:t xml:space="preserve">39 964 </w:t>
            </w:r>
          </w:p>
        </w:tc>
      </w:tr>
      <w:tr w:rsidR="00FD515A" w:rsidRPr="00A847B7" w14:paraId="4CD8EC8A"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2D3E96D7" w14:textId="77777777" w:rsidR="00FD515A" w:rsidRPr="00A847B7" w:rsidRDefault="00FD515A">
            <w:pPr>
              <w:spacing w:beforeAutospacing="1" w:after="100" w:afterAutospacing="1"/>
            </w:pPr>
            <w:r w:rsidRPr="00A847B7">
              <w:t xml:space="preserve">219 </w:t>
            </w:r>
          </w:p>
        </w:tc>
        <w:tc>
          <w:tcPr>
            <w:tcW w:w="2713" w:type="dxa"/>
            <w:tcBorders>
              <w:top w:val="single" w:sz="4" w:space="0" w:color="auto"/>
              <w:left w:val="single" w:sz="4" w:space="0" w:color="auto"/>
              <w:bottom w:val="single" w:sz="4" w:space="0" w:color="auto"/>
              <w:right w:val="single" w:sz="4" w:space="0" w:color="auto"/>
            </w:tcBorders>
            <w:hideMark/>
          </w:tcPr>
          <w:p w14:paraId="552D7B1D" w14:textId="77777777" w:rsidR="00FD515A" w:rsidRPr="00A847B7" w:rsidRDefault="00FD515A">
            <w:pPr>
              <w:spacing w:beforeAutospacing="1" w:after="100" w:afterAutospacing="1"/>
            </w:pPr>
            <w:r w:rsidRPr="00A847B7">
              <w:t xml:space="preserve">41 185 </w:t>
            </w:r>
          </w:p>
        </w:tc>
      </w:tr>
      <w:tr w:rsidR="00FD515A" w:rsidRPr="00A847B7" w14:paraId="740750AF"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38F73E47" w14:textId="77777777" w:rsidR="00FD515A" w:rsidRPr="00A847B7" w:rsidRDefault="00FD515A">
            <w:pPr>
              <w:spacing w:beforeAutospacing="1" w:after="100" w:afterAutospacing="1"/>
            </w:pPr>
            <w:r w:rsidRPr="00A847B7">
              <w:t xml:space="preserve">220 </w:t>
            </w:r>
          </w:p>
        </w:tc>
        <w:tc>
          <w:tcPr>
            <w:tcW w:w="2713" w:type="dxa"/>
            <w:tcBorders>
              <w:top w:val="single" w:sz="4" w:space="0" w:color="auto"/>
              <w:left w:val="single" w:sz="4" w:space="0" w:color="auto"/>
              <w:bottom w:val="single" w:sz="4" w:space="0" w:color="auto"/>
              <w:right w:val="single" w:sz="4" w:space="0" w:color="auto"/>
            </w:tcBorders>
            <w:hideMark/>
          </w:tcPr>
          <w:p w14:paraId="001D02F6" w14:textId="77777777" w:rsidR="00FD515A" w:rsidRPr="00A847B7" w:rsidRDefault="00FD515A">
            <w:pPr>
              <w:spacing w:beforeAutospacing="1" w:after="100" w:afterAutospacing="1"/>
            </w:pPr>
            <w:r w:rsidRPr="00A847B7">
              <w:t xml:space="preserve">42 431 </w:t>
            </w:r>
          </w:p>
        </w:tc>
      </w:tr>
      <w:tr w:rsidR="00FD515A" w:rsidRPr="00A847B7" w14:paraId="203AC8CE"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57AF480E" w14:textId="77777777" w:rsidR="00FD515A" w:rsidRPr="00A847B7" w:rsidRDefault="00FD515A">
            <w:pPr>
              <w:spacing w:beforeAutospacing="1" w:after="100" w:afterAutospacing="1"/>
            </w:pPr>
            <w:r w:rsidRPr="00A847B7">
              <w:t xml:space="preserve">221 </w:t>
            </w:r>
          </w:p>
        </w:tc>
        <w:tc>
          <w:tcPr>
            <w:tcW w:w="2713" w:type="dxa"/>
            <w:tcBorders>
              <w:top w:val="single" w:sz="4" w:space="0" w:color="auto"/>
              <w:left w:val="single" w:sz="4" w:space="0" w:color="auto"/>
              <w:bottom w:val="single" w:sz="4" w:space="0" w:color="auto"/>
              <w:right w:val="single" w:sz="4" w:space="0" w:color="auto"/>
            </w:tcBorders>
            <w:hideMark/>
          </w:tcPr>
          <w:p w14:paraId="7A6C1A53" w14:textId="77777777" w:rsidR="00FD515A" w:rsidRPr="00A847B7" w:rsidRDefault="00FD515A">
            <w:pPr>
              <w:spacing w:beforeAutospacing="1" w:after="100" w:afterAutospacing="1"/>
            </w:pPr>
            <w:r w:rsidRPr="00A847B7">
              <w:t xml:space="preserve">43 703 </w:t>
            </w:r>
          </w:p>
        </w:tc>
      </w:tr>
      <w:tr w:rsidR="00FD515A" w:rsidRPr="00A847B7" w14:paraId="4511BE04"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0A365AFC" w14:textId="77777777" w:rsidR="00FD515A" w:rsidRPr="00A847B7" w:rsidRDefault="00FD515A">
            <w:pPr>
              <w:spacing w:beforeAutospacing="1" w:after="100" w:afterAutospacing="1"/>
            </w:pPr>
            <w:r w:rsidRPr="00A847B7">
              <w:t xml:space="preserve">222 </w:t>
            </w:r>
          </w:p>
        </w:tc>
        <w:tc>
          <w:tcPr>
            <w:tcW w:w="2713" w:type="dxa"/>
            <w:tcBorders>
              <w:top w:val="single" w:sz="4" w:space="0" w:color="auto"/>
              <w:left w:val="single" w:sz="4" w:space="0" w:color="auto"/>
              <w:bottom w:val="single" w:sz="4" w:space="0" w:color="auto"/>
              <w:right w:val="single" w:sz="4" w:space="0" w:color="auto"/>
            </w:tcBorders>
            <w:hideMark/>
          </w:tcPr>
          <w:p w14:paraId="624D2859" w14:textId="77777777" w:rsidR="00FD515A" w:rsidRPr="00A847B7" w:rsidRDefault="00FD515A">
            <w:pPr>
              <w:spacing w:beforeAutospacing="1" w:after="100" w:afterAutospacing="1"/>
            </w:pPr>
            <w:r w:rsidRPr="00A847B7">
              <w:t xml:space="preserve">45 000 </w:t>
            </w:r>
          </w:p>
        </w:tc>
      </w:tr>
      <w:tr w:rsidR="00FD515A" w:rsidRPr="00A847B7" w14:paraId="64ECA446"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54B37791" w14:textId="77777777" w:rsidR="00FD515A" w:rsidRPr="00A847B7" w:rsidRDefault="00FD515A">
            <w:pPr>
              <w:spacing w:beforeAutospacing="1" w:after="100" w:afterAutospacing="1"/>
            </w:pPr>
            <w:r w:rsidRPr="00A847B7">
              <w:t xml:space="preserve">223 </w:t>
            </w:r>
          </w:p>
        </w:tc>
        <w:tc>
          <w:tcPr>
            <w:tcW w:w="2713" w:type="dxa"/>
            <w:tcBorders>
              <w:top w:val="single" w:sz="4" w:space="0" w:color="auto"/>
              <w:left w:val="single" w:sz="4" w:space="0" w:color="auto"/>
              <w:bottom w:val="single" w:sz="4" w:space="0" w:color="auto"/>
              <w:right w:val="single" w:sz="4" w:space="0" w:color="auto"/>
            </w:tcBorders>
            <w:hideMark/>
          </w:tcPr>
          <w:p w14:paraId="03FEE6E5" w14:textId="77777777" w:rsidR="00FD515A" w:rsidRPr="00A847B7" w:rsidRDefault="00FD515A">
            <w:pPr>
              <w:spacing w:beforeAutospacing="1" w:after="100" w:afterAutospacing="1"/>
            </w:pPr>
            <w:r w:rsidRPr="00A847B7">
              <w:t xml:space="preserve">46 323 </w:t>
            </w:r>
          </w:p>
        </w:tc>
      </w:tr>
      <w:tr w:rsidR="00FD515A" w:rsidRPr="00A847B7" w14:paraId="0F605098"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6566FD66" w14:textId="77777777" w:rsidR="00FD515A" w:rsidRPr="00A847B7" w:rsidRDefault="00FD515A">
            <w:pPr>
              <w:spacing w:beforeAutospacing="1" w:after="100" w:afterAutospacing="1"/>
            </w:pPr>
            <w:r w:rsidRPr="00A847B7">
              <w:t xml:space="preserve">224 </w:t>
            </w:r>
          </w:p>
        </w:tc>
        <w:tc>
          <w:tcPr>
            <w:tcW w:w="2713" w:type="dxa"/>
            <w:tcBorders>
              <w:top w:val="single" w:sz="4" w:space="0" w:color="auto"/>
              <w:left w:val="single" w:sz="4" w:space="0" w:color="auto"/>
              <w:bottom w:val="single" w:sz="4" w:space="0" w:color="auto"/>
              <w:right w:val="single" w:sz="4" w:space="0" w:color="auto"/>
            </w:tcBorders>
            <w:hideMark/>
          </w:tcPr>
          <w:p w14:paraId="3B142871" w14:textId="77777777" w:rsidR="00FD515A" w:rsidRPr="00A847B7" w:rsidRDefault="00FD515A">
            <w:pPr>
              <w:spacing w:beforeAutospacing="1" w:after="100" w:afterAutospacing="1"/>
            </w:pPr>
            <w:r w:rsidRPr="00A847B7">
              <w:t xml:space="preserve">47 672 </w:t>
            </w:r>
          </w:p>
        </w:tc>
      </w:tr>
      <w:tr w:rsidR="00FD515A" w:rsidRPr="00A847B7" w14:paraId="30FBAF52"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7D008D04" w14:textId="77777777" w:rsidR="00FD515A" w:rsidRPr="00A847B7" w:rsidRDefault="00FD515A">
            <w:pPr>
              <w:spacing w:beforeAutospacing="1" w:after="100" w:afterAutospacing="1"/>
            </w:pPr>
            <w:r w:rsidRPr="00A847B7">
              <w:t xml:space="preserve">225 </w:t>
            </w:r>
          </w:p>
        </w:tc>
        <w:tc>
          <w:tcPr>
            <w:tcW w:w="2713" w:type="dxa"/>
            <w:tcBorders>
              <w:top w:val="single" w:sz="4" w:space="0" w:color="auto"/>
              <w:left w:val="single" w:sz="4" w:space="0" w:color="auto"/>
              <w:bottom w:val="single" w:sz="4" w:space="0" w:color="auto"/>
              <w:right w:val="single" w:sz="4" w:space="0" w:color="auto"/>
            </w:tcBorders>
            <w:hideMark/>
          </w:tcPr>
          <w:p w14:paraId="192EBC54" w14:textId="77777777" w:rsidR="00FD515A" w:rsidRPr="00A847B7" w:rsidRDefault="00FD515A">
            <w:pPr>
              <w:spacing w:beforeAutospacing="1" w:after="100" w:afterAutospacing="1"/>
            </w:pPr>
            <w:r w:rsidRPr="00A847B7">
              <w:t xml:space="preserve">49 047 </w:t>
            </w:r>
          </w:p>
        </w:tc>
      </w:tr>
    </w:tbl>
    <w:p w14:paraId="4281973C" w14:textId="77777777" w:rsidR="00FD515A" w:rsidRPr="00A847B7" w:rsidRDefault="00FD515A" w:rsidP="00EE0687">
      <w:pPr>
        <w:pStyle w:val="Paragraphedeliste"/>
        <w:numPr>
          <w:ilvl w:val="0"/>
          <w:numId w:val="71"/>
        </w:numPr>
        <w:spacing w:beforeAutospacing="1" w:after="100" w:afterAutospacing="1"/>
        <w:rPr>
          <w:rFonts w:cstheme="minorHAnsi"/>
        </w:rPr>
      </w:pPr>
      <w:r w:rsidRPr="00A847B7">
        <w:rPr>
          <w:rFonts w:cstheme="minorHAnsi"/>
        </w:rPr>
        <w:t>lorsque les émissions excèdent 225 g/km, le tarif est fixé à 50 000 €.</w:t>
      </w:r>
    </w:p>
    <w:p w14:paraId="0093A65A" w14:textId="77777777" w:rsidR="00FD515A" w:rsidRPr="00A847B7" w:rsidRDefault="00FD515A" w:rsidP="00FD515A">
      <w:r w:rsidRPr="00A847B7">
        <w:rPr>
          <w:rFonts w:cstheme="minorHAnsi"/>
        </w:rPr>
        <w:t>A compter du 1</w:t>
      </w:r>
      <w:r w:rsidRPr="00A847B7">
        <w:rPr>
          <w:rFonts w:cstheme="minorHAnsi"/>
          <w:vertAlign w:val="superscript"/>
        </w:rPr>
        <w:t>er</w:t>
      </w:r>
      <w:r w:rsidRPr="00A847B7">
        <w:rPr>
          <w:rFonts w:cstheme="minorHAnsi"/>
        </w:rPr>
        <w:t xml:space="preserve"> janvier 2023, le barème en puissance administrative du malus est fixé de la manière suivante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6"/>
      </w:tblGrid>
      <w:tr w:rsidR="00FD515A" w:rsidRPr="00A847B7" w14:paraId="0014BB00" w14:textId="77777777" w:rsidTr="00FD515A">
        <w:trPr>
          <w:trHeight w:val="242"/>
        </w:trPr>
        <w:tc>
          <w:tcPr>
            <w:tcW w:w="2436" w:type="dxa"/>
            <w:tcBorders>
              <w:top w:val="single" w:sz="4" w:space="0" w:color="auto"/>
              <w:left w:val="single" w:sz="4" w:space="0" w:color="auto"/>
              <w:bottom w:val="single" w:sz="4" w:space="0" w:color="auto"/>
              <w:right w:val="single" w:sz="4" w:space="0" w:color="auto"/>
            </w:tcBorders>
            <w:shd w:val="clear" w:color="auto" w:fill="297FD5" w:themeFill="accent3"/>
            <w:hideMark/>
          </w:tcPr>
          <w:p w14:paraId="3B617E19" w14:textId="77777777" w:rsidR="00FD515A" w:rsidRPr="00A847B7" w:rsidRDefault="00FD515A">
            <w:pPr>
              <w:pStyle w:val="Default"/>
              <w:spacing w:line="276" w:lineRule="auto"/>
              <w:jc w:val="center"/>
              <w:rPr>
                <w:b/>
                <w:bCs/>
                <w:color w:val="FFFFFF" w:themeColor="background1"/>
                <w:sz w:val="23"/>
                <w:szCs w:val="23"/>
              </w:rPr>
            </w:pPr>
            <w:r w:rsidRPr="00A847B7">
              <w:rPr>
                <w:b/>
                <w:bCs/>
                <w:color w:val="FFFFFF" w:themeColor="background1"/>
                <w:sz w:val="23"/>
                <w:szCs w:val="23"/>
              </w:rPr>
              <w:t>Puissance administrative (en CV)</w:t>
            </w:r>
          </w:p>
        </w:tc>
        <w:tc>
          <w:tcPr>
            <w:tcW w:w="2436" w:type="dxa"/>
            <w:tcBorders>
              <w:top w:val="single" w:sz="4" w:space="0" w:color="auto"/>
              <w:left w:val="single" w:sz="4" w:space="0" w:color="auto"/>
              <w:bottom w:val="single" w:sz="4" w:space="0" w:color="auto"/>
              <w:right w:val="single" w:sz="4" w:space="0" w:color="auto"/>
            </w:tcBorders>
            <w:shd w:val="clear" w:color="auto" w:fill="297FD5" w:themeFill="accent3"/>
            <w:hideMark/>
          </w:tcPr>
          <w:p w14:paraId="262F4FCA" w14:textId="77777777" w:rsidR="00FD515A" w:rsidRPr="00A847B7" w:rsidRDefault="00FD515A">
            <w:pPr>
              <w:pStyle w:val="Default"/>
              <w:spacing w:line="276" w:lineRule="auto"/>
              <w:jc w:val="center"/>
              <w:rPr>
                <w:b/>
                <w:bCs/>
                <w:color w:val="FFFFFF" w:themeColor="background1"/>
                <w:sz w:val="23"/>
                <w:szCs w:val="23"/>
              </w:rPr>
            </w:pPr>
            <w:r w:rsidRPr="00A847B7">
              <w:rPr>
                <w:b/>
                <w:bCs/>
                <w:color w:val="FFFFFF" w:themeColor="background1"/>
                <w:sz w:val="23"/>
                <w:szCs w:val="23"/>
              </w:rPr>
              <w:t>Montant de la taxe (en euros)</w:t>
            </w:r>
          </w:p>
        </w:tc>
      </w:tr>
      <w:tr w:rsidR="00FD515A" w:rsidRPr="00A847B7" w14:paraId="0D63CD7F"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36568E79"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jusqu’à 3 </w:t>
            </w:r>
          </w:p>
        </w:tc>
        <w:tc>
          <w:tcPr>
            <w:tcW w:w="2436" w:type="dxa"/>
            <w:tcBorders>
              <w:top w:val="single" w:sz="4" w:space="0" w:color="auto"/>
              <w:left w:val="single" w:sz="4" w:space="0" w:color="auto"/>
              <w:bottom w:val="single" w:sz="4" w:space="0" w:color="auto"/>
              <w:right w:val="single" w:sz="4" w:space="0" w:color="auto"/>
            </w:tcBorders>
            <w:hideMark/>
          </w:tcPr>
          <w:p w14:paraId="31A47686"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0 </w:t>
            </w:r>
          </w:p>
        </w:tc>
      </w:tr>
      <w:tr w:rsidR="00FD515A" w:rsidRPr="00A847B7" w14:paraId="096734D6"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48CF3A4F"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4 </w:t>
            </w:r>
          </w:p>
        </w:tc>
        <w:tc>
          <w:tcPr>
            <w:tcW w:w="2436" w:type="dxa"/>
            <w:tcBorders>
              <w:top w:val="single" w:sz="4" w:space="0" w:color="auto"/>
              <w:left w:val="single" w:sz="4" w:space="0" w:color="auto"/>
              <w:bottom w:val="single" w:sz="4" w:space="0" w:color="auto"/>
              <w:right w:val="single" w:sz="4" w:space="0" w:color="auto"/>
            </w:tcBorders>
            <w:hideMark/>
          </w:tcPr>
          <w:p w14:paraId="50FCB2E1"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500 </w:t>
            </w:r>
          </w:p>
        </w:tc>
      </w:tr>
      <w:tr w:rsidR="00FD515A" w:rsidRPr="00A847B7" w14:paraId="0DE4D33F"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5762BA13"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5 </w:t>
            </w:r>
          </w:p>
        </w:tc>
        <w:tc>
          <w:tcPr>
            <w:tcW w:w="2436" w:type="dxa"/>
            <w:tcBorders>
              <w:top w:val="single" w:sz="4" w:space="0" w:color="auto"/>
              <w:left w:val="single" w:sz="4" w:space="0" w:color="auto"/>
              <w:bottom w:val="single" w:sz="4" w:space="0" w:color="auto"/>
              <w:right w:val="single" w:sz="4" w:space="0" w:color="auto"/>
            </w:tcBorders>
            <w:hideMark/>
          </w:tcPr>
          <w:p w14:paraId="01895DEC"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2 250 </w:t>
            </w:r>
          </w:p>
        </w:tc>
      </w:tr>
      <w:tr w:rsidR="00FD515A" w:rsidRPr="00A847B7" w14:paraId="17A1C7F3"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1E88C752"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6 </w:t>
            </w:r>
          </w:p>
        </w:tc>
        <w:tc>
          <w:tcPr>
            <w:tcW w:w="2436" w:type="dxa"/>
            <w:tcBorders>
              <w:top w:val="single" w:sz="4" w:space="0" w:color="auto"/>
              <w:left w:val="single" w:sz="4" w:space="0" w:color="auto"/>
              <w:bottom w:val="single" w:sz="4" w:space="0" w:color="auto"/>
              <w:right w:val="single" w:sz="4" w:space="0" w:color="auto"/>
            </w:tcBorders>
            <w:hideMark/>
          </w:tcPr>
          <w:p w14:paraId="005352F2"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3 500 </w:t>
            </w:r>
          </w:p>
        </w:tc>
      </w:tr>
      <w:tr w:rsidR="00FD515A" w:rsidRPr="00A847B7" w14:paraId="2394BB7B"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34806FB0"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7 </w:t>
            </w:r>
          </w:p>
        </w:tc>
        <w:tc>
          <w:tcPr>
            <w:tcW w:w="2436" w:type="dxa"/>
            <w:tcBorders>
              <w:top w:val="single" w:sz="4" w:space="0" w:color="auto"/>
              <w:left w:val="single" w:sz="4" w:space="0" w:color="auto"/>
              <w:bottom w:val="single" w:sz="4" w:space="0" w:color="auto"/>
              <w:right w:val="single" w:sz="4" w:space="0" w:color="auto"/>
            </w:tcBorders>
            <w:hideMark/>
          </w:tcPr>
          <w:p w14:paraId="3E497831"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4 750 </w:t>
            </w:r>
          </w:p>
        </w:tc>
      </w:tr>
      <w:tr w:rsidR="00FD515A" w:rsidRPr="00A847B7" w14:paraId="3872157B"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1BE922B2"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8 </w:t>
            </w:r>
          </w:p>
        </w:tc>
        <w:tc>
          <w:tcPr>
            <w:tcW w:w="2436" w:type="dxa"/>
            <w:tcBorders>
              <w:top w:val="single" w:sz="4" w:space="0" w:color="auto"/>
              <w:left w:val="single" w:sz="4" w:space="0" w:color="auto"/>
              <w:bottom w:val="single" w:sz="4" w:space="0" w:color="auto"/>
              <w:right w:val="single" w:sz="4" w:space="0" w:color="auto"/>
            </w:tcBorders>
            <w:hideMark/>
          </w:tcPr>
          <w:p w14:paraId="59E4C54E"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6 500 </w:t>
            </w:r>
          </w:p>
        </w:tc>
      </w:tr>
      <w:tr w:rsidR="00FD515A" w:rsidRPr="00A847B7" w14:paraId="1D121C12"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0BAEE8DA"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9 </w:t>
            </w:r>
          </w:p>
        </w:tc>
        <w:tc>
          <w:tcPr>
            <w:tcW w:w="2436" w:type="dxa"/>
            <w:tcBorders>
              <w:top w:val="single" w:sz="4" w:space="0" w:color="auto"/>
              <w:left w:val="single" w:sz="4" w:space="0" w:color="auto"/>
              <w:bottom w:val="single" w:sz="4" w:space="0" w:color="auto"/>
              <w:right w:val="single" w:sz="4" w:space="0" w:color="auto"/>
            </w:tcBorders>
            <w:hideMark/>
          </w:tcPr>
          <w:p w14:paraId="5027AC84"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8 000 </w:t>
            </w:r>
          </w:p>
        </w:tc>
      </w:tr>
      <w:tr w:rsidR="00FD515A" w:rsidRPr="00A847B7" w14:paraId="554433E6"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5ACBA964"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10 </w:t>
            </w:r>
          </w:p>
        </w:tc>
        <w:tc>
          <w:tcPr>
            <w:tcW w:w="2436" w:type="dxa"/>
            <w:tcBorders>
              <w:top w:val="single" w:sz="4" w:space="0" w:color="auto"/>
              <w:left w:val="single" w:sz="4" w:space="0" w:color="auto"/>
              <w:bottom w:val="single" w:sz="4" w:space="0" w:color="auto"/>
              <w:right w:val="single" w:sz="4" w:space="0" w:color="auto"/>
            </w:tcBorders>
            <w:hideMark/>
          </w:tcPr>
          <w:p w14:paraId="522E4CC6"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9 500 </w:t>
            </w:r>
          </w:p>
        </w:tc>
      </w:tr>
      <w:tr w:rsidR="00FD515A" w:rsidRPr="00A847B7" w14:paraId="6A669D84"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3487F4F1"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11 </w:t>
            </w:r>
          </w:p>
        </w:tc>
        <w:tc>
          <w:tcPr>
            <w:tcW w:w="2436" w:type="dxa"/>
            <w:tcBorders>
              <w:top w:val="single" w:sz="4" w:space="0" w:color="auto"/>
              <w:left w:val="single" w:sz="4" w:space="0" w:color="auto"/>
              <w:bottom w:val="single" w:sz="4" w:space="0" w:color="auto"/>
              <w:right w:val="single" w:sz="4" w:space="0" w:color="auto"/>
            </w:tcBorders>
            <w:hideMark/>
          </w:tcPr>
          <w:p w14:paraId="5ECC9B17"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11 500 </w:t>
            </w:r>
          </w:p>
        </w:tc>
      </w:tr>
      <w:tr w:rsidR="00FD515A" w:rsidRPr="00A847B7" w14:paraId="3BE109DD"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7DB5BAD3"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12 </w:t>
            </w:r>
          </w:p>
        </w:tc>
        <w:tc>
          <w:tcPr>
            <w:tcW w:w="2436" w:type="dxa"/>
            <w:tcBorders>
              <w:top w:val="single" w:sz="4" w:space="0" w:color="auto"/>
              <w:left w:val="single" w:sz="4" w:space="0" w:color="auto"/>
              <w:bottom w:val="single" w:sz="4" w:space="0" w:color="auto"/>
              <w:right w:val="single" w:sz="4" w:space="0" w:color="auto"/>
            </w:tcBorders>
            <w:hideMark/>
          </w:tcPr>
          <w:p w14:paraId="3FCD23BE"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12 750 </w:t>
            </w:r>
          </w:p>
        </w:tc>
      </w:tr>
      <w:tr w:rsidR="00FD515A" w:rsidRPr="00A847B7" w14:paraId="4E6E14EA"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434434F5"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13 </w:t>
            </w:r>
          </w:p>
        </w:tc>
        <w:tc>
          <w:tcPr>
            <w:tcW w:w="2436" w:type="dxa"/>
            <w:tcBorders>
              <w:top w:val="single" w:sz="4" w:space="0" w:color="auto"/>
              <w:left w:val="single" w:sz="4" w:space="0" w:color="auto"/>
              <w:bottom w:val="single" w:sz="4" w:space="0" w:color="auto"/>
              <w:right w:val="single" w:sz="4" w:space="0" w:color="auto"/>
            </w:tcBorders>
            <w:hideMark/>
          </w:tcPr>
          <w:p w14:paraId="2AB07465"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14 500 </w:t>
            </w:r>
          </w:p>
        </w:tc>
      </w:tr>
      <w:tr w:rsidR="00FD515A" w:rsidRPr="00A847B7" w14:paraId="18A18EFB"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7025471F"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14 </w:t>
            </w:r>
          </w:p>
        </w:tc>
        <w:tc>
          <w:tcPr>
            <w:tcW w:w="2436" w:type="dxa"/>
            <w:tcBorders>
              <w:top w:val="single" w:sz="4" w:space="0" w:color="auto"/>
              <w:left w:val="single" w:sz="4" w:space="0" w:color="auto"/>
              <w:bottom w:val="single" w:sz="4" w:space="0" w:color="auto"/>
              <w:right w:val="single" w:sz="4" w:space="0" w:color="auto"/>
            </w:tcBorders>
            <w:hideMark/>
          </w:tcPr>
          <w:p w14:paraId="6126629A"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16 000 </w:t>
            </w:r>
          </w:p>
        </w:tc>
      </w:tr>
      <w:tr w:rsidR="00FD515A" w:rsidRPr="00A847B7" w14:paraId="16B2FDFF"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08F6EF48"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15 </w:t>
            </w:r>
          </w:p>
        </w:tc>
        <w:tc>
          <w:tcPr>
            <w:tcW w:w="2436" w:type="dxa"/>
            <w:tcBorders>
              <w:top w:val="single" w:sz="4" w:space="0" w:color="auto"/>
              <w:left w:val="single" w:sz="4" w:space="0" w:color="auto"/>
              <w:bottom w:val="single" w:sz="4" w:space="0" w:color="auto"/>
              <w:right w:val="single" w:sz="4" w:space="0" w:color="auto"/>
            </w:tcBorders>
            <w:hideMark/>
          </w:tcPr>
          <w:p w14:paraId="04464433"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18 750 </w:t>
            </w:r>
          </w:p>
        </w:tc>
      </w:tr>
      <w:tr w:rsidR="00FD515A" w:rsidRPr="00A847B7" w14:paraId="3121A9DA"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6BC6CC37"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16 </w:t>
            </w:r>
          </w:p>
        </w:tc>
        <w:tc>
          <w:tcPr>
            <w:tcW w:w="2436" w:type="dxa"/>
            <w:tcBorders>
              <w:top w:val="single" w:sz="4" w:space="0" w:color="auto"/>
              <w:left w:val="single" w:sz="4" w:space="0" w:color="auto"/>
              <w:bottom w:val="single" w:sz="4" w:space="0" w:color="auto"/>
              <w:right w:val="single" w:sz="4" w:space="0" w:color="auto"/>
            </w:tcBorders>
            <w:hideMark/>
          </w:tcPr>
          <w:p w14:paraId="44955D1B"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20 500 </w:t>
            </w:r>
          </w:p>
        </w:tc>
      </w:tr>
      <w:tr w:rsidR="00FD515A" w:rsidRPr="00A847B7" w14:paraId="040547F2"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737DF040"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17 </w:t>
            </w:r>
          </w:p>
        </w:tc>
        <w:tc>
          <w:tcPr>
            <w:tcW w:w="2436" w:type="dxa"/>
            <w:tcBorders>
              <w:top w:val="single" w:sz="4" w:space="0" w:color="auto"/>
              <w:left w:val="single" w:sz="4" w:space="0" w:color="auto"/>
              <w:bottom w:val="single" w:sz="4" w:space="0" w:color="auto"/>
              <w:right w:val="single" w:sz="4" w:space="0" w:color="auto"/>
            </w:tcBorders>
            <w:hideMark/>
          </w:tcPr>
          <w:p w14:paraId="4176C235"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23 000 </w:t>
            </w:r>
          </w:p>
        </w:tc>
      </w:tr>
      <w:tr w:rsidR="00FD515A" w:rsidRPr="00A847B7" w14:paraId="185E3CC7"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59A5B67A"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18 </w:t>
            </w:r>
          </w:p>
        </w:tc>
        <w:tc>
          <w:tcPr>
            <w:tcW w:w="2436" w:type="dxa"/>
            <w:tcBorders>
              <w:top w:val="single" w:sz="4" w:space="0" w:color="auto"/>
              <w:left w:val="single" w:sz="4" w:space="0" w:color="auto"/>
              <w:bottom w:val="single" w:sz="4" w:space="0" w:color="auto"/>
              <w:right w:val="single" w:sz="4" w:space="0" w:color="auto"/>
            </w:tcBorders>
            <w:hideMark/>
          </w:tcPr>
          <w:p w14:paraId="45563C90"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25 500 </w:t>
            </w:r>
          </w:p>
        </w:tc>
      </w:tr>
      <w:tr w:rsidR="00FD515A" w:rsidRPr="00A847B7" w14:paraId="2306CD76"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724E5750"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19 </w:t>
            </w:r>
          </w:p>
        </w:tc>
        <w:tc>
          <w:tcPr>
            <w:tcW w:w="2436" w:type="dxa"/>
            <w:tcBorders>
              <w:top w:val="single" w:sz="4" w:space="0" w:color="auto"/>
              <w:left w:val="single" w:sz="4" w:space="0" w:color="auto"/>
              <w:bottom w:val="single" w:sz="4" w:space="0" w:color="auto"/>
              <w:right w:val="single" w:sz="4" w:space="0" w:color="auto"/>
            </w:tcBorders>
            <w:hideMark/>
          </w:tcPr>
          <w:p w14:paraId="42787AAB"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28 000 </w:t>
            </w:r>
          </w:p>
        </w:tc>
      </w:tr>
      <w:tr w:rsidR="00FD515A" w:rsidRPr="00A847B7" w14:paraId="3A5FAB76"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5704EB74"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20 </w:t>
            </w:r>
          </w:p>
        </w:tc>
        <w:tc>
          <w:tcPr>
            <w:tcW w:w="2436" w:type="dxa"/>
            <w:tcBorders>
              <w:top w:val="single" w:sz="4" w:space="0" w:color="auto"/>
              <w:left w:val="single" w:sz="4" w:space="0" w:color="auto"/>
              <w:bottom w:val="single" w:sz="4" w:space="0" w:color="auto"/>
              <w:right w:val="single" w:sz="4" w:space="0" w:color="auto"/>
            </w:tcBorders>
            <w:hideMark/>
          </w:tcPr>
          <w:p w14:paraId="72C994D5"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30 500 </w:t>
            </w:r>
          </w:p>
        </w:tc>
      </w:tr>
      <w:tr w:rsidR="00FD515A" w:rsidRPr="00A847B7" w14:paraId="39A1D65C"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03419FEB"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21 </w:t>
            </w:r>
          </w:p>
        </w:tc>
        <w:tc>
          <w:tcPr>
            <w:tcW w:w="2436" w:type="dxa"/>
            <w:tcBorders>
              <w:top w:val="single" w:sz="4" w:space="0" w:color="auto"/>
              <w:left w:val="single" w:sz="4" w:space="0" w:color="auto"/>
              <w:bottom w:val="single" w:sz="4" w:space="0" w:color="auto"/>
              <w:right w:val="single" w:sz="4" w:space="0" w:color="auto"/>
            </w:tcBorders>
            <w:hideMark/>
          </w:tcPr>
          <w:p w14:paraId="07A0A9E1"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33 000 </w:t>
            </w:r>
          </w:p>
        </w:tc>
      </w:tr>
      <w:tr w:rsidR="00FD515A" w:rsidRPr="00A847B7" w14:paraId="516F108C"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10A96C0B"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22 </w:t>
            </w:r>
          </w:p>
        </w:tc>
        <w:tc>
          <w:tcPr>
            <w:tcW w:w="2436" w:type="dxa"/>
            <w:tcBorders>
              <w:top w:val="single" w:sz="4" w:space="0" w:color="auto"/>
              <w:left w:val="single" w:sz="4" w:space="0" w:color="auto"/>
              <w:bottom w:val="single" w:sz="4" w:space="0" w:color="auto"/>
              <w:right w:val="single" w:sz="4" w:space="0" w:color="auto"/>
            </w:tcBorders>
            <w:hideMark/>
          </w:tcPr>
          <w:p w14:paraId="4EA2AA60"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35 500 </w:t>
            </w:r>
          </w:p>
        </w:tc>
      </w:tr>
      <w:tr w:rsidR="00FD515A" w:rsidRPr="00A847B7" w14:paraId="3A1EBD6F"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2CDAA560"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23 </w:t>
            </w:r>
          </w:p>
        </w:tc>
        <w:tc>
          <w:tcPr>
            <w:tcW w:w="2436" w:type="dxa"/>
            <w:tcBorders>
              <w:top w:val="single" w:sz="4" w:space="0" w:color="auto"/>
              <w:left w:val="single" w:sz="4" w:space="0" w:color="auto"/>
              <w:bottom w:val="single" w:sz="4" w:space="0" w:color="auto"/>
              <w:right w:val="single" w:sz="4" w:space="0" w:color="auto"/>
            </w:tcBorders>
            <w:hideMark/>
          </w:tcPr>
          <w:p w14:paraId="5B071789"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38 000 </w:t>
            </w:r>
          </w:p>
        </w:tc>
      </w:tr>
      <w:tr w:rsidR="00FD515A" w:rsidRPr="00A847B7" w14:paraId="64FC3CE0"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48561CEC"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24 </w:t>
            </w:r>
          </w:p>
        </w:tc>
        <w:tc>
          <w:tcPr>
            <w:tcW w:w="2436" w:type="dxa"/>
            <w:tcBorders>
              <w:top w:val="single" w:sz="4" w:space="0" w:color="auto"/>
              <w:left w:val="single" w:sz="4" w:space="0" w:color="auto"/>
              <w:bottom w:val="single" w:sz="4" w:space="0" w:color="auto"/>
              <w:right w:val="single" w:sz="4" w:space="0" w:color="auto"/>
            </w:tcBorders>
            <w:hideMark/>
          </w:tcPr>
          <w:p w14:paraId="2AA05C28"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40 000 </w:t>
            </w:r>
          </w:p>
        </w:tc>
      </w:tr>
      <w:tr w:rsidR="00FD515A" w:rsidRPr="00A847B7" w14:paraId="6902752D"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3BB84F1E"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25 </w:t>
            </w:r>
          </w:p>
        </w:tc>
        <w:tc>
          <w:tcPr>
            <w:tcW w:w="2436" w:type="dxa"/>
            <w:tcBorders>
              <w:top w:val="single" w:sz="4" w:space="0" w:color="auto"/>
              <w:left w:val="single" w:sz="4" w:space="0" w:color="auto"/>
              <w:bottom w:val="single" w:sz="4" w:space="0" w:color="auto"/>
              <w:right w:val="single" w:sz="4" w:space="0" w:color="auto"/>
            </w:tcBorders>
            <w:hideMark/>
          </w:tcPr>
          <w:p w14:paraId="28C00166"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42 500 </w:t>
            </w:r>
          </w:p>
        </w:tc>
      </w:tr>
      <w:tr w:rsidR="00FD515A" w:rsidRPr="00A847B7" w14:paraId="2542D614"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1E56385C"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26 </w:t>
            </w:r>
          </w:p>
        </w:tc>
        <w:tc>
          <w:tcPr>
            <w:tcW w:w="2436" w:type="dxa"/>
            <w:tcBorders>
              <w:top w:val="single" w:sz="4" w:space="0" w:color="auto"/>
              <w:left w:val="single" w:sz="4" w:space="0" w:color="auto"/>
              <w:bottom w:val="single" w:sz="4" w:space="0" w:color="auto"/>
              <w:right w:val="single" w:sz="4" w:space="0" w:color="auto"/>
            </w:tcBorders>
            <w:hideMark/>
          </w:tcPr>
          <w:p w14:paraId="6CBCE24F"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45 000 </w:t>
            </w:r>
          </w:p>
        </w:tc>
      </w:tr>
      <w:tr w:rsidR="00FD515A" w:rsidRPr="00A847B7" w14:paraId="10A3A96A"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101B8DF7"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27 </w:t>
            </w:r>
          </w:p>
        </w:tc>
        <w:tc>
          <w:tcPr>
            <w:tcW w:w="2436" w:type="dxa"/>
            <w:tcBorders>
              <w:top w:val="single" w:sz="4" w:space="0" w:color="auto"/>
              <w:left w:val="single" w:sz="4" w:space="0" w:color="auto"/>
              <w:bottom w:val="single" w:sz="4" w:space="0" w:color="auto"/>
              <w:right w:val="single" w:sz="4" w:space="0" w:color="auto"/>
            </w:tcBorders>
            <w:hideMark/>
          </w:tcPr>
          <w:p w14:paraId="0C220843"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47 500 </w:t>
            </w:r>
          </w:p>
        </w:tc>
      </w:tr>
      <w:tr w:rsidR="00FD515A" w:rsidRPr="00A847B7" w14:paraId="187CCA7E"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71A70E63"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28 et </w:t>
            </w:r>
            <w:proofErr w:type="spellStart"/>
            <w:r w:rsidRPr="00F74E8C">
              <w:rPr>
                <w:rFonts w:asciiTheme="minorHAnsi" w:hAnsiTheme="minorHAnsi" w:cstheme="minorHAnsi"/>
                <w:sz w:val="20"/>
                <w:szCs w:val="20"/>
              </w:rPr>
              <w:t>au delà</w:t>
            </w:r>
            <w:proofErr w:type="spellEnd"/>
            <w:r w:rsidRPr="00F74E8C">
              <w:rPr>
                <w:rFonts w:asciiTheme="minorHAnsi" w:hAnsiTheme="minorHAnsi" w:cstheme="minorHAnsi"/>
                <w:sz w:val="20"/>
                <w:szCs w:val="20"/>
              </w:rPr>
              <w:t xml:space="preserve"> </w:t>
            </w:r>
          </w:p>
        </w:tc>
        <w:tc>
          <w:tcPr>
            <w:tcW w:w="2436" w:type="dxa"/>
            <w:tcBorders>
              <w:top w:val="single" w:sz="4" w:space="0" w:color="auto"/>
              <w:left w:val="single" w:sz="4" w:space="0" w:color="auto"/>
              <w:bottom w:val="single" w:sz="4" w:space="0" w:color="auto"/>
              <w:right w:val="single" w:sz="4" w:space="0" w:color="auto"/>
            </w:tcBorders>
            <w:hideMark/>
          </w:tcPr>
          <w:p w14:paraId="30DFE5B9"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50 000 </w:t>
            </w:r>
          </w:p>
        </w:tc>
      </w:tr>
    </w:tbl>
    <w:p w14:paraId="36A3B308" w14:textId="77777777" w:rsidR="00C63330" w:rsidRPr="00A847B7" w:rsidRDefault="00C63330" w:rsidP="00C63330">
      <w:pPr>
        <w:spacing w:beforeAutospacing="1" w:after="100" w:afterAutospacing="1"/>
        <w:rPr>
          <w:rFonts w:cstheme="minorHAnsi"/>
        </w:rPr>
      </w:pPr>
    </w:p>
    <w:p w14:paraId="6242E644" w14:textId="3E61F324" w:rsidR="00956262" w:rsidRPr="00A847B7" w:rsidRDefault="00956262" w:rsidP="00956262">
      <w:pPr>
        <w:pStyle w:val="Titre3"/>
      </w:pPr>
      <w:bookmarkStart w:id="156" w:name="_Toc60781067"/>
      <w:r w:rsidRPr="00A847B7">
        <w:t xml:space="preserve">Slide </w:t>
      </w:r>
      <w:r w:rsidR="00455CFA">
        <w:t>105</w:t>
      </w:r>
      <w:r w:rsidRPr="00A847B7">
        <w:t xml:space="preserve"> : </w:t>
      </w:r>
      <w:r w:rsidR="00687DE0" w:rsidRPr="00A847B7">
        <w:t>Taxe sur les vé</w:t>
      </w:r>
      <w:r w:rsidR="00C70917" w:rsidRPr="00A847B7">
        <w:t>hicules de société pour 2021</w:t>
      </w:r>
      <w:bookmarkEnd w:id="156"/>
    </w:p>
    <w:p w14:paraId="28011C32" w14:textId="09A53C55" w:rsidR="005F2F6D" w:rsidRPr="00A847B7" w:rsidRDefault="000C668C" w:rsidP="005F2F6D">
      <w:r w:rsidRPr="004F587E">
        <w:rPr>
          <w:u w:val="single"/>
        </w:rPr>
        <w:t xml:space="preserve">Source </w:t>
      </w:r>
      <w:r w:rsidRPr="00A847B7">
        <w:t>:</w:t>
      </w:r>
      <w:r w:rsidR="005F2F6D" w:rsidRPr="00BB63F6">
        <w:t xml:space="preserve"> Loi de Finances pour 2021, </w:t>
      </w:r>
      <w:r w:rsidR="005F2F6D" w:rsidRPr="005A54C4">
        <w:t xml:space="preserve">article </w:t>
      </w:r>
      <w:r w:rsidR="00BB63F6" w:rsidRPr="00BB63F6">
        <w:t>55</w:t>
      </w:r>
    </w:p>
    <w:p w14:paraId="205406FD" w14:textId="22CC8BC3" w:rsidR="005F2F6D" w:rsidRPr="00A847B7" w:rsidRDefault="005F2F6D" w:rsidP="005F2F6D">
      <w:pPr>
        <w:rPr>
          <w:rFonts w:cstheme="minorHAnsi"/>
        </w:rPr>
      </w:pPr>
      <w:r w:rsidRPr="00A847B7">
        <w:rPr>
          <w:rFonts w:cstheme="minorHAnsi"/>
        </w:rPr>
        <w:t>La taxe sur les véhicules de société</w:t>
      </w:r>
      <w:r w:rsidR="00F92E41" w:rsidRPr="00A847B7">
        <w:rPr>
          <w:rFonts w:cstheme="minorHAnsi"/>
        </w:rPr>
        <w:t xml:space="preserve"> (TVS)</w:t>
      </w:r>
      <w:r w:rsidRPr="00A847B7">
        <w:rPr>
          <w:rFonts w:cstheme="minorHAnsi"/>
        </w:rPr>
        <w:t xml:space="preserve"> est une taxe annuelle, la période à prendre en compte correspondant, depuis 2018, à l’année civile.</w:t>
      </w:r>
    </w:p>
    <w:p w14:paraId="529CD760" w14:textId="77777777" w:rsidR="005F2F6D" w:rsidRPr="00A847B7" w:rsidRDefault="005F2F6D" w:rsidP="005F2F6D">
      <w:pPr>
        <w:rPr>
          <w:rFonts w:cstheme="minorHAnsi"/>
        </w:rPr>
      </w:pPr>
      <w:r w:rsidRPr="00A847B7">
        <w:rPr>
          <w:rFonts w:cstheme="minorHAnsi"/>
        </w:rPr>
        <w:t>La taxe est calculée par trimestre : pour chaque trimestre, il faut totaliser les véhicules possédés ou utilisés par la société au 1</w:t>
      </w:r>
      <w:r w:rsidRPr="00A847B7">
        <w:rPr>
          <w:rFonts w:cstheme="minorHAnsi"/>
          <w:vertAlign w:val="superscript"/>
        </w:rPr>
        <w:t>er</w:t>
      </w:r>
      <w:r w:rsidRPr="00A847B7">
        <w:rPr>
          <w:rFonts w:cstheme="minorHAnsi"/>
        </w:rPr>
        <w:t xml:space="preserve"> jour du trimestre.</w:t>
      </w:r>
    </w:p>
    <w:p w14:paraId="65FF51F1" w14:textId="77777777" w:rsidR="005F2F6D" w:rsidRPr="00A847B7" w:rsidRDefault="005F2F6D" w:rsidP="005F2F6D">
      <w:pPr>
        <w:rPr>
          <w:rFonts w:cstheme="minorHAnsi"/>
        </w:rPr>
      </w:pPr>
      <w:r w:rsidRPr="00A847B7">
        <w:rPr>
          <w:rFonts w:cstheme="minorHAnsi"/>
        </w:rPr>
        <w:t xml:space="preserve">Le calcul de la taxe est égal à la somme de deux composantes : </w:t>
      </w:r>
    </w:p>
    <w:p w14:paraId="0EF7831D" w14:textId="7D895C82" w:rsidR="005F2F6D" w:rsidRPr="00A847B7" w:rsidRDefault="005F2F6D" w:rsidP="00EE0687">
      <w:pPr>
        <w:pStyle w:val="Paragraphedeliste"/>
        <w:numPr>
          <w:ilvl w:val="0"/>
          <w:numId w:val="63"/>
        </w:numPr>
        <w:rPr>
          <w:rFonts w:cstheme="minorHAnsi"/>
        </w:rPr>
      </w:pPr>
      <w:r w:rsidRPr="00A847B7">
        <w:rPr>
          <w:rFonts w:cstheme="minorHAnsi"/>
        </w:rPr>
        <w:t xml:space="preserve">la première composante correspond au tarif établi en fonction de l’émission de CO² ou en fonction de la puissance fiscale ; </w:t>
      </w:r>
    </w:p>
    <w:p w14:paraId="035E8605" w14:textId="64814942" w:rsidR="00361A7A" w:rsidRPr="00A847B7" w:rsidRDefault="005F2F6D" w:rsidP="00EE0687">
      <w:pPr>
        <w:pStyle w:val="Paragraphedeliste"/>
        <w:numPr>
          <w:ilvl w:val="0"/>
          <w:numId w:val="63"/>
        </w:numPr>
        <w:rPr>
          <w:rFonts w:cstheme="minorHAnsi"/>
        </w:rPr>
      </w:pPr>
      <w:r w:rsidRPr="00A847B7">
        <w:rPr>
          <w:rFonts w:cstheme="minorHAnsi"/>
        </w:rPr>
        <w:t>la seconde composante correspond au tarif établi en fonction du mode de carburation et de l’année de la 1</w:t>
      </w:r>
      <w:r w:rsidRPr="00A847B7">
        <w:rPr>
          <w:rFonts w:cstheme="minorHAnsi"/>
          <w:vertAlign w:val="superscript"/>
        </w:rPr>
        <w:t>ère</w:t>
      </w:r>
      <w:r w:rsidRPr="00A847B7">
        <w:rPr>
          <w:rFonts w:cstheme="minorHAnsi"/>
        </w:rPr>
        <w:t xml:space="preserve"> mise en circulation.</w:t>
      </w:r>
    </w:p>
    <w:p w14:paraId="3B75799C" w14:textId="6B59A773" w:rsidR="00941D9C" w:rsidRPr="00A847B7" w:rsidRDefault="00941D9C" w:rsidP="005F2F6D">
      <w:pPr>
        <w:rPr>
          <w:rFonts w:cstheme="minorHAnsi"/>
        </w:rPr>
      </w:pPr>
      <w:r w:rsidRPr="00A847B7">
        <w:rPr>
          <w:rFonts w:cstheme="minorHAnsi"/>
        </w:rPr>
        <w:t>La Loi de Finances pour 2021</w:t>
      </w:r>
      <w:r w:rsidR="00AF21E9" w:rsidRPr="00A847B7">
        <w:rPr>
          <w:rFonts w:cstheme="minorHAnsi"/>
        </w:rPr>
        <w:t xml:space="preserve"> prévoit de réviser l</w:t>
      </w:r>
      <w:r w:rsidR="00F92E41" w:rsidRPr="00A847B7">
        <w:rPr>
          <w:rFonts w:cstheme="minorHAnsi"/>
        </w:rPr>
        <w:t xml:space="preserve">e tarif de la </w:t>
      </w:r>
      <w:r w:rsidR="00D22EF8" w:rsidRPr="00A847B7">
        <w:rPr>
          <w:rFonts w:cstheme="minorHAnsi"/>
        </w:rPr>
        <w:t>1</w:t>
      </w:r>
      <w:r w:rsidR="00D22EF8" w:rsidRPr="00A847B7">
        <w:rPr>
          <w:rFonts w:cstheme="minorHAnsi"/>
          <w:vertAlign w:val="superscript"/>
        </w:rPr>
        <w:t>ère</w:t>
      </w:r>
      <w:r w:rsidR="00D22EF8" w:rsidRPr="00A847B7">
        <w:rPr>
          <w:rFonts w:cstheme="minorHAnsi"/>
        </w:rPr>
        <w:t xml:space="preserve"> composante de la </w:t>
      </w:r>
      <w:r w:rsidR="00F92E41" w:rsidRPr="00A847B7">
        <w:rPr>
          <w:rFonts w:cstheme="minorHAnsi"/>
        </w:rPr>
        <w:t>TVS</w:t>
      </w:r>
      <w:r w:rsidR="00D64057" w:rsidRPr="00A847B7">
        <w:rPr>
          <w:rFonts w:cstheme="minorHAnsi"/>
        </w:rPr>
        <w:t xml:space="preserve"> pour 2021, mais seulement pour les véhicules relevant du nouveau dispositi</w:t>
      </w:r>
      <w:r w:rsidR="00503225" w:rsidRPr="00A847B7">
        <w:rPr>
          <w:rFonts w:cstheme="minorHAnsi"/>
        </w:rPr>
        <w:t>f d’immatriculation</w:t>
      </w:r>
      <w:r w:rsidR="00642856" w:rsidRPr="00A847B7">
        <w:rPr>
          <w:rFonts w:cstheme="minorHAnsi"/>
        </w:rPr>
        <w:t>.</w:t>
      </w:r>
    </w:p>
    <w:p w14:paraId="766D1540" w14:textId="0920A2B3" w:rsidR="005F2F6D" w:rsidRPr="00A847B7" w:rsidRDefault="00DC2E44" w:rsidP="005F2F6D">
      <w:pPr>
        <w:rPr>
          <w:rFonts w:cstheme="minorHAnsi"/>
        </w:rPr>
      </w:pPr>
      <w:r w:rsidRPr="00A847B7">
        <w:rPr>
          <w:rFonts w:cstheme="minorHAnsi"/>
        </w:rPr>
        <w:t>Pour ces véhicules</w:t>
      </w:r>
      <w:r w:rsidR="00F10C29" w:rsidRPr="00A847B7">
        <w:rPr>
          <w:rFonts w:cstheme="minorHAnsi"/>
        </w:rPr>
        <w:t xml:space="preserve">, </w:t>
      </w:r>
      <w:r w:rsidR="0041037B" w:rsidRPr="00A847B7">
        <w:rPr>
          <w:rFonts w:cstheme="minorHAnsi"/>
        </w:rPr>
        <w:t xml:space="preserve">le tarif applicable est déterminé </w:t>
      </w:r>
      <w:r w:rsidRPr="00A847B7">
        <w:rPr>
          <w:rFonts w:cstheme="minorHAnsi"/>
        </w:rPr>
        <w:t>dans les conditions suivantes :</w:t>
      </w:r>
    </w:p>
    <w:p w14:paraId="7617AC5A" w14:textId="0186D992" w:rsidR="00DC2E44" w:rsidRPr="00A847B7" w:rsidRDefault="00DC2E44" w:rsidP="00EE0687">
      <w:pPr>
        <w:pStyle w:val="Paragraphedeliste"/>
        <w:numPr>
          <w:ilvl w:val="0"/>
          <w:numId w:val="64"/>
        </w:numPr>
        <w:rPr>
          <w:rFonts w:cstheme="minorHAnsi"/>
        </w:rPr>
      </w:pPr>
      <w:r w:rsidRPr="00A847B7">
        <w:rPr>
          <w:rFonts w:cstheme="minorHAnsi"/>
        </w:rPr>
        <w:t>lorsque les émissions sont in</w:t>
      </w:r>
      <w:r w:rsidR="00D845DE" w:rsidRPr="00A847B7">
        <w:rPr>
          <w:rFonts w:cstheme="minorHAnsi"/>
        </w:rPr>
        <w:t xml:space="preserve">férieures </w:t>
      </w:r>
      <w:r w:rsidR="00415C4D" w:rsidRPr="00A847B7">
        <w:rPr>
          <w:rFonts w:cstheme="minorHAnsi"/>
        </w:rPr>
        <w:t>à 21 g/km</w:t>
      </w:r>
      <w:r w:rsidR="00C439E7" w:rsidRPr="00A847B7">
        <w:rPr>
          <w:rFonts w:cstheme="minorHAnsi"/>
        </w:rPr>
        <w:t>, le tarif est nul ;</w:t>
      </w:r>
    </w:p>
    <w:p w14:paraId="419834CC" w14:textId="64366D9F" w:rsidR="00C439E7" w:rsidRPr="00A847B7" w:rsidRDefault="00C439E7" w:rsidP="00EE0687">
      <w:pPr>
        <w:pStyle w:val="Paragraphedeliste"/>
        <w:numPr>
          <w:ilvl w:val="0"/>
          <w:numId w:val="64"/>
        </w:numPr>
        <w:rPr>
          <w:rFonts w:cstheme="minorHAnsi"/>
        </w:rPr>
      </w:pPr>
      <w:r w:rsidRPr="00A847B7">
        <w:rPr>
          <w:rFonts w:cstheme="minorHAnsi"/>
        </w:rPr>
        <w:t>lorsque les émissions sont supérieures ou égales à 21 g/km</w:t>
      </w:r>
      <w:r w:rsidR="0090298D" w:rsidRPr="00A847B7">
        <w:rPr>
          <w:rFonts w:cstheme="minorHAnsi"/>
        </w:rPr>
        <w:t xml:space="preserve"> et inférieures ou égales à 269 g/km</w:t>
      </w:r>
      <w:r w:rsidR="0074524F" w:rsidRPr="00A847B7">
        <w:rPr>
          <w:rFonts w:cstheme="minorHAnsi"/>
        </w:rPr>
        <w:t>, le tarif est déterminé selon le barème suivant</w:t>
      </w:r>
      <w:r w:rsidR="00993BD5" w:rsidRPr="00A847B7">
        <w:rPr>
          <w:rFonts w:cstheme="minorHAnsi"/>
        </w:rPr>
        <w:t xml:space="preserve"> : </w:t>
      </w:r>
    </w:p>
    <w:p w14:paraId="1D5B8573" w14:textId="77777777" w:rsidR="00993BD5" w:rsidRPr="00A847B7" w:rsidRDefault="00993BD5" w:rsidP="00694842">
      <w:pPr>
        <w:rPr>
          <w:rFonts w:cstheme="minorHAnsi"/>
        </w:rPr>
      </w:pPr>
    </w:p>
    <w:tbl>
      <w:tblPr>
        <w:tblW w:w="0" w:type="auto"/>
        <w:tblInd w:w="1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6"/>
        <w:gridCol w:w="2616"/>
      </w:tblGrid>
      <w:tr w:rsidR="00694842" w:rsidRPr="00A847B7" w14:paraId="4FF4DDE1" w14:textId="77777777" w:rsidTr="00394A15">
        <w:trPr>
          <w:trHeight w:val="200"/>
        </w:trPr>
        <w:tc>
          <w:tcPr>
            <w:tcW w:w="2616" w:type="dxa"/>
            <w:shd w:val="clear" w:color="auto" w:fill="297FD5" w:themeFill="accent3"/>
          </w:tcPr>
          <w:p w14:paraId="576F95D4" w14:textId="77777777" w:rsidR="00694842" w:rsidRPr="00A847B7" w:rsidRDefault="00694842" w:rsidP="00BE75C5">
            <w:pPr>
              <w:rPr>
                <w:rFonts w:cstheme="minorHAnsi"/>
                <w:b/>
                <w:bCs/>
                <w:color w:val="FFFFFF" w:themeColor="background1"/>
                <w:sz w:val="22"/>
                <w:szCs w:val="22"/>
              </w:rPr>
            </w:pPr>
            <w:r w:rsidRPr="00A847B7">
              <w:rPr>
                <w:rFonts w:cstheme="minorHAnsi"/>
                <w:b/>
                <w:bCs/>
                <w:color w:val="FFFFFF" w:themeColor="background1"/>
                <w:sz w:val="22"/>
                <w:szCs w:val="22"/>
              </w:rPr>
              <w:t xml:space="preserve">Émissions de dioxyde de carbone (en grammes par kilomètre) </w:t>
            </w:r>
          </w:p>
        </w:tc>
        <w:tc>
          <w:tcPr>
            <w:tcW w:w="2616" w:type="dxa"/>
            <w:shd w:val="clear" w:color="auto" w:fill="297FD5" w:themeFill="accent3"/>
          </w:tcPr>
          <w:p w14:paraId="6ED3D73B" w14:textId="77777777" w:rsidR="00694842" w:rsidRPr="00A847B7" w:rsidRDefault="00694842" w:rsidP="00BE75C5">
            <w:pPr>
              <w:rPr>
                <w:rFonts w:cstheme="minorHAnsi"/>
                <w:b/>
                <w:bCs/>
                <w:color w:val="FFFFFF" w:themeColor="background1"/>
                <w:sz w:val="22"/>
                <w:szCs w:val="22"/>
              </w:rPr>
            </w:pPr>
            <w:r w:rsidRPr="00A847B7">
              <w:rPr>
                <w:rFonts w:cstheme="minorHAnsi"/>
                <w:b/>
                <w:bCs/>
                <w:color w:val="FFFFFF" w:themeColor="background1"/>
                <w:sz w:val="22"/>
                <w:szCs w:val="22"/>
              </w:rPr>
              <w:t xml:space="preserve">Tarif par véhicule (en euros) </w:t>
            </w:r>
          </w:p>
        </w:tc>
      </w:tr>
      <w:tr w:rsidR="00694842" w:rsidRPr="00A847B7" w14:paraId="2ED85C8D" w14:textId="77777777" w:rsidTr="00394A15">
        <w:trPr>
          <w:trHeight w:val="109"/>
        </w:trPr>
        <w:tc>
          <w:tcPr>
            <w:tcW w:w="2616" w:type="dxa"/>
          </w:tcPr>
          <w:p w14:paraId="7FF0ECDB" w14:textId="77777777" w:rsidR="00694842" w:rsidRPr="00A847B7" w:rsidRDefault="00694842" w:rsidP="00BE75C5">
            <w:pPr>
              <w:rPr>
                <w:rFonts w:cstheme="minorHAnsi"/>
              </w:rPr>
            </w:pPr>
            <w:r w:rsidRPr="00A847B7">
              <w:rPr>
                <w:rFonts w:cstheme="minorHAnsi"/>
              </w:rPr>
              <w:t xml:space="preserve">21 </w:t>
            </w:r>
          </w:p>
        </w:tc>
        <w:tc>
          <w:tcPr>
            <w:tcW w:w="2616" w:type="dxa"/>
          </w:tcPr>
          <w:p w14:paraId="58BB91E1" w14:textId="77777777" w:rsidR="00694842" w:rsidRPr="00A847B7" w:rsidRDefault="00694842" w:rsidP="00BE75C5">
            <w:pPr>
              <w:rPr>
                <w:rFonts w:cstheme="minorHAnsi"/>
              </w:rPr>
            </w:pPr>
            <w:r w:rsidRPr="00A847B7">
              <w:rPr>
                <w:rFonts w:cstheme="minorHAnsi"/>
              </w:rPr>
              <w:t xml:space="preserve">17 </w:t>
            </w:r>
          </w:p>
        </w:tc>
      </w:tr>
      <w:tr w:rsidR="00694842" w:rsidRPr="00A847B7" w14:paraId="5C836599" w14:textId="77777777" w:rsidTr="00394A15">
        <w:trPr>
          <w:trHeight w:val="109"/>
        </w:trPr>
        <w:tc>
          <w:tcPr>
            <w:tcW w:w="2616" w:type="dxa"/>
          </w:tcPr>
          <w:p w14:paraId="3D6351B5" w14:textId="77777777" w:rsidR="00694842" w:rsidRPr="00A847B7" w:rsidRDefault="00694842" w:rsidP="00BE75C5">
            <w:pPr>
              <w:rPr>
                <w:rFonts w:cstheme="minorHAnsi"/>
              </w:rPr>
            </w:pPr>
            <w:r w:rsidRPr="00A847B7">
              <w:rPr>
                <w:rFonts w:cstheme="minorHAnsi"/>
              </w:rPr>
              <w:t xml:space="preserve">22 </w:t>
            </w:r>
          </w:p>
        </w:tc>
        <w:tc>
          <w:tcPr>
            <w:tcW w:w="2616" w:type="dxa"/>
          </w:tcPr>
          <w:p w14:paraId="26426758" w14:textId="77777777" w:rsidR="00694842" w:rsidRPr="00A847B7" w:rsidRDefault="00694842" w:rsidP="00BE75C5">
            <w:pPr>
              <w:rPr>
                <w:rFonts w:cstheme="minorHAnsi"/>
              </w:rPr>
            </w:pPr>
            <w:r w:rsidRPr="00A847B7">
              <w:rPr>
                <w:rFonts w:cstheme="minorHAnsi"/>
              </w:rPr>
              <w:t xml:space="preserve">18 </w:t>
            </w:r>
          </w:p>
        </w:tc>
      </w:tr>
      <w:tr w:rsidR="00694842" w:rsidRPr="00A847B7" w14:paraId="3519A27C" w14:textId="77777777" w:rsidTr="00394A15">
        <w:trPr>
          <w:trHeight w:val="109"/>
        </w:trPr>
        <w:tc>
          <w:tcPr>
            <w:tcW w:w="2616" w:type="dxa"/>
          </w:tcPr>
          <w:p w14:paraId="37DD7520" w14:textId="77777777" w:rsidR="00694842" w:rsidRPr="00A847B7" w:rsidRDefault="00694842" w:rsidP="00BE75C5">
            <w:pPr>
              <w:rPr>
                <w:rFonts w:cstheme="minorHAnsi"/>
              </w:rPr>
            </w:pPr>
            <w:r w:rsidRPr="00A847B7">
              <w:rPr>
                <w:rFonts w:cstheme="minorHAnsi"/>
              </w:rPr>
              <w:t xml:space="preserve">23 </w:t>
            </w:r>
          </w:p>
        </w:tc>
        <w:tc>
          <w:tcPr>
            <w:tcW w:w="2616" w:type="dxa"/>
          </w:tcPr>
          <w:p w14:paraId="45E31E99" w14:textId="77777777" w:rsidR="00694842" w:rsidRPr="00A847B7" w:rsidRDefault="00694842" w:rsidP="00BE75C5">
            <w:pPr>
              <w:rPr>
                <w:rFonts w:cstheme="minorHAnsi"/>
              </w:rPr>
            </w:pPr>
            <w:r w:rsidRPr="00A847B7">
              <w:rPr>
                <w:rFonts w:cstheme="minorHAnsi"/>
              </w:rPr>
              <w:t xml:space="preserve">18 </w:t>
            </w:r>
          </w:p>
        </w:tc>
      </w:tr>
      <w:tr w:rsidR="00694842" w:rsidRPr="00A847B7" w14:paraId="0DA8411C" w14:textId="77777777" w:rsidTr="00394A15">
        <w:trPr>
          <w:trHeight w:val="109"/>
        </w:trPr>
        <w:tc>
          <w:tcPr>
            <w:tcW w:w="2616" w:type="dxa"/>
          </w:tcPr>
          <w:p w14:paraId="337B2CCA" w14:textId="77777777" w:rsidR="00694842" w:rsidRPr="00A847B7" w:rsidRDefault="00694842" w:rsidP="00BE75C5">
            <w:pPr>
              <w:rPr>
                <w:rFonts w:cstheme="minorHAnsi"/>
              </w:rPr>
            </w:pPr>
            <w:r w:rsidRPr="00A847B7">
              <w:rPr>
                <w:rFonts w:cstheme="minorHAnsi"/>
              </w:rPr>
              <w:t xml:space="preserve">24 </w:t>
            </w:r>
          </w:p>
        </w:tc>
        <w:tc>
          <w:tcPr>
            <w:tcW w:w="2616" w:type="dxa"/>
          </w:tcPr>
          <w:p w14:paraId="17720EA3" w14:textId="77777777" w:rsidR="00694842" w:rsidRPr="00A847B7" w:rsidRDefault="00694842" w:rsidP="00BE75C5">
            <w:pPr>
              <w:rPr>
                <w:rFonts w:cstheme="minorHAnsi"/>
              </w:rPr>
            </w:pPr>
            <w:r w:rsidRPr="00A847B7">
              <w:rPr>
                <w:rFonts w:cstheme="minorHAnsi"/>
              </w:rPr>
              <w:t xml:space="preserve">19 </w:t>
            </w:r>
          </w:p>
        </w:tc>
      </w:tr>
      <w:tr w:rsidR="00694842" w:rsidRPr="00A847B7" w14:paraId="2F83213E" w14:textId="77777777" w:rsidTr="00394A15">
        <w:trPr>
          <w:trHeight w:val="109"/>
        </w:trPr>
        <w:tc>
          <w:tcPr>
            <w:tcW w:w="2616" w:type="dxa"/>
          </w:tcPr>
          <w:p w14:paraId="0AD68400" w14:textId="77777777" w:rsidR="00694842" w:rsidRPr="00A847B7" w:rsidRDefault="00694842" w:rsidP="00BE75C5">
            <w:pPr>
              <w:rPr>
                <w:rFonts w:cstheme="minorHAnsi"/>
              </w:rPr>
            </w:pPr>
            <w:r w:rsidRPr="00A847B7">
              <w:rPr>
                <w:rFonts w:cstheme="minorHAnsi"/>
              </w:rPr>
              <w:t xml:space="preserve">25 </w:t>
            </w:r>
          </w:p>
        </w:tc>
        <w:tc>
          <w:tcPr>
            <w:tcW w:w="2616" w:type="dxa"/>
          </w:tcPr>
          <w:p w14:paraId="6292A9A6" w14:textId="77777777" w:rsidR="00694842" w:rsidRPr="00A847B7" w:rsidRDefault="00694842" w:rsidP="00BE75C5">
            <w:pPr>
              <w:rPr>
                <w:rFonts w:cstheme="minorHAnsi"/>
              </w:rPr>
            </w:pPr>
            <w:r w:rsidRPr="00A847B7">
              <w:rPr>
                <w:rFonts w:cstheme="minorHAnsi"/>
              </w:rPr>
              <w:t xml:space="preserve">20 </w:t>
            </w:r>
          </w:p>
        </w:tc>
      </w:tr>
      <w:tr w:rsidR="00694842" w:rsidRPr="00A847B7" w14:paraId="77E984FF" w14:textId="77777777" w:rsidTr="00394A15">
        <w:trPr>
          <w:trHeight w:val="109"/>
        </w:trPr>
        <w:tc>
          <w:tcPr>
            <w:tcW w:w="2616" w:type="dxa"/>
          </w:tcPr>
          <w:p w14:paraId="549F1C7E" w14:textId="77777777" w:rsidR="00694842" w:rsidRPr="00A847B7" w:rsidRDefault="00694842" w:rsidP="00BE75C5">
            <w:pPr>
              <w:rPr>
                <w:rFonts w:cstheme="minorHAnsi"/>
              </w:rPr>
            </w:pPr>
            <w:r w:rsidRPr="00A847B7">
              <w:rPr>
                <w:rFonts w:cstheme="minorHAnsi"/>
              </w:rPr>
              <w:t xml:space="preserve">26 </w:t>
            </w:r>
          </w:p>
        </w:tc>
        <w:tc>
          <w:tcPr>
            <w:tcW w:w="2616" w:type="dxa"/>
          </w:tcPr>
          <w:p w14:paraId="7714E6DC" w14:textId="77777777" w:rsidR="00694842" w:rsidRPr="00A847B7" w:rsidRDefault="00694842" w:rsidP="00BE75C5">
            <w:pPr>
              <w:rPr>
                <w:rFonts w:cstheme="minorHAnsi"/>
              </w:rPr>
            </w:pPr>
            <w:r w:rsidRPr="00A847B7">
              <w:rPr>
                <w:rFonts w:cstheme="minorHAnsi"/>
              </w:rPr>
              <w:t xml:space="preserve">21 </w:t>
            </w:r>
          </w:p>
        </w:tc>
      </w:tr>
      <w:tr w:rsidR="00694842" w:rsidRPr="00A847B7" w14:paraId="7970070D" w14:textId="77777777" w:rsidTr="00394A15">
        <w:trPr>
          <w:trHeight w:val="109"/>
        </w:trPr>
        <w:tc>
          <w:tcPr>
            <w:tcW w:w="2616" w:type="dxa"/>
          </w:tcPr>
          <w:p w14:paraId="54A02D3C" w14:textId="77777777" w:rsidR="00694842" w:rsidRPr="00A847B7" w:rsidRDefault="00694842" w:rsidP="00BE75C5">
            <w:pPr>
              <w:rPr>
                <w:rFonts w:cstheme="minorHAnsi"/>
              </w:rPr>
            </w:pPr>
            <w:r w:rsidRPr="00A847B7">
              <w:rPr>
                <w:rFonts w:cstheme="minorHAnsi"/>
              </w:rPr>
              <w:t xml:space="preserve">27 </w:t>
            </w:r>
          </w:p>
        </w:tc>
        <w:tc>
          <w:tcPr>
            <w:tcW w:w="2616" w:type="dxa"/>
          </w:tcPr>
          <w:p w14:paraId="1FF447B7" w14:textId="77777777" w:rsidR="00694842" w:rsidRPr="00A847B7" w:rsidRDefault="00694842" w:rsidP="00BE75C5">
            <w:pPr>
              <w:rPr>
                <w:rFonts w:cstheme="minorHAnsi"/>
              </w:rPr>
            </w:pPr>
            <w:r w:rsidRPr="00A847B7">
              <w:rPr>
                <w:rFonts w:cstheme="minorHAnsi"/>
              </w:rPr>
              <w:t xml:space="preserve">22 </w:t>
            </w:r>
          </w:p>
        </w:tc>
      </w:tr>
      <w:tr w:rsidR="00694842" w:rsidRPr="00A847B7" w14:paraId="1DA7964C" w14:textId="77777777" w:rsidTr="00394A15">
        <w:trPr>
          <w:trHeight w:val="109"/>
        </w:trPr>
        <w:tc>
          <w:tcPr>
            <w:tcW w:w="2616" w:type="dxa"/>
          </w:tcPr>
          <w:p w14:paraId="59CB7A2D" w14:textId="77777777" w:rsidR="00694842" w:rsidRPr="00A847B7" w:rsidRDefault="00694842" w:rsidP="00BE75C5">
            <w:pPr>
              <w:rPr>
                <w:rFonts w:cstheme="minorHAnsi"/>
              </w:rPr>
            </w:pPr>
            <w:r w:rsidRPr="00A847B7">
              <w:rPr>
                <w:rFonts w:cstheme="minorHAnsi"/>
              </w:rPr>
              <w:t xml:space="preserve">28 </w:t>
            </w:r>
          </w:p>
        </w:tc>
        <w:tc>
          <w:tcPr>
            <w:tcW w:w="2616" w:type="dxa"/>
          </w:tcPr>
          <w:p w14:paraId="6E1B054F" w14:textId="77777777" w:rsidR="00694842" w:rsidRPr="00A847B7" w:rsidRDefault="00694842" w:rsidP="00BE75C5">
            <w:pPr>
              <w:rPr>
                <w:rFonts w:cstheme="minorHAnsi"/>
              </w:rPr>
            </w:pPr>
            <w:r w:rsidRPr="00A847B7">
              <w:rPr>
                <w:rFonts w:cstheme="minorHAnsi"/>
              </w:rPr>
              <w:t xml:space="preserve">22 </w:t>
            </w:r>
          </w:p>
        </w:tc>
      </w:tr>
      <w:tr w:rsidR="00694842" w:rsidRPr="00A847B7" w14:paraId="15F75B77" w14:textId="77777777" w:rsidTr="00394A15">
        <w:trPr>
          <w:trHeight w:val="109"/>
        </w:trPr>
        <w:tc>
          <w:tcPr>
            <w:tcW w:w="2616" w:type="dxa"/>
          </w:tcPr>
          <w:p w14:paraId="413D98FB" w14:textId="77777777" w:rsidR="00694842" w:rsidRPr="00A847B7" w:rsidRDefault="00694842" w:rsidP="00BE75C5">
            <w:pPr>
              <w:rPr>
                <w:rFonts w:cstheme="minorHAnsi"/>
              </w:rPr>
            </w:pPr>
            <w:r w:rsidRPr="00A847B7">
              <w:rPr>
                <w:rFonts w:cstheme="minorHAnsi"/>
              </w:rPr>
              <w:lastRenderedPageBreak/>
              <w:t xml:space="preserve">29 </w:t>
            </w:r>
          </w:p>
        </w:tc>
        <w:tc>
          <w:tcPr>
            <w:tcW w:w="2616" w:type="dxa"/>
          </w:tcPr>
          <w:p w14:paraId="7322B7F0" w14:textId="77777777" w:rsidR="00694842" w:rsidRPr="00A847B7" w:rsidRDefault="00694842" w:rsidP="00BE75C5">
            <w:pPr>
              <w:rPr>
                <w:rFonts w:cstheme="minorHAnsi"/>
              </w:rPr>
            </w:pPr>
            <w:r w:rsidRPr="00A847B7">
              <w:rPr>
                <w:rFonts w:cstheme="minorHAnsi"/>
              </w:rPr>
              <w:t xml:space="preserve">23 </w:t>
            </w:r>
          </w:p>
        </w:tc>
      </w:tr>
      <w:tr w:rsidR="006C5A00" w:rsidRPr="00A847B7" w14:paraId="3EF974C6" w14:textId="77777777" w:rsidTr="00394A15">
        <w:trPr>
          <w:trHeight w:val="109"/>
        </w:trPr>
        <w:tc>
          <w:tcPr>
            <w:tcW w:w="2616" w:type="dxa"/>
          </w:tcPr>
          <w:p w14:paraId="7F3F9353" w14:textId="77777777" w:rsidR="006C5A00" w:rsidRPr="00A847B7" w:rsidRDefault="006C5A00" w:rsidP="00BE75C5">
            <w:pPr>
              <w:rPr>
                <w:rFonts w:cstheme="minorHAnsi"/>
              </w:rPr>
            </w:pPr>
            <w:r w:rsidRPr="00A847B7">
              <w:rPr>
                <w:rFonts w:cstheme="minorHAnsi"/>
              </w:rPr>
              <w:t xml:space="preserve">30 </w:t>
            </w:r>
          </w:p>
        </w:tc>
        <w:tc>
          <w:tcPr>
            <w:tcW w:w="2616" w:type="dxa"/>
          </w:tcPr>
          <w:p w14:paraId="4503D46F" w14:textId="77777777" w:rsidR="006C5A00" w:rsidRPr="00A847B7" w:rsidRDefault="006C5A00" w:rsidP="00BE75C5">
            <w:pPr>
              <w:rPr>
                <w:rFonts w:cstheme="minorHAnsi"/>
              </w:rPr>
            </w:pPr>
            <w:r w:rsidRPr="00A847B7">
              <w:rPr>
                <w:rFonts w:cstheme="minorHAnsi"/>
              </w:rPr>
              <w:t xml:space="preserve">24 </w:t>
            </w:r>
          </w:p>
        </w:tc>
      </w:tr>
      <w:tr w:rsidR="006C5A00" w:rsidRPr="00A847B7" w14:paraId="227BED9B" w14:textId="77777777" w:rsidTr="00394A15">
        <w:trPr>
          <w:trHeight w:val="109"/>
        </w:trPr>
        <w:tc>
          <w:tcPr>
            <w:tcW w:w="2616" w:type="dxa"/>
          </w:tcPr>
          <w:p w14:paraId="0301B097" w14:textId="77777777" w:rsidR="006C5A00" w:rsidRPr="00A847B7" w:rsidRDefault="006C5A00" w:rsidP="00BE75C5">
            <w:pPr>
              <w:rPr>
                <w:rFonts w:cstheme="minorHAnsi"/>
              </w:rPr>
            </w:pPr>
            <w:r w:rsidRPr="00A847B7">
              <w:rPr>
                <w:rFonts w:cstheme="minorHAnsi"/>
              </w:rPr>
              <w:t xml:space="preserve">31 </w:t>
            </w:r>
          </w:p>
        </w:tc>
        <w:tc>
          <w:tcPr>
            <w:tcW w:w="2616" w:type="dxa"/>
          </w:tcPr>
          <w:p w14:paraId="72E05078" w14:textId="77777777" w:rsidR="006C5A00" w:rsidRPr="00A847B7" w:rsidRDefault="006C5A00" w:rsidP="00BE75C5">
            <w:pPr>
              <w:rPr>
                <w:rFonts w:cstheme="minorHAnsi"/>
              </w:rPr>
            </w:pPr>
            <w:r w:rsidRPr="00A847B7">
              <w:rPr>
                <w:rFonts w:cstheme="minorHAnsi"/>
              </w:rPr>
              <w:t xml:space="preserve">25 </w:t>
            </w:r>
          </w:p>
        </w:tc>
      </w:tr>
      <w:tr w:rsidR="006C5A00" w:rsidRPr="00A847B7" w14:paraId="3089FB32" w14:textId="77777777" w:rsidTr="00394A15">
        <w:trPr>
          <w:trHeight w:val="109"/>
        </w:trPr>
        <w:tc>
          <w:tcPr>
            <w:tcW w:w="2616" w:type="dxa"/>
          </w:tcPr>
          <w:p w14:paraId="07570DFB" w14:textId="77777777" w:rsidR="006C5A00" w:rsidRPr="00A847B7" w:rsidRDefault="006C5A00" w:rsidP="00BE75C5">
            <w:pPr>
              <w:rPr>
                <w:rFonts w:cstheme="minorHAnsi"/>
              </w:rPr>
            </w:pPr>
            <w:r w:rsidRPr="00A847B7">
              <w:rPr>
                <w:rFonts w:cstheme="minorHAnsi"/>
              </w:rPr>
              <w:t xml:space="preserve">32 </w:t>
            </w:r>
          </w:p>
        </w:tc>
        <w:tc>
          <w:tcPr>
            <w:tcW w:w="2616" w:type="dxa"/>
          </w:tcPr>
          <w:p w14:paraId="31C01247" w14:textId="77777777" w:rsidR="006C5A00" w:rsidRPr="00A847B7" w:rsidRDefault="006C5A00" w:rsidP="00BE75C5">
            <w:pPr>
              <w:rPr>
                <w:rFonts w:cstheme="minorHAnsi"/>
              </w:rPr>
            </w:pPr>
            <w:r w:rsidRPr="00A847B7">
              <w:rPr>
                <w:rFonts w:cstheme="minorHAnsi"/>
              </w:rPr>
              <w:t xml:space="preserve">26 </w:t>
            </w:r>
          </w:p>
        </w:tc>
      </w:tr>
      <w:tr w:rsidR="006C5A00" w:rsidRPr="00A847B7" w14:paraId="5DDFF01A" w14:textId="77777777" w:rsidTr="00394A15">
        <w:trPr>
          <w:trHeight w:val="109"/>
        </w:trPr>
        <w:tc>
          <w:tcPr>
            <w:tcW w:w="2616" w:type="dxa"/>
          </w:tcPr>
          <w:p w14:paraId="387678FE" w14:textId="77777777" w:rsidR="006C5A00" w:rsidRPr="00A847B7" w:rsidRDefault="006C5A00" w:rsidP="00BE75C5">
            <w:pPr>
              <w:rPr>
                <w:rFonts w:cstheme="minorHAnsi"/>
              </w:rPr>
            </w:pPr>
            <w:r w:rsidRPr="00A847B7">
              <w:rPr>
                <w:rFonts w:cstheme="minorHAnsi"/>
              </w:rPr>
              <w:t xml:space="preserve">33 </w:t>
            </w:r>
          </w:p>
        </w:tc>
        <w:tc>
          <w:tcPr>
            <w:tcW w:w="2616" w:type="dxa"/>
          </w:tcPr>
          <w:p w14:paraId="340C7B38" w14:textId="77777777" w:rsidR="006C5A00" w:rsidRPr="00A847B7" w:rsidRDefault="006C5A00" w:rsidP="00BE75C5">
            <w:pPr>
              <w:rPr>
                <w:rFonts w:cstheme="minorHAnsi"/>
              </w:rPr>
            </w:pPr>
            <w:r w:rsidRPr="00A847B7">
              <w:rPr>
                <w:rFonts w:cstheme="minorHAnsi"/>
              </w:rPr>
              <w:t xml:space="preserve">26 </w:t>
            </w:r>
          </w:p>
        </w:tc>
      </w:tr>
      <w:tr w:rsidR="006C5A00" w:rsidRPr="00A847B7" w14:paraId="4F36CD6D" w14:textId="77777777" w:rsidTr="00394A15">
        <w:trPr>
          <w:trHeight w:val="109"/>
        </w:trPr>
        <w:tc>
          <w:tcPr>
            <w:tcW w:w="2616" w:type="dxa"/>
          </w:tcPr>
          <w:p w14:paraId="730B10B3" w14:textId="77777777" w:rsidR="006C5A00" w:rsidRPr="00A847B7" w:rsidRDefault="006C5A00" w:rsidP="00BE75C5">
            <w:pPr>
              <w:rPr>
                <w:rFonts w:cstheme="minorHAnsi"/>
              </w:rPr>
            </w:pPr>
            <w:r w:rsidRPr="00A847B7">
              <w:rPr>
                <w:rFonts w:cstheme="minorHAnsi"/>
              </w:rPr>
              <w:t xml:space="preserve">34 </w:t>
            </w:r>
          </w:p>
        </w:tc>
        <w:tc>
          <w:tcPr>
            <w:tcW w:w="2616" w:type="dxa"/>
          </w:tcPr>
          <w:p w14:paraId="0A8C9B84" w14:textId="77777777" w:rsidR="006C5A00" w:rsidRPr="00A847B7" w:rsidRDefault="006C5A00" w:rsidP="00BE75C5">
            <w:pPr>
              <w:rPr>
                <w:rFonts w:cstheme="minorHAnsi"/>
              </w:rPr>
            </w:pPr>
            <w:r w:rsidRPr="00A847B7">
              <w:rPr>
                <w:rFonts w:cstheme="minorHAnsi"/>
              </w:rPr>
              <w:t xml:space="preserve">27 </w:t>
            </w:r>
          </w:p>
        </w:tc>
      </w:tr>
      <w:tr w:rsidR="006C5A00" w:rsidRPr="00A847B7" w14:paraId="34FBA7DC" w14:textId="77777777" w:rsidTr="00394A15">
        <w:trPr>
          <w:trHeight w:val="109"/>
        </w:trPr>
        <w:tc>
          <w:tcPr>
            <w:tcW w:w="2616" w:type="dxa"/>
          </w:tcPr>
          <w:p w14:paraId="0473AA77" w14:textId="77777777" w:rsidR="006C5A00" w:rsidRPr="00A847B7" w:rsidRDefault="006C5A00" w:rsidP="00BE75C5">
            <w:pPr>
              <w:rPr>
                <w:rFonts w:cstheme="minorHAnsi"/>
              </w:rPr>
            </w:pPr>
            <w:r w:rsidRPr="00A847B7">
              <w:rPr>
                <w:rFonts w:cstheme="minorHAnsi"/>
              </w:rPr>
              <w:t xml:space="preserve">35 </w:t>
            </w:r>
          </w:p>
        </w:tc>
        <w:tc>
          <w:tcPr>
            <w:tcW w:w="2616" w:type="dxa"/>
          </w:tcPr>
          <w:p w14:paraId="645F3EDE" w14:textId="77777777" w:rsidR="006C5A00" w:rsidRPr="00A847B7" w:rsidRDefault="006C5A00" w:rsidP="00BE75C5">
            <w:pPr>
              <w:rPr>
                <w:rFonts w:cstheme="minorHAnsi"/>
              </w:rPr>
            </w:pPr>
            <w:r w:rsidRPr="00A847B7">
              <w:rPr>
                <w:rFonts w:cstheme="minorHAnsi"/>
              </w:rPr>
              <w:t xml:space="preserve">28 </w:t>
            </w:r>
          </w:p>
        </w:tc>
      </w:tr>
      <w:tr w:rsidR="006C5A00" w:rsidRPr="00A847B7" w14:paraId="7B0A332A" w14:textId="77777777" w:rsidTr="00394A15">
        <w:trPr>
          <w:trHeight w:val="109"/>
        </w:trPr>
        <w:tc>
          <w:tcPr>
            <w:tcW w:w="2616" w:type="dxa"/>
          </w:tcPr>
          <w:p w14:paraId="35637B43" w14:textId="77777777" w:rsidR="006C5A00" w:rsidRPr="00A847B7" w:rsidRDefault="006C5A00" w:rsidP="00BE75C5">
            <w:pPr>
              <w:rPr>
                <w:rFonts w:cstheme="minorHAnsi"/>
              </w:rPr>
            </w:pPr>
            <w:r w:rsidRPr="00A847B7">
              <w:rPr>
                <w:rFonts w:cstheme="minorHAnsi"/>
              </w:rPr>
              <w:t xml:space="preserve">36 </w:t>
            </w:r>
          </w:p>
        </w:tc>
        <w:tc>
          <w:tcPr>
            <w:tcW w:w="2616" w:type="dxa"/>
          </w:tcPr>
          <w:p w14:paraId="447C9919" w14:textId="77777777" w:rsidR="006C5A00" w:rsidRPr="00A847B7" w:rsidRDefault="006C5A00" w:rsidP="00BE75C5">
            <w:pPr>
              <w:rPr>
                <w:rFonts w:cstheme="minorHAnsi"/>
              </w:rPr>
            </w:pPr>
            <w:r w:rsidRPr="00A847B7">
              <w:rPr>
                <w:rFonts w:cstheme="minorHAnsi"/>
              </w:rPr>
              <w:t xml:space="preserve">29 </w:t>
            </w:r>
          </w:p>
        </w:tc>
      </w:tr>
      <w:tr w:rsidR="006C5A00" w:rsidRPr="00A847B7" w14:paraId="01A26F68" w14:textId="77777777" w:rsidTr="00394A15">
        <w:trPr>
          <w:trHeight w:val="109"/>
        </w:trPr>
        <w:tc>
          <w:tcPr>
            <w:tcW w:w="2616" w:type="dxa"/>
          </w:tcPr>
          <w:p w14:paraId="5159BF5A" w14:textId="77777777" w:rsidR="006C5A00" w:rsidRPr="00A847B7" w:rsidRDefault="006C5A00" w:rsidP="00BE75C5">
            <w:pPr>
              <w:rPr>
                <w:rFonts w:cstheme="minorHAnsi"/>
              </w:rPr>
            </w:pPr>
            <w:r w:rsidRPr="00A847B7">
              <w:rPr>
                <w:rFonts w:cstheme="minorHAnsi"/>
              </w:rPr>
              <w:t xml:space="preserve">37 </w:t>
            </w:r>
          </w:p>
        </w:tc>
        <w:tc>
          <w:tcPr>
            <w:tcW w:w="2616" w:type="dxa"/>
          </w:tcPr>
          <w:p w14:paraId="7B0ECB84" w14:textId="77777777" w:rsidR="006C5A00" w:rsidRPr="00A847B7" w:rsidRDefault="006C5A00" w:rsidP="00BE75C5">
            <w:pPr>
              <w:rPr>
                <w:rFonts w:cstheme="minorHAnsi"/>
              </w:rPr>
            </w:pPr>
            <w:r w:rsidRPr="00A847B7">
              <w:rPr>
                <w:rFonts w:cstheme="minorHAnsi"/>
              </w:rPr>
              <w:t xml:space="preserve">30 </w:t>
            </w:r>
          </w:p>
        </w:tc>
      </w:tr>
      <w:tr w:rsidR="006C5A00" w:rsidRPr="00A847B7" w14:paraId="64F6AE59" w14:textId="77777777" w:rsidTr="00394A15">
        <w:trPr>
          <w:trHeight w:val="109"/>
        </w:trPr>
        <w:tc>
          <w:tcPr>
            <w:tcW w:w="2616" w:type="dxa"/>
          </w:tcPr>
          <w:p w14:paraId="4F98A459" w14:textId="77777777" w:rsidR="006C5A00" w:rsidRPr="00A847B7" w:rsidRDefault="006C5A00" w:rsidP="00BE75C5">
            <w:pPr>
              <w:rPr>
                <w:rFonts w:cstheme="minorHAnsi"/>
              </w:rPr>
            </w:pPr>
            <w:r w:rsidRPr="00A847B7">
              <w:rPr>
                <w:rFonts w:cstheme="minorHAnsi"/>
              </w:rPr>
              <w:t xml:space="preserve">38 </w:t>
            </w:r>
          </w:p>
        </w:tc>
        <w:tc>
          <w:tcPr>
            <w:tcW w:w="2616" w:type="dxa"/>
          </w:tcPr>
          <w:p w14:paraId="2DE5D3AF" w14:textId="77777777" w:rsidR="006C5A00" w:rsidRPr="00A847B7" w:rsidRDefault="006C5A00" w:rsidP="00BE75C5">
            <w:pPr>
              <w:rPr>
                <w:rFonts w:cstheme="minorHAnsi"/>
              </w:rPr>
            </w:pPr>
            <w:r w:rsidRPr="00A847B7">
              <w:rPr>
                <w:rFonts w:cstheme="minorHAnsi"/>
              </w:rPr>
              <w:t xml:space="preserve">30 </w:t>
            </w:r>
          </w:p>
        </w:tc>
      </w:tr>
      <w:tr w:rsidR="006C5A00" w:rsidRPr="00A847B7" w14:paraId="1B013F07" w14:textId="77777777" w:rsidTr="00394A15">
        <w:trPr>
          <w:trHeight w:val="109"/>
        </w:trPr>
        <w:tc>
          <w:tcPr>
            <w:tcW w:w="2616" w:type="dxa"/>
          </w:tcPr>
          <w:p w14:paraId="668B7B00" w14:textId="77777777" w:rsidR="006C5A00" w:rsidRPr="00A847B7" w:rsidRDefault="006C5A00" w:rsidP="00BE75C5">
            <w:pPr>
              <w:rPr>
                <w:rFonts w:cstheme="minorHAnsi"/>
              </w:rPr>
            </w:pPr>
            <w:r w:rsidRPr="00A847B7">
              <w:rPr>
                <w:rFonts w:cstheme="minorHAnsi"/>
              </w:rPr>
              <w:t xml:space="preserve">39 </w:t>
            </w:r>
          </w:p>
        </w:tc>
        <w:tc>
          <w:tcPr>
            <w:tcW w:w="2616" w:type="dxa"/>
          </w:tcPr>
          <w:p w14:paraId="0FFA93B5" w14:textId="77777777" w:rsidR="006C5A00" w:rsidRPr="00A847B7" w:rsidRDefault="006C5A00" w:rsidP="00BE75C5">
            <w:pPr>
              <w:rPr>
                <w:rFonts w:cstheme="minorHAnsi"/>
              </w:rPr>
            </w:pPr>
            <w:r w:rsidRPr="00A847B7">
              <w:rPr>
                <w:rFonts w:cstheme="minorHAnsi"/>
              </w:rPr>
              <w:t xml:space="preserve">31 </w:t>
            </w:r>
          </w:p>
        </w:tc>
      </w:tr>
      <w:tr w:rsidR="006C5A00" w:rsidRPr="00A847B7" w14:paraId="686683BA" w14:textId="77777777" w:rsidTr="00394A15">
        <w:trPr>
          <w:trHeight w:val="109"/>
        </w:trPr>
        <w:tc>
          <w:tcPr>
            <w:tcW w:w="2616" w:type="dxa"/>
          </w:tcPr>
          <w:p w14:paraId="19DBB2D5" w14:textId="77777777" w:rsidR="006C5A00" w:rsidRPr="00A847B7" w:rsidRDefault="006C5A00" w:rsidP="00BE75C5">
            <w:pPr>
              <w:rPr>
                <w:rFonts w:cstheme="minorHAnsi"/>
              </w:rPr>
            </w:pPr>
            <w:r w:rsidRPr="00A847B7">
              <w:rPr>
                <w:rFonts w:cstheme="minorHAnsi"/>
              </w:rPr>
              <w:t xml:space="preserve">40 </w:t>
            </w:r>
          </w:p>
        </w:tc>
        <w:tc>
          <w:tcPr>
            <w:tcW w:w="2616" w:type="dxa"/>
          </w:tcPr>
          <w:p w14:paraId="1C684D34" w14:textId="77777777" w:rsidR="006C5A00" w:rsidRPr="00A847B7" w:rsidRDefault="006C5A00" w:rsidP="00BE75C5">
            <w:pPr>
              <w:rPr>
                <w:rFonts w:cstheme="minorHAnsi"/>
              </w:rPr>
            </w:pPr>
            <w:r w:rsidRPr="00A847B7">
              <w:rPr>
                <w:rFonts w:cstheme="minorHAnsi"/>
              </w:rPr>
              <w:t xml:space="preserve">32 </w:t>
            </w:r>
          </w:p>
        </w:tc>
      </w:tr>
      <w:tr w:rsidR="006C5A00" w:rsidRPr="00A847B7" w14:paraId="5818B1E4" w14:textId="77777777" w:rsidTr="00394A15">
        <w:trPr>
          <w:trHeight w:val="109"/>
        </w:trPr>
        <w:tc>
          <w:tcPr>
            <w:tcW w:w="2616" w:type="dxa"/>
          </w:tcPr>
          <w:p w14:paraId="3FD86D7B" w14:textId="77777777" w:rsidR="006C5A00" w:rsidRPr="00A847B7" w:rsidRDefault="006C5A00" w:rsidP="00BE75C5">
            <w:pPr>
              <w:rPr>
                <w:rFonts w:cstheme="minorHAnsi"/>
              </w:rPr>
            </w:pPr>
            <w:r w:rsidRPr="00A847B7">
              <w:rPr>
                <w:rFonts w:cstheme="minorHAnsi"/>
              </w:rPr>
              <w:t xml:space="preserve">41 </w:t>
            </w:r>
          </w:p>
        </w:tc>
        <w:tc>
          <w:tcPr>
            <w:tcW w:w="2616" w:type="dxa"/>
          </w:tcPr>
          <w:p w14:paraId="6CECEBA3" w14:textId="77777777" w:rsidR="006C5A00" w:rsidRPr="00A847B7" w:rsidRDefault="006C5A00" w:rsidP="00BE75C5">
            <w:pPr>
              <w:rPr>
                <w:rFonts w:cstheme="minorHAnsi"/>
              </w:rPr>
            </w:pPr>
            <w:r w:rsidRPr="00A847B7">
              <w:rPr>
                <w:rFonts w:cstheme="minorHAnsi"/>
              </w:rPr>
              <w:t xml:space="preserve">33 </w:t>
            </w:r>
          </w:p>
        </w:tc>
      </w:tr>
      <w:tr w:rsidR="006C5A00" w:rsidRPr="00A847B7" w14:paraId="4D4D53CD" w14:textId="77777777" w:rsidTr="00394A15">
        <w:trPr>
          <w:trHeight w:val="109"/>
        </w:trPr>
        <w:tc>
          <w:tcPr>
            <w:tcW w:w="2616" w:type="dxa"/>
          </w:tcPr>
          <w:p w14:paraId="466D6466" w14:textId="77777777" w:rsidR="006C5A00" w:rsidRPr="00A847B7" w:rsidRDefault="006C5A00" w:rsidP="00BE75C5">
            <w:pPr>
              <w:rPr>
                <w:rFonts w:cstheme="minorHAnsi"/>
              </w:rPr>
            </w:pPr>
            <w:r w:rsidRPr="00A847B7">
              <w:rPr>
                <w:rFonts w:cstheme="minorHAnsi"/>
              </w:rPr>
              <w:t xml:space="preserve">42 </w:t>
            </w:r>
          </w:p>
        </w:tc>
        <w:tc>
          <w:tcPr>
            <w:tcW w:w="2616" w:type="dxa"/>
          </w:tcPr>
          <w:p w14:paraId="6DB17E76" w14:textId="77777777" w:rsidR="006C5A00" w:rsidRPr="00A847B7" w:rsidRDefault="006C5A00" w:rsidP="00BE75C5">
            <w:pPr>
              <w:rPr>
                <w:rFonts w:cstheme="minorHAnsi"/>
              </w:rPr>
            </w:pPr>
            <w:r w:rsidRPr="00A847B7">
              <w:rPr>
                <w:rFonts w:cstheme="minorHAnsi"/>
              </w:rPr>
              <w:t xml:space="preserve">34 </w:t>
            </w:r>
          </w:p>
        </w:tc>
      </w:tr>
      <w:tr w:rsidR="006C5A00" w:rsidRPr="00A847B7" w14:paraId="67E7E4D0" w14:textId="77777777" w:rsidTr="00394A15">
        <w:trPr>
          <w:trHeight w:val="109"/>
        </w:trPr>
        <w:tc>
          <w:tcPr>
            <w:tcW w:w="2616" w:type="dxa"/>
          </w:tcPr>
          <w:p w14:paraId="2A94BEB5" w14:textId="77777777" w:rsidR="006C5A00" w:rsidRPr="00A847B7" w:rsidRDefault="006C5A00" w:rsidP="00BE75C5">
            <w:pPr>
              <w:rPr>
                <w:rFonts w:cstheme="minorHAnsi"/>
              </w:rPr>
            </w:pPr>
            <w:r w:rsidRPr="00A847B7">
              <w:rPr>
                <w:rFonts w:cstheme="minorHAnsi"/>
              </w:rPr>
              <w:t xml:space="preserve">43 </w:t>
            </w:r>
          </w:p>
        </w:tc>
        <w:tc>
          <w:tcPr>
            <w:tcW w:w="2616" w:type="dxa"/>
          </w:tcPr>
          <w:p w14:paraId="2764FA6D" w14:textId="77777777" w:rsidR="006C5A00" w:rsidRPr="00A847B7" w:rsidRDefault="006C5A00" w:rsidP="00BE75C5">
            <w:pPr>
              <w:rPr>
                <w:rFonts w:cstheme="minorHAnsi"/>
              </w:rPr>
            </w:pPr>
            <w:r w:rsidRPr="00A847B7">
              <w:rPr>
                <w:rFonts w:cstheme="minorHAnsi"/>
              </w:rPr>
              <w:t xml:space="preserve">34 </w:t>
            </w:r>
          </w:p>
        </w:tc>
      </w:tr>
      <w:tr w:rsidR="006C5A00" w:rsidRPr="00A847B7" w14:paraId="22451555" w14:textId="77777777" w:rsidTr="00394A15">
        <w:trPr>
          <w:trHeight w:val="109"/>
        </w:trPr>
        <w:tc>
          <w:tcPr>
            <w:tcW w:w="2616" w:type="dxa"/>
          </w:tcPr>
          <w:p w14:paraId="4641E8C3" w14:textId="77777777" w:rsidR="006C5A00" w:rsidRPr="00A847B7" w:rsidRDefault="006C5A00" w:rsidP="00BE75C5">
            <w:pPr>
              <w:rPr>
                <w:rFonts w:cstheme="minorHAnsi"/>
              </w:rPr>
            </w:pPr>
            <w:r w:rsidRPr="00A847B7">
              <w:rPr>
                <w:rFonts w:cstheme="minorHAnsi"/>
              </w:rPr>
              <w:t xml:space="preserve">44 </w:t>
            </w:r>
          </w:p>
        </w:tc>
        <w:tc>
          <w:tcPr>
            <w:tcW w:w="2616" w:type="dxa"/>
          </w:tcPr>
          <w:p w14:paraId="698B5B93" w14:textId="77777777" w:rsidR="006C5A00" w:rsidRPr="00A847B7" w:rsidRDefault="006C5A00" w:rsidP="00BE75C5">
            <w:pPr>
              <w:rPr>
                <w:rFonts w:cstheme="minorHAnsi"/>
              </w:rPr>
            </w:pPr>
            <w:r w:rsidRPr="00A847B7">
              <w:rPr>
                <w:rFonts w:cstheme="minorHAnsi"/>
              </w:rPr>
              <w:t xml:space="preserve">35 </w:t>
            </w:r>
          </w:p>
        </w:tc>
      </w:tr>
      <w:tr w:rsidR="006C5A00" w:rsidRPr="00A847B7" w14:paraId="28DF712F" w14:textId="77777777" w:rsidTr="00394A15">
        <w:trPr>
          <w:trHeight w:val="109"/>
        </w:trPr>
        <w:tc>
          <w:tcPr>
            <w:tcW w:w="2616" w:type="dxa"/>
          </w:tcPr>
          <w:p w14:paraId="4F502C2E" w14:textId="77777777" w:rsidR="006C5A00" w:rsidRPr="00A847B7" w:rsidRDefault="006C5A00" w:rsidP="00BE75C5">
            <w:pPr>
              <w:rPr>
                <w:rFonts w:cstheme="minorHAnsi"/>
              </w:rPr>
            </w:pPr>
            <w:r w:rsidRPr="00A847B7">
              <w:rPr>
                <w:rFonts w:cstheme="minorHAnsi"/>
              </w:rPr>
              <w:t xml:space="preserve">45 </w:t>
            </w:r>
          </w:p>
        </w:tc>
        <w:tc>
          <w:tcPr>
            <w:tcW w:w="2616" w:type="dxa"/>
          </w:tcPr>
          <w:p w14:paraId="51BBB36E" w14:textId="77777777" w:rsidR="006C5A00" w:rsidRPr="00A847B7" w:rsidRDefault="006C5A00" w:rsidP="00BE75C5">
            <w:pPr>
              <w:rPr>
                <w:rFonts w:cstheme="minorHAnsi"/>
              </w:rPr>
            </w:pPr>
            <w:r w:rsidRPr="00A847B7">
              <w:rPr>
                <w:rFonts w:cstheme="minorHAnsi"/>
              </w:rPr>
              <w:t xml:space="preserve">36 </w:t>
            </w:r>
          </w:p>
        </w:tc>
      </w:tr>
      <w:tr w:rsidR="006C5A00" w:rsidRPr="00A847B7" w14:paraId="3D166AC2" w14:textId="77777777" w:rsidTr="00394A15">
        <w:trPr>
          <w:trHeight w:val="109"/>
        </w:trPr>
        <w:tc>
          <w:tcPr>
            <w:tcW w:w="2616" w:type="dxa"/>
          </w:tcPr>
          <w:p w14:paraId="1F05D2F8" w14:textId="77777777" w:rsidR="006C5A00" w:rsidRPr="00A847B7" w:rsidRDefault="006C5A00" w:rsidP="00BE75C5">
            <w:pPr>
              <w:rPr>
                <w:rFonts w:cstheme="minorHAnsi"/>
              </w:rPr>
            </w:pPr>
            <w:r w:rsidRPr="00A847B7">
              <w:rPr>
                <w:rFonts w:cstheme="minorHAnsi"/>
              </w:rPr>
              <w:t xml:space="preserve">46 </w:t>
            </w:r>
          </w:p>
        </w:tc>
        <w:tc>
          <w:tcPr>
            <w:tcW w:w="2616" w:type="dxa"/>
          </w:tcPr>
          <w:p w14:paraId="3D7B4517" w14:textId="77777777" w:rsidR="006C5A00" w:rsidRPr="00A847B7" w:rsidRDefault="006C5A00" w:rsidP="00BE75C5">
            <w:pPr>
              <w:rPr>
                <w:rFonts w:cstheme="minorHAnsi"/>
              </w:rPr>
            </w:pPr>
            <w:r w:rsidRPr="00A847B7">
              <w:rPr>
                <w:rFonts w:cstheme="minorHAnsi"/>
              </w:rPr>
              <w:t xml:space="preserve">37 </w:t>
            </w:r>
          </w:p>
        </w:tc>
      </w:tr>
      <w:tr w:rsidR="006C5A00" w:rsidRPr="00A847B7" w14:paraId="7D96D246" w14:textId="77777777" w:rsidTr="00394A15">
        <w:trPr>
          <w:trHeight w:val="109"/>
        </w:trPr>
        <w:tc>
          <w:tcPr>
            <w:tcW w:w="2616" w:type="dxa"/>
          </w:tcPr>
          <w:p w14:paraId="200A616E" w14:textId="77777777" w:rsidR="006C5A00" w:rsidRPr="00A847B7" w:rsidRDefault="006C5A00" w:rsidP="00BE75C5">
            <w:pPr>
              <w:rPr>
                <w:rFonts w:cstheme="minorHAnsi"/>
              </w:rPr>
            </w:pPr>
            <w:r w:rsidRPr="00A847B7">
              <w:rPr>
                <w:rFonts w:cstheme="minorHAnsi"/>
              </w:rPr>
              <w:t xml:space="preserve">47 </w:t>
            </w:r>
          </w:p>
        </w:tc>
        <w:tc>
          <w:tcPr>
            <w:tcW w:w="2616" w:type="dxa"/>
          </w:tcPr>
          <w:p w14:paraId="49488157" w14:textId="77777777" w:rsidR="006C5A00" w:rsidRPr="00A847B7" w:rsidRDefault="006C5A00" w:rsidP="00BE75C5">
            <w:pPr>
              <w:rPr>
                <w:rFonts w:cstheme="minorHAnsi"/>
              </w:rPr>
            </w:pPr>
            <w:r w:rsidRPr="00A847B7">
              <w:rPr>
                <w:rFonts w:cstheme="minorHAnsi"/>
              </w:rPr>
              <w:t xml:space="preserve">38 </w:t>
            </w:r>
          </w:p>
        </w:tc>
      </w:tr>
      <w:tr w:rsidR="006C5A00" w:rsidRPr="00A847B7" w14:paraId="17609E17" w14:textId="77777777" w:rsidTr="00394A15">
        <w:trPr>
          <w:trHeight w:val="109"/>
        </w:trPr>
        <w:tc>
          <w:tcPr>
            <w:tcW w:w="2616" w:type="dxa"/>
          </w:tcPr>
          <w:p w14:paraId="1E0DC84F" w14:textId="77777777" w:rsidR="006C5A00" w:rsidRPr="00A847B7" w:rsidRDefault="006C5A00" w:rsidP="00BE75C5">
            <w:pPr>
              <w:rPr>
                <w:rFonts w:cstheme="minorHAnsi"/>
              </w:rPr>
            </w:pPr>
            <w:r w:rsidRPr="00A847B7">
              <w:rPr>
                <w:rFonts w:cstheme="minorHAnsi"/>
              </w:rPr>
              <w:t xml:space="preserve">48 </w:t>
            </w:r>
          </w:p>
        </w:tc>
        <w:tc>
          <w:tcPr>
            <w:tcW w:w="2616" w:type="dxa"/>
          </w:tcPr>
          <w:p w14:paraId="11CA425D" w14:textId="77777777" w:rsidR="006C5A00" w:rsidRPr="00A847B7" w:rsidRDefault="006C5A00" w:rsidP="00BE75C5">
            <w:pPr>
              <w:rPr>
                <w:rFonts w:cstheme="minorHAnsi"/>
              </w:rPr>
            </w:pPr>
            <w:r w:rsidRPr="00A847B7">
              <w:rPr>
                <w:rFonts w:cstheme="minorHAnsi"/>
              </w:rPr>
              <w:t xml:space="preserve">38 </w:t>
            </w:r>
          </w:p>
        </w:tc>
      </w:tr>
      <w:tr w:rsidR="006C5A00" w:rsidRPr="00A847B7" w14:paraId="2C6D1824" w14:textId="77777777" w:rsidTr="00394A15">
        <w:trPr>
          <w:trHeight w:val="109"/>
        </w:trPr>
        <w:tc>
          <w:tcPr>
            <w:tcW w:w="2616" w:type="dxa"/>
          </w:tcPr>
          <w:p w14:paraId="709D8396" w14:textId="77777777" w:rsidR="006C5A00" w:rsidRPr="00A847B7" w:rsidRDefault="006C5A00" w:rsidP="00BE75C5">
            <w:pPr>
              <w:rPr>
                <w:rFonts w:cstheme="minorHAnsi"/>
              </w:rPr>
            </w:pPr>
            <w:r w:rsidRPr="00A847B7">
              <w:rPr>
                <w:rFonts w:cstheme="minorHAnsi"/>
              </w:rPr>
              <w:t xml:space="preserve">49 </w:t>
            </w:r>
          </w:p>
        </w:tc>
        <w:tc>
          <w:tcPr>
            <w:tcW w:w="2616" w:type="dxa"/>
          </w:tcPr>
          <w:p w14:paraId="65CE0A46" w14:textId="77777777" w:rsidR="006C5A00" w:rsidRPr="00A847B7" w:rsidRDefault="006C5A00" w:rsidP="00BE75C5">
            <w:pPr>
              <w:rPr>
                <w:rFonts w:cstheme="minorHAnsi"/>
              </w:rPr>
            </w:pPr>
            <w:r w:rsidRPr="00A847B7">
              <w:rPr>
                <w:rFonts w:cstheme="minorHAnsi"/>
              </w:rPr>
              <w:t xml:space="preserve">39 </w:t>
            </w:r>
          </w:p>
        </w:tc>
      </w:tr>
      <w:tr w:rsidR="006C5A00" w:rsidRPr="00A847B7" w14:paraId="55BC1590" w14:textId="77777777" w:rsidTr="00394A15">
        <w:trPr>
          <w:trHeight w:val="109"/>
        </w:trPr>
        <w:tc>
          <w:tcPr>
            <w:tcW w:w="2616" w:type="dxa"/>
          </w:tcPr>
          <w:p w14:paraId="7043E874" w14:textId="77777777" w:rsidR="006C5A00" w:rsidRPr="00A847B7" w:rsidRDefault="006C5A00" w:rsidP="00BE75C5">
            <w:pPr>
              <w:rPr>
                <w:rFonts w:cstheme="minorHAnsi"/>
              </w:rPr>
            </w:pPr>
            <w:r w:rsidRPr="00A847B7">
              <w:rPr>
                <w:rFonts w:cstheme="minorHAnsi"/>
              </w:rPr>
              <w:t xml:space="preserve">50 </w:t>
            </w:r>
          </w:p>
        </w:tc>
        <w:tc>
          <w:tcPr>
            <w:tcW w:w="2616" w:type="dxa"/>
          </w:tcPr>
          <w:p w14:paraId="7839A000" w14:textId="77777777" w:rsidR="006C5A00" w:rsidRPr="00A847B7" w:rsidRDefault="006C5A00" w:rsidP="00BE75C5">
            <w:pPr>
              <w:rPr>
                <w:rFonts w:cstheme="minorHAnsi"/>
              </w:rPr>
            </w:pPr>
            <w:r w:rsidRPr="00A847B7">
              <w:rPr>
                <w:rFonts w:cstheme="minorHAnsi"/>
              </w:rPr>
              <w:t xml:space="preserve">40 </w:t>
            </w:r>
          </w:p>
        </w:tc>
      </w:tr>
      <w:tr w:rsidR="006C5A00" w:rsidRPr="00A847B7" w14:paraId="10D069B8" w14:textId="77777777" w:rsidTr="00394A15">
        <w:trPr>
          <w:trHeight w:val="109"/>
        </w:trPr>
        <w:tc>
          <w:tcPr>
            <w:tcW w:w="2616" w:type="dxa"/>
          </w:tcPr>
          <w:p w14:paraId="2B940F01" w14:textId="77777777" w:rsidR="006C5A00" w:rsidRPr="00A847B7" w:rsidRDefault="006C5A00" w:rsidP="00BE75C5">
            <w:pPr>
              <w:rPr>
                <w:rFonts w:cstheme="minorHAnsi"/>
              </w:rPr>
            </w:pPr>
            <w:r w:rsidRPr="00A847B7">
              <w:rPr>
                <w:rFonts w:cstheme="minorHAnsi"/>
              </w:rPr>
              <w:t xml:space="preserve">51 </w:t>
            </w:r>
          </w:p>
        </w:tc>
        <w:tc>
          <w:tcPr>
            <w:tcW w:w="2616" w:type="dxa"/>
          </w:tcPr>
          <w:p w14:paraId="6A105D19" w14:textId="77777777" w:rsidR="006C5A00" w:rsidRPr="00A847B7" w:rsidRDefault="006C5A00" w:rsidP="00BE75C5">
            <w:pPr>
              <w:rPr>
                <w:rFonts w:cstheme="minorHAnsi"/>
              </w:rPr>
            </w:pPr>
            <w:r w:rsidRPr="00A847B7">
              <w:rPr>
                <w:rFonts w:cstheme="minorHAnsi"/>
              </w:rPr>
              <w:t xml:space="preserve">41 </w:t>
            </w:r>
          </w:p>
        </w:tc>
      </w:tr>
      <w:tr w:rsidR="006C5A00" w:rsidRPr="00A847B7" w14:paraId="13441A4D" w14:textId="77777777" w:rsidTr="00394A15">
        <w:trPr>
          <w:trHeight w:val="109"/>
        </w:trPr>
        <w:tc>
          <w:tcPr>
            <w:tcW w:w="2616" w:type="dxa"/>
          </w:tcPr>
          <w:p w14:paraId="26745EF5" w14:textId="77777777" w:rsidR="006C5A00" w:rsidRPr="00A847B7" w:rsidRDefault="006C5A00" w:rsidP="00BE75C5">
            <w:pPr>
              <w:rPr>
                <w:rFonts w:cstheme="minorHAnsi"/>
              </w:rPr>
            </w:pPr>
            <w:r w:rsidRPr="00A847B7">
              <w:rPr>
                <w:rFonts w:cstheme="minorHAnsi"/>
              </w:rPr>
              <w:lastRenderedPageBreak/>
              <w:t xml:space="preserve">52 </w:t>
            </w:r>
          </w:p>
        </w:tc>
        <w:tc>
          <w:tcPr>
            <w:tcW w:w="2616" w:type="dxa"/>
          </w:tcPr>
          <w:p w14:paraId="596BAFCC" w14:textId="77777777" w:rsidR="006C5A00" w:rsidRPr="00A847B7" w:rsidRDefault="006C5A00" w:rsidP="00BE75C5">
            <w:pPr>
              <w:rPr>
                <w:rFonts w:cstheme="minorHAnsi"/>
              </w:rPr>
            </w:pPr>
            <w:r w:rsidRPr="00A847B7">
              <w:rPr>
                <w:rFonts w:cstheme="minorHAnsi"/>
              </w:rPr>
              <w:t xml:space="preserve">42 </w:t>
            </w:r>
          </w:p>
        </w:tc>
      </w:tr>
      <w:tr w:rsidR="006C5A00" w:rsidRPr="00A847B7" w14:paraId="0FC6685C" w14:textId="77777777" w:rsidTr="00394A15">
        <w:trPr>
          <w:trHeight w:val="109"/>
        </w:trPr>
        <w:tc>
          <w:tcPr>
            <w:tcW w:w="2616" w:type="dxa"/>
          </w:tcPr>
          <w:p w14:paraId="36B1B2BF" w14:textId="77777777" w:rsidR="006C5A00" w:rsidRPr="00A847B7" w:rsidRDefault="006C5A00" w:rsidP="00BE75C5">
            <w:pPr>
              <w:rPr>
                <w:rFonts w:cstheme="minorHAnsi"/>
              </w:rPr>
            </w:pPr>
            <w:r w:rsidRPr="00A847B7">
              <w:rPr>
                <w:rFonts w:cstheme="minorHAnsi"/>
              </w:rPr>
              <w:t xml:space="preserve">53 </w:t>
            </w:r>
          </w:p>
        </w:tc>
        <w:tc>
          <w:tcPr>
            <w:tcW w:w="2616" w:type="dxa"/>
          </w:tcPr>
          <w:p w14:paraId="5A231AC2" w14:textId="77777777" w:rsidR="006C5A00" w:rsidRPr="00A847B7" w:rsidRDefault="006C5A00" w:rsidP="00BE75C5">
            <w:pPr>
              <w:rPr>
                <w:rFonts w:cstheme="minorHAnsi"/>
              </w:rPr>
            </w:pPr>
            <w:r w:rsidRPr="00A847B7">
              <w:rPr>
                <w:rFonts w:cstheme="minorHAnsi"/>
              </w:rPr>
              <w:t xml:space="preserve">42 </w:t>
            </w:r>
          </w:p>
        </w:tc>
      </w:tr>
      <w:tr w:rsidR="006C5A00" w:rsidRPr="00A847B7" w14:paraId="6171565A" w14:textId="77777777" w:rsidTr="00394A15">
        <w:trPr>
          <w:trHeight w:val="109"/>
        </w:trPr>
        <w:tc>
          <w:tcPr>
            <w:tcW w:w="2616" w:type="dxa"/>
          </w:tcPr>
          <w:p w14:paraId="499E49C5" w14:textId="77777777" w:rsidR="006C5A00" w:rsidRPr="00A847B7" w:rsidRDefault="006C5A00" w:rsidP="00BE75C5">
            <w:pPr>
              <w:rPr>
                <w:rFonts w:cstheme="minorHAnsi"/>
              </w:rPr>
            </w:pPr>
            <w:r w:rsidRPr="00A847B7">
              <w:rPr>
                <w:rFonts w:cstheme="minorHAnsi"/>
              </w:rPr>
              <w:t xml:space="preserve">54 </w:t>
            </w:r>
          </w:p>
        </w:tc>
        <w:tc>
          <w:tcPr>
            <w:tcW w:w="2616" w:type="dxa"/>
          </w:tcPr>
          <w:p w14:paraId="5880D4D2" w14:textId="77777777" w:rsidR="006C5A00" w:rsidRPr="00A847B7" w:rsidRDefault="006C5A00" w:rsidP="00BE75C5">
            <w:pPr>
              <w:rPr>
                <w:rFonts w:cstheme="minorHAnsi"/>
              </w:rPr>
            </w:pPr>
            <w:r w:rsidRPr="00A847B7">
              <w:rPr>
                <w:rFonts w:cstheme="minorHAnsi"/>
              </w:rPr>
              <w:t xml:space="preserve">43 </w:t>
            </w:r>
          </w:p>
        </w:tc>
      </w:tr>
      <w:tr w:rsidR="006C5A00" w:rsidRPr="00A847B7" w14:paraId="5BC5A2DA" w14:textId="77777777" w:rsidTr="00394A15">
        <w:trPr>
          <w:trHeight w:val="109"/>
        </w:trPr>
        <w:tc>
          <w:tcPr>
            <w:tcW w:w="2616" w:type="dxa"/>
          </w:tcPr>
          <w:p w14:paraId="540AA145" w14:textId="77777777" w:rsidR="006C5A00" w:rsidRPr="00A847B7" w:rsidRDefault="006C5A00" w:rsidP="00BE75C5">
            <w:pPr>
              <w:rPr>
                <w:rFonts w:cstheme="minorHAnsi"/>
              </w:rPr>
            </w:pPr>
            <w:r w:rsidRPr="00A847B7">
              <w:rPr>
                <w:rFonts w:cstheme="minorHAnsi"/>
              </w:rPr>
              <w:t xml:space="preserve">55 </w:t>
            </w:r>
          </w:p>
        </w:tc>
        <w:tc>
          <w:tcPr>
            <w:tcW w:w="2616" w:type="dxa"/>
          </w:tcPr>
          <w:p w14:paraId="36D9C775" w14:textId="77777777" w:rsidR="006C5A00" w:rsidRPr="00A847B7" w:rsidRDefault="006C5A00" w:rsidP="00BE75C5">
            <w:pPr>
              <w:rPr>
                <w:rFonts w:cstheme="minorHAnsi"/>
              </w:rPr>
            </w:pPr>
            <w:r w:rsidRPr="00A847B7">
              <w:rPr>
                <w:rFonts w:cstheme="minorHAnsi"/>
              </w:rPr>
              <w:t xml:space="preserve">44 </w:t>
            </w:r>
          </w:p>
        </w:tc>
      </w:tr>
      <w:tr w:rsidR="006C5A00" w:rsidRPr="00A847B7" w14:paraId="424281EF" w14:textId="77777777" w:rsidTr="00394A15">
        <w:trPr>
          <w:trHeight w:val="109"/>
        </w:trPr>
        <w:tc>
          <w:tcPr>
            <w:tcW w:w="2616" w:type="dxa"/>
          </w:tcPr>
          <w:p w14:paraId="48056CBF" w14:textId="77777777" w:rsidR="006C5A00" w:rsidRPr="00A847B7" w:rsidRDefault="006C5A00" w:rsidP="00BE75C5">
            <w:pPr>
              <w:rPr>
                <w:rFonts w:cstheme="minorHAnsi"/>
              </w:rPr>
            </w:pPr>
            <w:r w:rsidRPr="00A847B7">
              <w:rPr>
                <w:rFonts w:cstheme="minorHAnsi"/>
              </w:rPr>
              <w:t xml:space="preserve">56 </w:t>
            </w:r>
          </w:p>
        </w:tc>
        <w:tc>
          <w:tcPr>
            <w:tcW w:w="2616" w:type="dxa"/>
          </w:tcPr>
          <w:p w14:paraId="1329B647" w14:textId="77777777" w:rsidR="006C5A00" w:rsidRPr="00A847B7" w:rsidRDefault="006C5A00" w:rsidP="00BE75C5">
            <w:pPr>
              <w:rPr>
                <w:rFonts w:cstheme="minorHAnsi"/>
              </w:rPr>
            </w:pPr>
            <w:r w:rsidRPr="00A847B7">
              <w:rPr>
                <w:rFonts w:cstheme="minorHAnsi"/>
              </w:rPr>
              <w:t xml:space="preserve">45 </w:t>
            </w:r>
          </w:p>
        </w:tc>
      </w:tr>
      <w:tr w:rsidR="006C5A00" w:rsidRPr="00A847B7" w14:paraId="1E576038" w14:textId="77777777" w:rsidTr="00394A15">
        <w:trPr>
          <w:trHeight w:val="109"/>
        </w:trPr>
        <w:tc>
          <w:tcPr>
            <w:tcW w:w="2616" w:type="dxa"/>
          </w:tcPr>
          <w:p w14:paraId="0C7F73E3" w14:textId="77777777" w:rsidR="006C5A00" w:rsidRPr="00A847B7" w:rsidRDefault="006C5A00" w:rsidP="00BE75C5">
            <w:pPr>
              <w:rPr>
                <w:rFonts w:cstheme="minorHAnsi"/>
              </w:rPr>
            </w:pPr>
            <w:r w:rsidRPr="00A847B7">
              <w:rPr>
                <w:rFonts w:cstheme="minorHAnsi"/>
              </w:rPr>
              <w:t xml:space="preserve">57 </w:t>
            </w:r>
          </w:p>
        </w:tc>
        <w:tc>
          <w:tcPr>
            <w:tcW w:w="2616" w:type="dxa"/>
          </w:tcPr>
          <w:p w14:paraId="108D7893" w14:textId="77777777" w:rsidR="006C5A00" w:rsidRPr="00A847B7" w:rsidRDefault="006C5A00" w:rsidP="00BE75C5">
            <w:pPr>
              <w:rPr>
                <w:rFonts w:cstheme="minorHAnsi"/>
              </w:rPr>
            </w:pPr>
            <w:r w:rsidRPr="00A847B7">
              <w:rPr>
                <w:rFonts w:cstheme="minorHAnsi"/>
              </w:rPr>
              <w:t xml:space="preserve">46 </w:t>
            </w:r>
          </w:p>
        </w:tc>
      </w:tr>
      <w:tr w:rsidR="006C5A00" w:rsidRPr="00A847B7" w14:paraId="4D246616" w14:textId="77777777" w:rsidTr="00394A15">
        <w:trPr>
          <w:trHeight w:val="109"/>
        </w:trPr>
        <w:tc>
          <w:tcPr>
            <w:tcW w:w="2616" w:type="dxa"/>
          </w:tcPr>
          <w:p w14:paraId="1912FC65" w14:textId="77777777" w:rsidR="006C5A00" w:rsidRPr="00A847B7" w:rsidRDefault="006C5A00" w:rsidP="00BE75C5">
            <w:pPr>
              <w:rPr>
                <w:rFonts w:cstheme="minorHAnsi"/>
              </w:rPr>
            </w:pPr>
            <w:r w:rsidRPr="00A847B7">
              <w:rPr>
                <w:rFonts w:cstheme="minorHAnsi"/>
              </w:rPr>
              <w:t xml:space="preserve">58 </w:t>
            </w:r>
          </w:p>
        </w:tc>
        <w:tc>
          <w:tcPr>
            <w:tcW w:w="2616" w:type="dxa"/>
          </w:tcPr>
          <w:p w14:paraId="08695D13" w14:textId="77777777" w:rsidR="006C5A00" w:rsidRPr="00A847B7" w:rsidRDefault="006C5A00" w:rsidP="00BE75C5">
            <w:pPr>
              <w:rPr>
                <w:rFonts w:cstheme="minorHAnsi"/>
              </w:rPr>
            </w:pPr>
            <w:r w:rsidRPr="00A847B7">
              <w:rPr>
                <w:rFonts w:cstheme="minorHAnsi"/>
              </w:rPr>
              <w:t xml:space="preserve">46 </w:t>
            </w:r>
          </w:p>
        </w:tc>
      </w:tr>
      <w:tr w:rsidR="006C5A00" w:rsidRPr="00A847B7" w14:paraId="05038BB7" w14:textId="77777777" w:rsidTr="00394A15">
        <w:trPr>
          <w:trHeight w:val="109"/>
        </w:trPr>
        <w:tc>
          <w:tcPr>
            <w:tcW w:w="2616" w:type="dxa"/>
          </w:tcPr>
          <w:p w14:paraId="086D3F13" w14:textId="77777777" w:rsidR="006C5A00" w:rsidRPr="00A847B7" w:rsidRDefault="006C5A00" w:rsidP="00BE75C5">
            <w:pPr>
              <w:rPr>
                <w:rFonts w:cstheme="minorHAnsi"/>
              </w:rPr>
            </w:pPr>
            <w:r w:rsidRPr="00A847B7">
              <w:rPr>
                <w:rFonts w:cstheme="minorHAnsi"/>
              </w:rPr>
              <w:t xml:space="preserve">59 </w:t>
            </w:r>
          </w:p>
        </w:tc>
        <w:tc>
          <w:tcPr>
            <w:tcW w:w="2616" w:type="dxa"/>
          </w:tcPr>
          <w:p w14:paraId="621970A6" w14:textId="77777777" w:rsidR="006C5A00" w:rsidRPr="00A847B7" w:rsidRDefault="006C5A00" w:rsidP="00BE75C5">
            <w:pPr>
              <w:rPr>
                <w:rFonts w:cstheme="minorHAnsi"/>
              </w:rPr>
            </w:pPr>
            <w:r w:rsidRPr="00A847B7">
              <w:rPr>
                <w:rFonts w:cstheme="minorHAnsi"/>
              </w:rPr>
              <w:t xml:space="preserve">47 </w:t>
            </w:r>
          </w:p>
        </w:tc>
      </w:tr>
      <w:tr w:rsidR="006C5A00" w:rsidRPr="00A847B7" w14:paraId="1836913D" w14:textId="77777777" w:rsidTr="00394A15">
        <w:trPr>
          <w:trHeight w:val="109"/>
        </w:trPr>
        <w:tc>
          <w:tcPr>
            <w:tcW w:w="2616" w:type="dxa"/>
          </w:tcPr>
          <w:p w14:paraId="7413A52C" w14:textId="77777777" w:rsidR="006C5A00" w:rsidRPr="00A847B7" w:rsidRDefault="006C5A00" w:rsidP="00BE75C5">
            <w:pPr>
              <w:rPr>
                <w:rFonts w:cstheme="minorHAnsi"/>
              </w:rPr>
            </w:pPr>
            <w:r w:rsidRPr="00A847B7">
              <w:rPr>
                <w:rFonts w:cstheme="minorHAnsi"/>
              </w:rPr>
              <w:t xml:space="preserve">60 </w:t>
            </w:r>
          </w:p>
        </w:tc>
        <w:tc>
          <w:tcPr>
            <w:tcW w:w="2616" w:type="dxa"/>
          </w:tcPr>
          <w:p w14:paraId="30B483F1" w14:textId="77777777" w:rsidR="006C5A00" w:rsidRPr="00A847B7" w:rsidRDefault="006C5A00" w:rsidP="00BE75C5">
            <w:pPr>
              <w:rPr>
                <w:rFonts w:cstheme="minorHAnsi"/>
              </w:rPr>
            </w:pPr>
            <w:r w:rsidRPr="00A847B7">
              <w:rPr>
                <w:rFonts w:cstheme="minorHAnsi"/>
              </w:rPr>
              <w:t xml:space="preserve">48 </w:t>
            </w:r>
          </w:p>
        </w:tc>
      </w:tr>
      <w:tr w:rsidR="006C5A00" w:rsidRPr="00A847B7" w14:paraId="783C0B42" w14:textId="77777777" w:rsidTr="00394A15">
        <w:trPr>
          <w:trHeight w:val="109"/>
        </w:trPr>
        <w:tc>
          <w:tcPr>
            <w:tcW w:w="2616" w:type="dxa"/>
          </w:tcPr>
          <w:p w14:paraId="006E9F17" w14:textId="77777777" w:rsidR="006C5A00" w:rsidRPr="00A847B7" w:rsidRDefault="006C5A00" w:rsidP="00BE75C5">
            <w:pPr>
              <w:rPr>
                <w:rFonts w:cstheme="minorHAnsi"/>
              </w:rPr>
            </w:pPr>
            <w:r w:rsidRPr="00A847B7">
              <w:rPr>
                <w:rFonts w:cstheme="minorHAnsi"/>
              </w:rPr>
              <w:t xml:space="preserve">61 </w:t>
            </w:r>
          </w:p>
        </w:tc>
        <w:tc>
          <w:tcPr>
            <w:tcW w:w="2616" w:type="dxa"/>
          </w:tcPr>
          <w:p w14:paraId="2ED9E53C" w14:textId="77777777" w:rsidR="006C5A00" w:rsidRPr="00A847B7" w:rsidRDefault="006C5A00" w:rsidP="00BE75C5">
            <w:pPr>
              <w:rPr>
                <w:rFonts w:cstheme="minorHAnsi"/>
              </w:rPr>
            </w:pPr>
            <w:r w:rsidRPr="00A847B7">
              <w:rPr>
                <w:rFonts w:cstheme="minorHAnsi"/>
              </w:rPr>
              <w:t xml:space="preserve">49 </w:t>
            </w:r>
          </w:p>
        </w:tc>
      </w:tr>
      <w:tr w:rsidR="006C5A00" w:rsidRPr="00A847B7" w14:paraId="6B1D83E7" w14:textId="77777777" w:rsidTr="00394A15">
        <w:trPr>
          <w:trHeight w:val="109"/>
        </w:trPr>
        <w:tc>
          <w:tcPr>
            <w:tcW w:w="2616" w:type="dxa"/>
          </w:tcPr>
          <w:p w14:paraId="3288CDDD" w14:textId="77777777" w:rsidR="006C5A00" w:rsidRPr="00A847B7" w:rsidRDefault="006C5A00" w:rsidP="00BE75C5">
            <w:pPr>
              <w:rPr>
                <w:rFonts w:cstheme="minorHAnsi"/>
              </w:rPr>
            </w:pPr>
            <w:r w:rsidRPr="00A847B7">
              <w:rPr>
                <w:rFonts w:cstheme="minorHAnsi"/>
              </w:rPr>
              <w:t xml:space="preserve">62 </w:t>
            </w:r>
          </w:p>
        </w:tc>
        <w:tc>
          <w:tcPr>
            <w:tcW w:w="2616" w:type="dxa"/>
          </w:tcPr>
          <w:p w14:paraId="454E624A" w14:textId="77777777" w:rsidR="006C5A00" w:rsidRPr="00A847B7" w:rsidRDefault="006C5A00" w:rsidP="00BE75C5">
            <w:pPr>
              <w:rPr>
                <w:rFonts w:cstheme="minorHAnsi"/>
              </w:rPr>
            </w:pPr>
            <w:r w:rsidRPr="00A847B7">
              <w:rPr>
                <w:rFonts w:cstheme="minorHAnsi"/>
              </w:rPr>
              <w:t xml:space="preserve">50 </w:t>
            </w:r>
          </w:p>
        </w:tc>
      </w:tr>
      <w:tr w:rsidR="00062BB6" w:rsidRPr="00A847B7" w14:paraId="1599BF4A" w14:textId="77777777" w:rsidTr="00394A15">
        <w:trPr>
          <w:trHeight w:val="109"/>
        </w:trPr>
        <w:tc>
          <w:tcPr>
            <w:tcW w:w="2616" w:type="dxa"/>
          </w:tcPr>
          <w:p w14:paraId="110F50C3" w14:textId="77777777" w:rsidR="00062BB6" w:rsidRPr="00A847B7" w:rsidRDefault="00062BB6" w:rsidP="00BE75C5">
            <w:pPr>
              <w:rPr>
                <w:rFonts w:cstheme="minorHAnsi"/>
              </w:rPr>
            </w:pPr>
            <w:r w:rsidRPr="00A847B7">
              <w:rPr>
                <w:rFonts w:cstheme="minorHAnsi"/>
              </w:rPr>
              <w:t xml:space="preserve">63 </w:t>
            </w:r>
          </w:p>
        </w:tc>
        <w:tc>
          <w:tcPr>
            <w:tcW w:w="2616" w:type="dxa"/>
          </w:tcPr>
          <w:p w14:paraId="1399FD5E" w14:textId="77777777" w:rsidR="00062BB6" w:rsidRPr="00A847B7" w:rsidRDefault="00062BB6" w:rsidP="00BE75C5">
            <w:pPr>
              <w:rPr>
                <w:rFonts w:cstheme="minorHAnsi"/>
              </w:rPr>
            </w:pPr>
            <w:r w:rsidRPr="00A847B7">
              <w:rPr>
                <w:rFonts w:cstheme="minorHAnsi"/>
              </w:rPr>
              <w:t xml:space="preserve">50 </w:t>
            </w:r>
          </w:p>
        </w:tc>
      </w:tr>
      <w:tr w:rsidR="00062BB6" w:rsidRPr="00A847B7" w14:paraId="3CFBAAFE" w14:textId="77777777" w:rsidTr="00394A15">
        <w:trPr>
          <w:trHeight w:val="109"/>
        </w:trPr>
        <w:tc>
          <w:tcPr>
            <w:tcW w:w="2616" w:type="dxa"/>
          </w:tcPr>
          <w:p w14:paraId="464C3FF1" w14:textId="77777777" w:rsidR="00062BB6" w:rsidRPr="00A847B7" w:rsidRDefault="00062BB6" w:rsidP="00BE75C5">
            <w:pPr>
              <w:rPr>
                <w:rFonts w:cstheme="minorHAnsi"/>
              </w:rPr>
            </w:pPr>
            <w:r w:rsidRPr="00A847B7">
              <w:rPr>
                <w:rFonts w:cstheme="minorHAnsi"/>
              </w:rPr>
              <w:t xml:space="preserve">64 </w:t>
            </w:r>
          </w:p>
        </w:tc>
        <w:tc>
          <w:tcPr>
            <w:tcW w:w="2616" w:type="dxa"/>
          </w:tcPr>
          <w:p w14:paraId="763DD405" w14:textId="77777777" w:rsidR="00062BB6" w:rsidRPr="00A847B7" w:rsidRDefault="00062BB6" w:rsidP="00BE75C5">
            <w:pPr>
              <w:rPr>
                <w:rFonts w:cstheme="minorHAnsi"/>
              </w:rPr>
            </w:pPr>
            <w:r w:rsidRPr="00A847B7">
              <w:rPr>
                <w:rFonts w:cstheme="minorHAnsi"/>
              </w:rPr>
              <w:t xml:space="preserve">51 </w:t>
            </w:r>
          </w:p>
        </w:tc>
      </w:tr>
      <w:tr w:rsidR="00062BB6" w:rsidRPr="00A847B7" w14:paraId="2510BDDE" w14:textId="77777777" w:rsidTr="00394A15">
        <w:trPr>
          <w:trHeight w:val="109"/>
        </w:trPr>
        <w:tc>
          <w:tcPr>
            <w:tcW w:w="2616" w:type="dxa"/>
          </w:tcPr>
          <w:p w14:paraId="1DDBB0C3" w14:textId="77777777" w:rsidR="00062BB6" w:rsidRPr="00A847B7" w:rsidRDefault="00062BB6" w:rsidP="00BE75C5">
            <w:pPr>
              <w:rPr>
                <w:rFonts w:cstheme="minorHAnsi"/>
              </w:rPr>
            </w:pPr>
            <w:r w:rsidRPr="00A847B7">
              <w:rPr>
                <w:rFonts w:cstheme="minorHAnsi"/>
              </w:rPr>
              <w:t xml:space="preserve">65 </w:t>
            </w:r>
          </w:p>
        </w:tc>
        <w:tc>
          <w:tcPr>
            <w:tcW w:w="2616" w:type="dxa"/>
          </w:tcPr>
          <w:p w14:paraId="1018DE31" w14:textId="77777777" w:rsidR="00062BB6" w:rsidRPr="00A847B7" w:rsidRDefault="00062BB6" w:rsidP="00BE75C5">
            <w:pPr>
              <w:rPr>
                <w:rFonts w:cstheme="minorHAnsi"/>
              </w:rPr>
            </w:pPr>
            <w:r w:rsidRPr="00A847B7">
              <w:rPr>
                <w:rFonts w:cstheme="minorHAnsi"/>
              </w:rPr>
              <w:t xml:space="preserve">52 </w:t>
            </w:r>
          </w:p>
        </w:tc>
      </w:tr>
      <w:tr w:rsidR="00062BB6" w:rsidRPr="00A847B7" w14:paraId="3599CC0D" w14:textId="77777777" w:rsidTr="00394A15">
        <w:trPr>
          <w:trHeight w:val="109"/>
        </w:trPr>
        <w:tc>
          <w:tcPr>
            <w:tcW w:w="2616" w:type="dxa"/>
          </w:tcPr>
          <w:p w14:paraId="0E50ACBE" w14:textId="77777777" w:rsidR="00062BB6" w:rsidRPr="00A847B7" w:rsidRDefault="00062BB6" w:rsidP="00BE75C5">
            <w:pPr>
              <w:rPr>
                <w:rFonts w:cstheme="minorHAnsi"/>
              </w:rPr>
            </w:pPr>
            <w:r w:rsidRPr="00A847B7">
              <w:rPr>
                <w:rFonts w:cstheme="minorHAnsi"/>
              </w:rPr>
              <w:t xml:space="preserve">66 </w:t>
            </w:r>
          </w:p>
        </w:tc>
        <w:tc>
          <w:tcPr>
            <w:tcW w:w="2616" w:type="dxa"/>
          </w:tcPr>
          <w:p w14:paraId="47FFA640" w14:textId="77777777" w:rsidR="00062BB6" w:rsidRPr="00A847B7" w:rsidRDefault="00062BB6" w:rsidP="00BE75C5">
            <w:pPr>
              <w:rPr>
                <w:rFonts w:cstheme="minorHAnsi"/>
              </w:rPr>
            </w:pPr>
            <w:r w:rsidRPr="00A847B7">
              <w:rPr>
                <w:rFonts w:cstheme="minorHAnsi"/>
              </w:rPr>
              <w:t xml:space="preserve">53 </w:t>
            </w:r>
          </w:p>
        </w:tc>
      </w:tr>
      <w:tr w:rsidR="00062BB6" w:rsidRPr="00A847B7" w14:paraId="4DFF2221" w14:textId="77777777" w:rsidTr="00394A15">
        <w:trPr>
          <w:trHeight w:val="109"/>
        </w:trPr>
        <w:tc>
          <w:tcPr>
            <w:tcW w:w="2616" w:type="dxa"/>
          </w:tcPr>
          <w:p w14:paraId="6835F0A7" w14:textId="77777777" w:rsidR="00062BB6" w:rsidRPr="00A847B7" w:rsidRDefault="00062BB6" w:rsidP="00BE75C5">
            <w:pPr>
              <w:rPr>
                <w:rFonts w:cstheme="minorHAnsi"/>
              </w:rPr>
            </w:pPr>
            <w:r w:rsidRPr="00A847B7">
              <w:rPr>
                <w:rFonts w:cstheme="minorHAnsi"/>
              </w:rPr>
              <w:t xml:space="preserve">67 </w:t>
            </w:r>
          </w:p>
        </w:tc>
        <w:tc>
          <w:tcPr>
            <w:tcW w:w="2616" w:type="dxa"/>
          </w:tcPr>
          <w:p w14:paraId="785E2004" w14:textId="77777777" w:rsidR="00062BB6" w:rsidRPr="00A847B7" w:rsidRDefault="00062BB6" w:rsidP="00BE75C5">
            <w:pPr>
              <w:rPr>
                <w:rFonts w:cstheme="minorHAnsi"/>
              </w:rPr>
            </w:pPr>
            <w:r w:rsidRPr="00A847B7">
              <w:rPr>
                <w:rFonts w:cstheme="minorHAnsi"/>
              </w:rPr>
              <w:t xml:space="preserve">54 </w:t>
            </w:r>
          </w:p>
        </w:tc>
      </w:tr>
      <w:tr w:rsidR="00062BB6" w:rsidRPr="00A847B7" w14:paraId="0958A61B" w14:textId="77777777" w:rsidTr="00394A15">
        <w:trPr>
          <w:trHeight w:val="109"/>
        </w:trPr>
        <w:tc>
          <w:tcPr>
            <w:tcW w:w="2616" w:type="dxa"/>
          </w:tcPr>
          <w:p w14:paraId="4FCD1C63" w14:textId="77777777" w:rsidR="00062BB6" w:rsidRPr="00A847B7" w:rsidRDefault="00062BB6" w:rsidP="00BE75C5">
            <w:pPr>
              <w:rPr>
                <w:rFonts w:cstheme="minorHAnsi"/>
              </w:rPr>
            </w:pPr>
            <w:r w:rsidRPr="00A847B7">
              <w:rPr>
                <w:rFonts w:cstheme="minorHAnsi"/>
              </w:rPr>
              <w:t xml:space="preserve">68 </w:t>
            </w:r>
          </w:p>
        </w:tc>
        <w:tc>
          <w:tcPr>
            <w:tcW w:w="2616" w:type="dxa"/>
          </w:tcPr>
          <w:p w14:paraId="0AC6D7FC" w14:textId="77777777" w:rsidR="00062BB6" w:rsidRPr="00A847B7" w:rsidRDefault="00062BB6" w:rsidP="00BE75C5">
            <w:pPr>
              <w:rPr>
                <w:rFonts w:cstheme="minorHAnsi"/>
              </w:rPr>
            </w:pPr>
            <w:r w:rsidRPr="00A847B7">
              <w:rPr>
                <w:rFonts w:cstheme="minorHAnsi"/>
              </w:rPr>
              <w:t xml:space="preserve">54 </w:t>
            </w:r>
          </w:p>
        </w:tc>
      </w:tr>
      <w:tr w:rsidR="00062BB6" w:rsidRPr="00A847B7" w14:paraId="4DD2BC0F" w14:textId="77777777" w:rsidTr="00394A15">
        <w:trPr>
          <w:trHeight w:val="109"/>
        </w:trPr>
        <w:tc>
          <w:tcPr>
            <w:tcW w:w="2616" w:type="dxa"/>
          </w:tcPr>
          <w:p w14:paraId="28E91F32" w14:textId="77777777" w:rsidR="00062BB6" w:rsidRPr="00A847B7" w:rsidRDefault="00062BB6" w:rsidP="00BE75C5">
            <w:pPr>
              <w:rPr>
                <w:rFonts w:cstheme="minorHAnsi"/>
              </w:rPr>
            </w:pPr>
            <w:r w:rsidRPr="00A847B7">
              <w:rPr>
                <w:rFonts w:cstheme="minorHAnsi"/>
              </w:rPr>
              <w:t xml:space="preserve">69 </w:t>
            </w:r>
          </w:p>
        </w:tc>
        <w:tc>
          <w:tcPr>
            <w:tcW w:w="2616" w:type="dxa"/>
          </w:tcPr>
          <w:p w14:paraId="125E7C49" w14:textId="77777777" w:rsidR="00062BB6" w:rsidRPr="00A847B7" w:rsidRDefault="00062BB6" w:rsidP="00BE75C5">
            <w:pPr>
              <w:rPr>
                <w:rFonts w:cstheme="minorHAnsi"/>
              </w:rPr>
            </w:pPr>
            <w:r w:rsidRPr="00A847B7">
              <w:rPr>
                <w:rFonts w:cstheme="minorHAnsi"/>
              </w:rPr>
              <w:t xml:space="preserve">55 </w:t>
            </w:r>
          </w:p>
        </w:tc>
      </w:tr>
      <w:tr w:rsidR="00062BB6" w:rsidRPr="00A847B7" w14:paraId="0AF5543B" w14:textId="77777777" w:rsidTr="00394A15">
        <w:trPr>
          <w:trHeight w:val="109"/>
        </w:trPr>
        <w:tc>
          <w:tcPr>
            <w:tcW w:w="2616" w:type="dxa"/>
          </w:tcPr>
          <w:p w14:paraId="2885667D" w14:textId="77777777" w:rsidR="00062BB6" w:rsidRPr="00A847B7" w:rsidRDefault="00062BB6" w:rsidP="00BE75C5">
            <w:pPr>
              <w:rPr>
                <w:rFonts w:cstheme="minorHAnsi"/>
              </w:rPr>
            </w:pPr>
            <w:r w:rsidRPr="00A847B7">
              <w:rPr>
                <w:rFonts w:cstheme="minorHAnsi"/>
              </w:rPr>
              <w:t xml:space="preserve">70 </w:t>
            </w:r>
          </w:p>
        </w:tc>
        <w:tc>
          <w:tcPr>
            <w:tcW w:w="2616" w:type="dxa"/>
          </w:tcPr>
          <w:p w14:paraId="20B9977D" w14:textId="77777777" w:rsidR="00062BB6" w:rsidRPr="00A847B7" w:rsidRDefault="00062BB6" w:rsidP="00BE75C5">
            <w:pPr>
              <w:rPr>
                <w:rFonts w:cstheme="minorHAnsi"/>
              </w:rPr>
            </w:pPr>
            <w:r w:rsidRPr="00A847B7">
              <w:rPr>
                <w:rFonts w:cstheme="minorHAnsi"/>
              </w:rPr>
              <w:t xml:space="preserve">56 </w:t>
            </w:r>
          </w:p>
        </w:tc>
      </w:tr>
      <w:tr w:rsidR="00062BB6" w:rsidRPr="00A847B7" w14:paraId="7FED4103" w14:textId="77777777" w:rsidTr="00394A15">
        <w:trPr>
          <w:trHeight w:val="109"/>
        </w:trPr>
        <w:tc>
          <w:tcPr>
            <w:tcW w:w="2616" w:type="dxa"/>
          </w:tcPr>
          <w:p w14:paraId="00AD094B" w14:textId="77777777" w:rsidR="00062BB6" w:rsidRPr="00A847B7" w:rsidRDefault="00062BB6" w:rsidP="00BE75C5">
            <w:pPr>
              <w:rPr>
                <w:rFonts w:cstheme="minorHAnsi"/>
              </w:rPr>
            </w:pPr>
            <w:r w:rsidRPr="00A847B7">
              <w:rPr>
                <w:rFonts w:cstheme="minorHAnsi"/>
              </w:rPr>
              <w:t xml:space="preserve">71 </w:t>
            </w:r>
          </w:p>
        </w:tc>
        <w:tc>
          <w:tcPr>
            <w:tcW w:w="2616" w:type="dxa"/>
          </w:tcPr>
          <w:p w14:paraId="094A3C05" w14:textId="77777777" w:rsidR="00062BB6" w:rsidRPr="00A847B7" w:rsidRDefault="00062BB6" w:rsidP="00BE75C5">
            <w:pPr>
              <w:rPr>
                <w:rFonts w:cstheme="minorHAnsi"/>
              </w:rPr>
            </w:pPr>
            <w:r w:rsidRPr="00A847B7">
              <w:rPr>
                <w:rFonts w:cstheme="minorHAnsi"/>
              </w:rPr>
              <w:t xml:space="preserve">57 </w:t>
            </w:r>
          </w:p>
        </w:tc>
      </w:tr>
      <w:tr w:rsidR="00062BB6" w:rsidRPr="00A847B7" w14:paraId="492B12C0" w14:textId="77777777" w:rsidTr="00394A15">
        <w:trPr>
          <w:trHeight w:val="109"/>
        </w:trPr>
        <w:tc>
          <w:tcPr>
            <w:tcW w:w="2616" w:type="dxa"/>
          </w:tcPr>
          <w:p w14:paraId="4BE41A72" w14:textId="77777777" w:rsidR="00062BB6" w:rsidRPr="00A847B7" w:rsidRDefault="00062BB6" w:rsidP="00BE75C5">
            <w:pPr>
              <w:rPr>
                <w:rFonts w:cstheme="minorHAnsi"/>
              </w:rPr>
            </w:pPr>
            <w:r w:rsidRPr="00A847B7">
              <w:rPr>
                <w:rFonts w:cstheme="minorHAnsi"/>
              </w:rPr>
              <w:t xml:space="preserve">72 </w:t>
            </w:r>
          </w:p>
        </w:tc>
        <w:tc>
          <w:tcPr>
            <w:tcW w:w="2616" w:type="dxa"/>
          </w:tcPr>
          <w:p w14:paraId="08D75D83" w14:textId="77777777" w:rsidR="00062BB6" w:rsidRPr="00A847B7" w:rsidRDefault="00062BB6" w:rsidP="00BE75C5">
            <w:pPr>
              <w:rPr>
                <w:rFonts w:cstheme="minorHAnsi"/>
              </w:rPr>
            </w:pPr>
            <w:r w:rsidRPr="00A847B7">
              <w:rPr>
                <w:rFonts w:cstheme="minorHAnsi"/>
              </w:rPr>
              <w:t xml:space="preserve">58 </w:t>
            </w:r>
          </w:p>
        </w:tc>
      </w:tr>
      <w:tr w:rsidR="00062BB6" w:rsidRPr="00A847B7" w14:paraId="1581CB51" w14:textId="77777777" w:rsidTr="00394A15">
        <w:trPr>
          <w:trHeight w:val="109"/>
        </w:trPr>
        <w:tc>
          <w:tcPr>
            <w:tcW w:w="2616" w:type="dxa"/>
          </w:tcPr>
          <w:p w14:paraId="147B3761" w14:textId="77777777" w:rsidR="00062BB6" w:rsidRPr="00A847B7" w:rsidRDefault="00062BB6" w:rsidP="00BE75C5">
            <w:pPr>
              <w:rPr>
                <w:rFonts w:cstheme="minorHAnsi"/>
              </w:rPr>
            </w:pPr>
            <w:r w:rsidRPr="00A847B7">
              <w:rPr>
                <w:rFonts w:cstheme="minorHAnsi"/>
              </w:rPr>
              <w:t xml:space="preserve">73 </w:t>
            </w:r>
          </w:p>
        </w:tc>
        <w:tc>
          <w:tcPr>
            <w:tcW w:w="2616" w:type="dxa"/>
          </w:tcPr>
          <w:p w14:paraId="56083FBB" w14:textId="77777777" w:rsidR="00062BB6" w:rsidRPr="00A847B7" w:rsidRDefault="00062BB6" w:rsidP="00BE75C5">
            <w:pPr>
              <w:rPr>
                <w:rFonts w:cstheme="minorHAnsi"/>
              </w:rPr>
            </w:pPr>
            <w:r w:rsidRPr="00A847B7">
              <w:rPr>
                <w:rFonts w:cstheme="minorHAnsi"/>
              </w:rPr>
              <w:t xml:space="preserve">58 </w:t>
            </w:r>
          </w:p>
        </w:tc>
      </w:tr>
      <w:tr w:rsidR="00062BB6" w:rsidRPr="00A847B7" w14:paraId="6B0E7095" w14:textId="77777777" w:rsidTr="00394A15">
        <w:trPr>
          <w:trHeight w:val="109"/>
        </w:trPr>
        <w:tc>
          <w:tcPr>
            <w:tcW w:w="2616" w:type="dxa"/>
          </w:tcPr>
          <w:p w14:paraId="2F61A8DC" w14:textId="77777777" w:rsidR="00062BB6" w:rsidRPr="00A847B7" w:rsidRDefault="00062BB6" w:rsidP="00BE75C5">
            <w:pPr>
              <w:rPr>
                <w:rFonts w:cstheme="minorHAnsi"/>
              </w:rPr>
            </w:pPr>
            <w:r w:rsidRPr="00A847B7">
              <w:rPr>
                <w:rFonts w:cstheme="minorHAnsi"/>
              </w:rPr>
              <w:t xml:space="preserve">74 </w:t>
            </w:r>
          </w:p>
        </w:tc>
        <w:tc>
          <w:tcPr>
            <w:tcW w:w="2616" w:type="dxa"/>
          </w:tcPr>
          <w:p w14:paraId="5097CFDF" w14:textId="77777777" w:rsidR="00062BB6" w:rsidRPr="00A847B7" w:rsidRDefault="00062BB6" w:rsidP="00BE75C5">
            <w:pPr>
              <w:rPr>
                <w:rFonts w:cstheme="minorHAnsi"/>
              </w:rPr>
            </w:pPr>
            <w:r w:rsidRPr="00A847B7">
              <w:rPr>
                <w:rFonts w:cstheme="minorHAnsi"/>
              </w:rPr>
              <w:t xml:space="preserve">59 </w:t>
            </w:r>
          </w:p>
        </w:tc>
      </w:tr>
      <w:tr w:rsidR="00062BB6" w:rsidRPr="00A847B7" w14:paraId="7BDE5F0F" w14:textId="77777777" w:rsidTr="00394A15">
        <w:trPr>
          <w:trHeight w:val="109"/>
        </w:trPr>
        <w:tc>
          <w:tcPr>
            <w:tcW w:w="2616" w:type="dxa"/>
          </w:tcPr>
          <w:p w14:paraId="2401E46A" w14:textId="77777777" w:rsidR="00062BB6" w:rsidRPr="00A847B7" w:rsidRDefault="00062BB6" w:rsidP="00BE75C5">
            <w:pPr>
              <w:rPr>
                <w:rFonts w:cstheme="minorHAnsi"/>
              </w:rPr>
            </w:pPr>
            <w:r w:rsidRPr="00A847B7">
              <w:rPr>
                <w:rFonts w:cstheme="minorHAnsi"/>
              </w:rPr>
              <w:lastRenderedPageBreak/>
              <w:t xml:space="preserve">75 </w:t>
            </w:r>
          </w:p>
        </w:tc>
        <w:tc>
          <w:tcPr>
            <w:tcW w:w="2616" w:type="dxa"/>
          </w:tcPr>
          <w:p w14:paraId="77A479B7" w14:textId="77777777" w:rsidR="00062BB6" w:rsidRPr="00A847B7" w:rsidRDefault="00062BB6" w:rsidP="00BE75C5">
            <w:pPr>
              <w:rPr>
                <w:rFonts w:cstheme="minorHAnsi"/>
              </w:rPr>
            </w:pPr>
            <w:r w:rsidRPr="00A847B7">
              <w:rPr>
                <w:rFonts w:cstheme="minorHAnsi"/>
              </w:rPr>
              <w:t xml:space="preserve">60 </w:t>
            </w:r>
          </w:p>
        </w:tc>
      </w:tr>
      <w:tr w:rsidR="00062BB6" w:rsidRPr="00A847B7" w14:paraId="41A6C4CB" w14:textId="77777777" w:rsidTr="00394A15">
        <w:trPr>
          <w:trHeight w:val="109"/>
        </w:trPr>
        <w:tc>
          <w:tcPr>
            <w:tcW w:w="2616" w:type="dxa"/>
          </w:tcPr>
          <w:p w14:paraId="1CF1ACC6" w14:textId="77777777" w:rsidR="00062BB6" w:rsidRPr="00A847B7" w:rsidRDefault="00062BB6" w:rsidP="00BE75C5">
            <w:pPr>
              <w:rPr>
                <w:rFonts w:cstheme="minorHAnsi"/>
              </w:rPr>
            </w:pPr>
            <w:r w:rsidRPr="00A847B7">
              <w:rPr>
                <w:rFonts w:cstheme="minorHAnsi"/>
              </w:rPr>
              <w:t xml:space="preserve">76 </w:t>
            </w:r>
          </w:p>
        </w:tc>
        <w:tc>
          <w:tcPr>
            <w:tcW w:w="2616" w:type="dxa"/>
          </w:tcPr>
          <w:p w14:paraId="7E7DF82D" w14:textId="77777777" w:rsidR="00062BB6" w:rsidRPr="00A847B7" w:rsidRDefault="00062BB6" w:rsidP="00BE75C5">
            <w:pPr>
              <w:rPr>
                <w:rFonts w:cstheme="minorHAnsi"/>
              </w:rPr>
            </w:pPr>
            <w:r w:rsidRPr="00A847B7">
              <w:rPr>
                <w:rFonts w:cstheme="minorHAnsi"/>
              </w:rPr>
              <w:t xml:space="preserve">61 </w:t>
            </w:r>
          </w:p>
        </w:tc>
      </w:tr>
      <w:tr w:rsidR="00062BB6" w:rsidRPr="00A847B7" w14:paraId="372B2815" w14:textId="77777777" w:rsidTr="00394A15">
        <w:trPr>
          <w:trHeight w:val="109"/>
        </w:trPr>
        <w:tc>
          <w:tcPr>
            <w:tcW w:w="2616" w:type="dxa"/>
          </w:tcPr>
          <w:p w14:paraId="35D86FB2" w14:textId="77777777" w:rsidR="00062BB6" w:rsidRPr="00A847B7" w:rsidRDefault="00062BB6" w:rsidP="00BE75C5">
            <w:pPr>
              <w:rPr>
                <w:rFonts w:cstheme="minorHAnsi"/>
              </w:rPr>
            </w:pPr>
            <w:r w:rsidRPr="00A847B7">
              <w:rPr>
                <w:rFonts w:cstheme="minorHAnsi"/>
              </w:rPr>
              <w:t xml:space="preserve">77 </w:t>
            </w:r>
          </w:p>
        </w:tc>
        <w:tc>
          <w:tcPr>
            <w:tcW w:w="2616" w:type="dxa"/>
          </w:tcPr>
          <w:p w14:paraId="4B41D23C" w14:textId="77777777" w:rsidR="00062BB6" w:rsidRPr="00A847B7" w:rsidRDefault="00062BB6" w:rsidP="00BE75C5">
            <w:pPr>
              <w:rPr>
                <w:rFonts w:cstheme="minorHAnsi"/>
              </w:rPr>
            </w:pPr>
            <w:r w:rsidRPr="00A847B7">
              <w:rPr>
                <w:rFonts w:cstheme="minorHAnsi"/>
              </w:rPr>
              <w:t xml:space="preserve">62 </w:t>
            </w:r>
          </w:p>
        </w:tc>
      </w:tr>
      <w:tr w:rsidR="00062BB6" w:rsidRPr="00A847B7" w14:paraId="15482D39" w14:textId="77777777" w:rsidTr="00394A15">
        <w:trPr>
          <w:trHeight w:val="109"/>
        </w:trPr>
        <w:tc>
          <w:tcPr>
            <w:tcW w:w="2616" w:type="dxa"/>
          </w:tcPr>
          <w:p w14:paraId="0DAD70C5" w14:textId="77777777" w:rsidR="00062BB6" w:rsidRPr="00A847B7" w:rsidRDefault="00062BB6" w:rsidP="00BE75C5">
            <w:pPr>
              <w:rPr>
                <w:rFonts w:cstheme="minorHAnsi"/>
              </w:rPr>
            </w:pPr>
            <w:r w:rsidRPr="00A847B7">
              <w:rPr>
                <w:rFonts w:cstheme="minorHAnsi"/>
              </w:rPr>
              <w:t xml:space="preserve">78 </w:t>
            </w:r>
          </w:p>
        </w:tc>
        <w:tc>
          <w:tcPr>
            <w:tcW w:w="2616" w:type="dxa"/>
          </w:tcPr>
          <w:p w14:paraId="51CBDF73" w14:textId="77777777" w:rsidR="00062BB6" w:rsidRPr="00A847B7" w:rsidRDefault="00062BB6" w:rsidP="00BE75C5">
            <w:pPr>
              <w:rPr>
                <w:rFonts w:cstheme="minorHAnsi"/>
              </w:rPr>
            </w:pPr>
            <w:r w:rsidRPr="00A847B7">
              <w:rPr>
                <w:rFonts w:cstheme="minorHAnsi"/>
              </w:rPr>
              <w:t xml:space="preserve">117 </w:t>
            </w:r>
          </w:p>
        </w:tc>
      </w:tr>
      <w:tr w:rsidR="00062BB6" w:rsidRPr="00A847B7" w14:paraId="51054E72" w14:textId="77777777" w:rsidTr="00394A15">
        <w:trPr>
          <w:trHeight w:val="109"/>
        </w:trPr>
        <w:tc>
          <w:tcPr>
            <w:tcW w:w="2616" w:type="dxa"/>
          </w:tcPr>
          <w:p w14:paraId="0CFBB382" w14:textId="77777777" w:rsidR="00062BB6" w:rsidRPr="00A847B7" w:rsidRDefault="00062BB6" w:rsidP="00BE75C5">
            <w:pPr>
              <w:rPr>
                <w:rFonts w:cstheme="minorHAnsi"/>
              </w:rPr>
            </w:pPr>
            <w:r w:rsidRPr="00A847B7">
              <w:rPr>
                <w:rFonts w:cstheme="minorHAnsi"/>
              </w:rPr>
              <w:t xml:space="preserve">79 </w:t>
            </w:r>
          </w:p>
        </w:tc>
        <w:tc>
          <w:tcPr>
            <w:tcW w:w="2616" w:type="dxa"/>
          </w:tcPr>
          <w:p w14:paraId="2F2246DD" w14:textId="77777777" w:rsidR="00062BB6" w:rsidRPr="00A847B7" w:rsidRDefault="00062BB6" w:rsidP="00BE75C5">
            <w:pPr>
              <w:rPr>
                <w:rFonts w:cstheme="minorHAnsi"/>
              </w:rPr>
            </w:pPr>
            <w:r w:rsidRPr="00A847B7">
              <w:rPr>
                <w:rFonts w:cstheme="minorHAnsi"/>
              </w:rPr>
              <w:t xml:space="preserve">119 </w:t>
            </w:r>
          </w:p>
        </w:tc>
      </w:tr>
      <w:tr w:rsidR="00062BB6" w:rsidRPr="00A847B7" w14:paraId="3D3E3A27" w14:textId="77777777" w:rsidTr="00394A15">
        <w:trPr>
          <w:trHeight w:val="109"/>
        </w:trPr>
        <w:tc>
          <w:tcPr>
            <w:tcW w:w="2616" w:type="dxa"/>
          </w:tcPr>
          <w:p w14:paraId="539F542A" w14:textId="77777777" w:rsidR="00062BB6" w:rsidRPr="00A847B7" w:rsidRDefault="00062BB6" w:rsidP="00BE75C5">
            <w:pPr>
              <w:rPr>
                <w:rFonts w:cstheme="minorHAnsi"/>
              </w:rPr>
            </w:pPr>
            <w:r w:rsidRPr="00A847B7">
              <w:rPr>
                <w:rFonts w:cstheme="minorHAnsi"/>
              </w:rPr>
              <w:t xml:space="preserve">80 </w:t>
            </w:r>
          </w:p>
        </w:tc>
        <w:tc>
          <w:tcPr>
            <w:tcW w:w="2616" w:type="dxa"/>
          </w:tcPr>
          <w:p w14:paraId="226CA68D" w14:textId="77777777" w:rsidR="00062BB6" w:rsidRPr="00A847B7" w:rsidRDefault="00062BB6" w:rsidP="00BE75C5">
            <w:pPr>
              <w:rPr>
                <w:rFonts w:cstheme="minorHAnsi"/>
              </w:rPr>
            </w:pPr>
            <w:r w:rsidRPr="00A847B7">
              <w:rPr>
                <w:rFonts w:cstheme="minorHAnsi"/>
              </w:rPr>
              <w:t xml:space="preserve">120 </w:t>
            </w:r>
          </w:p>
        </w:tc>
      </w:tr>
      <w:tr w:rsidR="00062BB6" w:rsidRPr="00A847B7" w14:paraId="1956D091" w14:textId="77777777" w:rsidTr="00394A15">
        <w:trPr>
          <w:trHeight w:val="109"/>
        </w:trPr>
        <w:tc>
          <w:tcPr>
            <w:tcW w:w="2616" w:type="dxa"/>
          </w:tcPr>
          <w:p w14:paraId="1749B639" w14:textId="77777777" w:rsidR="00062BB6" w:rsidRPr="00A847B7" w:rsidRDefault="00062BB6" w:rsidP="00BE75C5">
            <w:pPr>
              <w:rPr>
                <w:rFonts w:cstheme="minorHAnsi"/>
              </w:rPr>
            </w:pPr>
            <w:r w:rsidRPr="00A847B7">
              <w:rPr>
                <w:rFonts w:cstheme="minorHAnsi"/>
              </w:rPr>
              <w:t xml:space="preserve">81 </w:t>
            </w:r>
          </w:p>
        </w:tc>
        <w:tc>
          <w:tcPr>
            <w:tcW w:w="2616" w:type="dxa"/>
          </w:tcPr>
          <w:p w14:paraId="01E06A33" w14:textId="77777777" w:rsidR="00062BB6" w:rsidRPr="00A847B7" w:rsidRDefault="00062BB6" w:rsidP="00BE75C5">
            <w:pPr>
              <w:rPr>
                <w:rFonts w:cstheme="minorHAnsi"/>
              </w:rPr>
            </w:pPr>
            <w:r w:rsidRPr="00A847B7">
              <w:rPr>
                <w:rFonts w:cstheme="minorHAnsi"/>
              </w:rPr>
              <w:t xml:space="preserve">122 </w:t>
            </w:r>
          </w:p>
        </w:tc>
      </w:tr>
      <w:tr w:rsidR="00062BB6" w:rsidRPr="00A847B7" w14:paraId="4DE6445E" w14:textId="77777777" w:rsidTr="00394A15">
        <w:trPr>
          <w:trHeight w:val="109"/>
        </w:trPr>
        <w:tc>
          <w:tcPr>
            <w:tcW w:w="2616" w:type="dxa"/>
          </w:tcPr>
          <w:p w14:paraId="328BFA55" w14:textId="77777777" w:rsidR="00062BB6" w:rsidRPr="00A847B7" w:rsidRDefault="00062BB6" w:rsidP="00BE75C5">
            <w:pPr>
              <w:rPr>
                <w:rFonts w:cstheme="minorHAnsi"/>
              </w:rPr>
            </w:pPr>
            <w:r w:rsidRPr="00A847B7">
              <w:rPr>
                <w:rFonts w:cstheme="minorHAnsi"/>
              </w:rPr>
              <w:t xml:space="preserve">82 </w:t>
            </w:r>
          </w:p>
        </w:tc>
        <w:tc>
          <w:tcPr>
            <w:tcW w:w="2616" w:type="dxa"/>
          </w:tcPr>
          <w:p w14:paraId="3F0F6D70" w14:textId="77777777" w:rsidR="00062BB6" w:rsidRPr="00A847B7" w:rsidRDefault="00062BB6" w:rsidP="00BE75C5">
            <w:pPr>
              <w:rPr>
                <w:rFonts w:cstheme="minorHAnsi"/>
              </w:rPr>
            </w:pPr>
            <w:r w:rsidRPr="00A847B7">
              <w:rPr>
                <w:rFonts w:cstheme="minorHAnsi"/>
              </w:rPr>
              <w:t xml:space="preserve">123 </w:t>
            </w:r>
          </w:p>
        </w:tc>
      </w:tr>
      <w:tr w:rsidR="00062BB6" w:rsidRPr="00A847B7" w14:paraId="239FD52A" w14:textId="77777777" w:rsidTr="00394A15">
        <w:trPr>
          <w:trHeight w:val="109"/>
        </w:trPr>
        <w:tc>
          <w:tcPr>
            <w:tcW w:w="2616" w:type="dxa"/>
          </w:tcPr>
          <w:p w14:paraId="15D9AC75" w14:textId="77777777" w:rsidR="00062BB6" w:rsidRPr="00A847B7" w:rsidRDefault="00062BB6" w:rsidP="00BE75C5">
            <w:pPr>
              <w:rPr>
                <w:rFonts w:cstheme="minorHAnsi"/>
              </w:rPr>
            </w:pPr>
            <w:r w:rsidRPr="00A847B7">
              <w:rPr>
                <w:rFonts w:cstheme="minorHAnsi"/>
              </w:rPr>
              <w:t xml:space="preserve">83 </w:t>
            </w:r>
          </w:p>
        </w:tc>
        <w:tc>
          <w:tcPr>
            <w:tcW w:w="2616" w:type="dxa"/>
          </w:tcPr>
          <w:p w14:paraId="5AB9C3F8" w14:textId="77777777" w:rsidR="00062BB6" w:rsidRPr="00A847B7" w:rsidRDefault="00062BB6" w:rsidP="00BE75C5">
            <w:pPr>
              <w:rPr>
                <w:rFonts w:cstheme="minorHAnsi"/>
              </w:rPr>
            </w:pPr>
            <w:r w:rsidRPr="00A847B7">
              <w:rPr>
                <w:rFonts w:cstheme="minorHAnsi"/>
              </w:rPr>
              <w:t xml:space="preserve">125 </w:t>
            </w:r>
          </w:p>
        </w:tc>
      </w:tr>
      <w:tr w:rsidR="00062BB6" w:rsidRPr="00A847B7" w14:paraId="14601AA8" w14:textId="77777777" w:rsidTr="00394A15">
        <w:trPr>
          <w:trHeight w:val="109"/>
        </w:trPr>
        <w:tc>
          <w:tcPr>
            <w:tcW w:w="2616" w:type="dxa"/>
          </w:tcPr>
          <w:p w14:paraId="45C17E74" w14:textId="77777777" w:rsidR="00062BB6" w:rsidRPr="00A847B7" w:rsidRDefault="00062BB6" w:rsidP="00BE75C5">
            <w:pPr>
              <w:rPr>
                <w:rFonts w:cstheme="minorHAnsi"/>
              </w:rPr>
            </w:pPr>
            <w:r w:rsidRPr="00A847B7">
              <w:rPr>
                <w:rFonts w:cstheme="minorHAnsi"/>
              </w:rPr>
              <w:t xml:space="preserve">84 </w:t>
            </w:r>
          </w:p>
        </w:tc>
        <w:tc>
          <w:tcPr>
            <w:tcW w:w="2616" w:type="dxa"/>
          </w:tcPr>
          <w:p w14:paraId="2B1D0BF2" w14:textId="77777777" w:rsidR="00062BB6" w:rsidRPr="00A847B7" w:rsidRDefault="00062BB6" w:rsidP="00BE75C5">
            <w:pPr>
              <w:rPr>
                <w:rFonts w:cstheme="minorHAnsi"/>
              </w:rPr>
            </w:pPr>
            <w:r w:rsidRPr="00A847B7">
              <w:rPr>
                <w:rFonts w:cstheme="minorHAnsi"/>
              </w:rPr>
              <w:t xml:space="preserve">126 </w:t>
            </w:r>
          </w:p>
        </w:tc>
      </w:tr>
      <w:tr w:rsidR="00062BB6" w:rsidRPr="00A847B7" w14:paraId="353ECDB1" w14:textId="77777777" w:rsidTr="00394A15">
        <w:trPr>
          <w:trHeight w:val="109"/>
        </w:trPr>
        <w:tc>
          <w:tcPr>
            <w:tcW w:w="2616" w:type="dxa"/>
          </w:tcPr>
          <w:p w14:paraId="45EB6D68" w14:textId="77777777" w:rsidR="00062BB6" w:rsidRPr="00A847B7" w:rsidRDefault="00062BB6" w:rsidP="00BE75C5">
            <w:pPr>
              <w:rPr>
                <w:rFonts w:cstheme="minorHAnsi"/>
              </w:rPr>
            </w:pPr>
            <w:r w:rsidRPr="00A847B7">
              <w:rPr>
                <w:rFonts w:cstheme="minorHAnsi"/>
              </w:rPr>
              <w:t xml:space="preserve">85 </w:t>
            </w:r>
          </w:p>
        </w:tc>
        <w:tc>
          <w:tcPr>
            <w:tcW w:w="2616" w:type="dxa"/>
          </w:tcPr>
          <w:p w14:paraId="73D10878" w14:textId="77777777" w:rsidR="00062BB6" w:rsidRPr="00A847B7" w:rsidRDefault="00062BB6" w:rsidP="00BE75C5">
            <w:pPr>
              <w:rPr>
                <w:rFonts w:cstheme="minorHAnsi"/>
              </w:rPr>
            </w:pPr>
            <w:r w:rsidRPr="00A847B7">
              <w:rPr>
                <w:rFonts w:cstheme="minorHAnsi"/>
              </w:rPr>
              <w:t xml:space="preserve">128 </w:t>
            </w:r>
          </w:p>
        </w:tc>
      </w:tr>
      <w:tr w:rsidR="00062BB6" w:rsidRPr="00A847B7" w14:paraId="0692A2C6" w14:textId="77777777" w:rsidTr="00394A15">
        <w:trPr>
          <w:trHeight w:val="109"/>
        </w:trPr>
        <w:tc>
          <w:tcPr>
            <w:tcW w:w="2616" w:type="dxa"/>
          </w:tcPr>
          <w:p w14:paraId="4565E0EF" w14:textId="77777777" w:rsidR="00062BB6" w:rsidRPr="00A847B7" w:rsidRDefault="00062BB6" w:rsidP="00BE75C5">
            <w:pPr>
              <w:rPr>
                <w:rFonts w:cstheme="minorHAnsi"/>
              </w:rPr>
            </w:pPr>
            <w:r w:rsidRPr="00A847B7">
              <w:rPr>
                <w:rFonts w:cstheme="minorHAnsi"/>
              </w:rPr>
              <w:t xml:space="preserve">86 </w:t>
            </w:r>
          </w:p>
        </w:tc>
        <w:tc>
          <w:tcPr>
            <w:tcW w:w="2616" w:type="dxa"/>
          </w:tcPr>
          <w:p w14:paraId="7072FE4C" w14:textId="77777777" w:rsidR="00062BB6" w:rsidRPr="00A847B7" w:rsidRDefault="00062BB6" w:rsidP="00BE75C5">
            <w:pPr>
              <w:rPr>
                <w:rFonts w:cstheme="minorHAnsi"/>
              </w:rPr>
            </w:pPr>
            <w:r w:rsidRPr="00A847B7">
              <w:rPr>
                <w:rFonts w:cstheme="minorHAnsi"/>
              </w:rPr>
              <w:t xml:space="preserve">129 </w:t>
            </w:r>
          </w:p>
        </w:tc>
      </w:tr>
      <w:tr w:rsidR="00062BB6" w:rsidRPr="00A847B7" w14:paraId="7A66037D" w14:textId="77777777" w:rsidTr="00394A15">
        <w:trPr>
          <w:trHeight w:val="109"/>
        </w:trPr>
        <w:tc>
          <w:tcPr>
            <w:tcW w:w="2616" w:type="dxa"/>
          </w:tcPr>
          <w:p w14:paraId="427B2E77" w14:textId="77777777" w:rsidR="00062BB6" w:rsidRPr="00A847B7" w:rsidRDefault="00062BB6" w:rsidP="00BE75C5">
            <w:pPr>
              <w:rPr>
                <w:rFonts w:cstheme="minorHAnsi"/>
              </w:rPr>
            </w:pPr>
            <w:r w:rsidRPr="00A847B7">
              <w:rPr>
                <w:rFonts w:cstheme="minorHAnsi"/>
              </w:rPr>
              <w:t xml:space="preserve">87 </w:t>
            </w:r>
          </w:p>
        </w:tc>
        <w:tc>
          <w:tcPr>
            <w:tcW w:w="2616" w:type="dxa"/>
          </w:tcPr>
          <w:p w14:paraId="0AB26F57" w14:textId="77777777" w:rsidR="00062BB6" w:rsidRPr="00A847B7" w:rsidRDefault="00062BB6" w:rsidP="00BE75C5">
            <w:pPr>
              <w:rPr>
                <w:rFonts w:cstheme="minorHAnsi"/>
              </w:rPr>
            </w:pPr>
            <w:r w:rsidRPr="00A847B7">
              <w:rPr>
                <w:rFonts w:cstheme="minorHAnsi"/>
              </w:rPr>
              <w:t xml:space="preserve">131 </w:t>
            </w:r>
          </w:p>
        </w:tc>
      </w:tr>
      <w:tr w:rsidR="00062BB6" w:rsidRPr="00A847B7" w14:paraId="09FC11B1" w14:textId="77777777" w:rsidTr="00394A15">
        <w:trPr>
          <w:trHeight w:val="109"/>
        </w:trPr>
        <w:tc>
          <w:tcPr>
            <w:tcW w:w="2616" w:type="dxa"/>
          </w:tcPr>
          <w:p w14:paraId="36A0DD07" w14:textId="77777777" w:rsidR="00062BB6" w:rsidRPr="00A847B7" w:rsidRDefault="00062BB6" w:rsidP="00BE75C5">
            <w:pPr>
              <w:rPr>
                <w:rFonts w:cstheme="minorHAnsi"/>
              </w:rPr>
            </w:pPr>
            <w:r w:rsidRPr="00A847B7">
              <w:rPr>
                <w:rFonts w:cstheme="minorHAnsi"/>
              </w:rPr>
              <w:t xml:space="preserve">88 </w:t>
            </w:r>
          </w:p>
        </w:tc>
        <w:tc>
          <w:tcPr>
            <w:tcW w:w="2616" w:type="dxa"/>
          </w:tcPr>
          <w:p w14:paraId="544C30E1" w14:textId="77777777" w:rsidR="00062BB6" w:rsidRPr="00A847B7" w:rsidRDefault="00062BB6" w:rsidP="00BE75C5">
            <w:pPr>
              <w:rPr>
                <w:rFonts w:cstheme="minorHAnsi"/>
              </w:rPr>
            </w:pPr>
            <w:r w:rsidRPr="00A847B7">
              <w:rPr>
                <w:rFonts w:cstheme="minorHAnsi"/>
              </w:rPr>
              <w:t xml:space="preserve">132 </w:t>
            </w:r>
          </w:p>
        </w:tc>
      </w:tr>
      <w:tr w:rsidR="00062BB6" w:rsidRPr="00A847B7" w14:paraId="6B683F15" w14:textId="77777777" w:rsidTr="00394A15">
        <w:trPr>
          <w:trHeight w:val="109"/>
        </w:trPr>
        <w:tc>
          <w:tcPr>
            <w:tcW w:w="2616" w:type="dxa"/>
          </w:tcPr>
          <w:p w14:paraId="263F60A2" w14:textId="77777777" w:rsidR="00062BB6" w:rsidRPr="00A847B7" w:rsidRDefault="00062BB6" w:rsidP="00BE75C5">
            <w:pPr>
              <w:rPr>
                <w:rFonts w:cstheme="minorHAnsi"/>
              </w:rPr>
            </w:pPr>
            <w:r w:rsidRPr="00A847B7">
              <w:rPr>
                <w:rFonts w:cstheme="minorHAnsi"/>
              </w:rPr>
              <w:t xml:space="preserve">89 </w:t>
            </w:r>
          </w:p>
        </w:tc>
        <w:tc>
          <w:tcPr>
            <w:tcW w:w="2616" w:type="dxa"/>
          </w:tcPr>
          <w:p w14:paraId="686AFC91" w14:textId="77777777" w:rsidR="00062BB6" w:rsidRPr="00A847B7" w:rsidRDefault="00062BB6" w:rsidP="00BE75C5">
            <w:pPr>
              <w:rPr>
                <w:rFonts w:cstheme="minorHAnsi"/>
              </w:rPr>
            </w:pPr>
            <w:r w:rsidRPr="00A847B7">
              <w:rPr>
                <w:rFonts w:cstheme="minorHAnsi"/>
              </w:rPr>
              <w:t xml:space="preserve">134 </w:t>
            </w:r>
          </w:p>
        </w:tc>
      </w:tr>
      <w:tr w:rsidR="00062BB6" w:rsidRPr="00A847B7" w14:paraId="070E90A7" w14:textId="77777777" w:rsidTr="00394A15">
        <w:trPr>
          <w:trHeight w:val="109"/>
        </w:trPr>
        <w:tc>
          <w:tcPr>
            <w:tcW w:w="2616" w:type="dxa"/>
          </w:tcPr>
          <w:p w14:paraId="194904DD" w14:textId="77777777" w:rsidR="00062BB6" w:rsidRPr="00A847B7" w:rsidRDefault="00062BB6" w:rsidP="00BE75C5">
            <w:pPr>
              <w:rPr>
                <w:rFonts w:cstheme="minorHAnsi"/>
              </w:rPr>
            </w:pPr>
            <w:r w:rsidRPr="00A847B7">
              <w:rPr>
                <w:rFonts w:cstheme="minorHAnsi"/>
              </w:rPr>
              <w:t xml:space="preserve">90 </w:t>
            </w:r>
          </w:p>
        </w:tc>
        <w:tc>
          <w:tcPr>
            <w:tcW w:w="2616" w:type="dxa"/>
          </w:tcPr>
          <w:p w14:paraId="214C4C0F" w14:textId="77777777" w:rsidR="00062BB6" w:rsidRPr="00A847B7" w:rsidRDefault="00062BB6" w:rsidP="00BE75C5">
            <w:pPr>
              <w:rPr>
                <w:rFonts w:cstheme="minorHAnsi"/>
              </w:rPr>
            </w:pPr>
            <w:r w:rsidRPr="00A847B7">
              <w:rPr>
                <w:rFonts w:cstheme="minorHAnsi"/>
              </w:rPr>
              <w:t xml:space="preserve">135 </w:t>
            </w:r>
          </w:p>
        </w:tc>
      </w:tr>
      <w:tr w:rsidR="00062BB6" w:rsidRPr="00A847B7" w14:paraId="0E5162E5" w14:textId="77777777" w:rsidTr="00394A15">
        <w:trPr>
          <w:trHeight w:val="109"/>
        </w:trPr>
        <w:tc>
          <w:tcPr>
            <w:tcW w:w="2616" w:type="dxa"/>
          </w:tcPr>
          <w:p w14:paraId="54D008CB" w14:textId="77777777" w:rsidR="00062BB6" w:rsidRPr="00A847B7" w:rsidRDefault="00062BB6" w:rsidP="00BE75C5">
            <w:pPr>
              <w:rPr>
                <w:rFonts w:cstheme="minorHAnsi"/>
              </w:rPr>
            </w:pPr>
            <w:r w:rsidRPr="00A847B7">
              <w:rPr>
                <w:rFonts w:cstheme="minorHAnsi"/>
              </w:rPr>
              <w:t xml:space="preserve">91 </w:t>
            </w:r>
          </w:p>
        </w:tc>
        <w:tc>
          <w:tcPr>
            <w:tcW w:w="2616" w:type="dxa"/>
          </w:tcPr>
          <w:p w14:paraId="4BEE4171" w14:textId="77777777" w:rsidR="00062BB6" w:rsidRPr="00A847B7" w:rsidRDefault="00062BB6" w:rsidP="00BE75C5">
            <w:pPr>
              <w:rPr>
                <w:rFonts w:cstheme="minorHAnsi"/>
              </w:rPr>
            </w:pPr>
            <w:r w:rsidRPr="00A847B7">
              <w:rPr>
                <w:rFonts w:cstheme="minorHAnsi"/>
              </w:rPr>
              <w:t xml:space="preserve">137 </w:t>
            </w:r>
          </w:p>
        </w:tc>
      </w:tr>
      <w:tr w:rsidR="00062BB6" w:rsidRPr="00A847B7" w14:paraId="5C5DD0F1" w14:textId="77777777" w:rsidTr="00394A15">
        <w:trPr>
          <w:trHeight w:val="109"/>
        </w:trPr>
        <w:tc>
          <w:tcPr>
            <w:tcW w:w="2616" w:type="dxa"/>
          </w:tcPr>
          <w:p w14:paraId="634BB2AC" w14:textId="77777777" w:rsidR="00062BB6" w:rsidRPr="00A847B7" w:rsidRDefault="00062BB6" w:rsidP="00BE75C5">
            <w:pPr>
              <w:rPr>
                <w:rFonts w:cstheme="minorHAnsi"/>
              </w:rPr>
            </w:pPr>
            <w:r w:rsidRPr="00A847B7">
              <w:rPr>
                <w:rFonts w:cstheme="minorHAnsi"/>
              </w:rPr>
              <w:t xml:space="preserve">92 </w:t>
            </w:r>
          </w:p>
        </w:tc>
        <w:tc>
          <w:tcPr>
            <w:tcW w:w="2616" w:type="dxa"/>
          </w:tcPr>
          <w:p w14:paraId="6A125543" w14:textId="77777777" w:rsidR="00062BB6" w:rsidRPr="00A847B7" w:rsidRDefault="00062BB6" w:rsidP="00BE75C5">
            <w:pPr>
              <w:rPr>
                <w:rFonts w:cstheme="minorHAnsi"/>
              </w:rPr>
            </w:pPr>
            <w:r w:rsidRPr="00A847B7">
              <w:rPr>
                <w:rFonts w:cstheme="minorHAnsi"/>
              </w:rPr>
              <w:t xml:space="preserve">138 </w:t>
            </w:r>
          </w:p>
        </w:tc>
      </w:tr>
      <w:tr w:rsidR="00062BB6" w:rsidRPr="00A847B7" w14:paraId="18C53556" w14:textId="77777777" w:rsidTr="00394A15">
        <w:trPr>
          <w:trHeight w:val="109"/>
        </w:trPr>
        <w:tc>
          <w:tcPr>
            <w:tcW w:w="2616" w:type="dxa"/>
          </w:tcPr>
          <w:p w14:paraId="16259315" w14:textId="77777777" w:rsidR="00062BB6" w:rsidRPr="00A847B7" w:rsidRDefault="00062BB6" w:rsidP="00BE75C5">
            <w:pPr>
              <w:rPr>
                <w:rFonts w:cstheme="minorHAnsi"/>
              </w:rPr>
            </w:pPr>
            <w:r w:rsidRPr="00A847B7">
              <w:rPr>
                <w:rFonts w:cstheme="minorHAnsi"/>
              </w:rPr>
              <w:t xml:space="preserve">93 </w:t>
            </w:r>
          </w:p>
        </w:tc>
        <w:tc>
          <w:tcPr>
            <w:tcW w:w="2616" w:type="dxa"/>
          </w:tcPr>
          <w:p w14:paraId="3A8844D3" w14:textId="77777777" w:rsidR="00062BB6" w:rsidRPr="00A847B7" w:rsidRDefault="00062BB6" w:rsidP="00BE75C5">
            <w:pPr>
              <w:rPr>
                <w:rFonts w:cstheme="minorHAnsi"/>
              </w:rPr>
            </w:pPr>
            <w:r w:rsidRPr="00A847B7">
              <w:rPr>
                <w:rFonts w:cstheme="minorHAnsi"/>
              </w:rPr>
              <w:t xml:space="preserve">140 </w:t>
            </w:r>
          </w:p>
        </w:tc>
      </w:tr>
      <w:tr w:rsidR="00062BB6" w:rsidRPr="00A847B7" w14:paraId="75D081FC" w14:textId="77777777" w:rsidTr="00394A15">
        <w:trPr>
          <w:trHeight w:val="109"/>
        </w:trPr>
        <w:tc>
          <w:tcPr>
            <w:tcW w:w="2616" w:type="dxa"/>
          </w:tcPr>
          <w:p w14:paraId="609BE02F" w14:textId="77777777" w:rsidR="00062BB6" w:rsidRPr="00A847B7" w:rsidRDefault="00062BB6" w:rsidP="00BE75C5">
            <w:pPr>
              <w:rPr>
                <w:rFonts w:cstheme="minorHAnsi"/>
              </w:rPr>
            </w:pPr>
            <w:r w:rsidRPr="00A847B7">
              <w:rPr>
                <w:rFonts w:cstheme="minorHAnsi"/>
              </w:rPr>
              <w:t xml:space="preserve">94 </w:t>
            </w:r>
          </w:p>
        </w:tc>
        <w:tc>
          <w:tcPr>
            <w:tcW w:w="2616" w:type="dxa"/>
          </w:tcPr>
          <w:p w14:paraId="56F450E7" w14:textId="77777777" w:rsidR="00062BB6" w:rsidRPr="00A847B7" w:rsidRDefault="00062BB6" w:rsidP="00BE75C5">
            <w:pPr>
              <w:rPr>
                <w:rFonts w:cstheme="minorHAnsi"/>
              </w:rPr>
            </w:pPr>
            <w:r w:rsidRPr="00A847B7">
              <w:rPr>
                <w:rFonts w:cstheme="minorHAnsi"/>
              </w:rPr>
              <w:t xml:space="preserve">141 </w:t>
            </w:r>
          </w:p>
        </w:tc>
      </w:tr>
      <w:tr w:rsidR="00062BB6" w:rsidRPr="00A847B7" w14:paraId="0C4432A6" w14:textId="77777777" w:rsidTr="00394A15">
        <w:trPr>
          <w:trHeight w:val="109"/>
        </w:trPr>
        <w:tc>
          <w:tcPr>
            <w:tcW w:w="2616" w:type="dxa"/>
          </w:tcPr>
          <w:p w14:paraId="5B17991B" w14:textId="77777777" w:rsidR="00062BB6" w:rsidRPr="00A847B7" w:rsidRDefault="00062BB6" w:rsidP="00BE75C5">
            <w:pPr>
              <w:rPr>
                <w:rFonts w:cstheme="minorHAnsi"/>
              </w:rPr>
            </w:pPr>
            <w:r w:rsidRPr="00A847B7">
              <w:rPr>
                <w:rFonts w:cstheme="minorHAnsi"/>
              </w:rPr>
              <w:t xml:space="preserve">95 </w:t>
            </w:r>
          </w:p>
        </w:tc>
        <w:tc>
          <w:tcPr>
            <w:tcW w:w="2616" w:type="dxa"/>
          </w:tcPr>
          <w:p w14:paraId="335984B0" w14:textId="77777777" w:rsidR="00062BB6" w:rsidRPr="00A847B7" w:rsidRDefault="00062BB6" w:rsidP="00BE75C5">
            <w:pPr>
              <w:rPr>
                <w:rFonts w:cstheme="minorHAnsi"/>
              </w:rPr>
            </w:pPr>
            <w:r w:rsidRPr="00A847B7">
              <w:rPr>
                <w:rFonts w:cstheme="minorHAnsi"/>
              </w:rPr>
              <w:t xml:space="preserve">143 </w:t>
            </w:r>
          </w:p>
        </w:tc>
      </w:tr>
      <w:tr w:rsidR="00392D0C" w:rsidRPr="00A847B7" w14:paraId="0C496CB2" w14:textId="77777777" w:rsidTr="00394A15">
        <w:trPr>
          <w:trHeight w:val="109"/>
        </w:trPr>
        <w:tc>
          <w:tcPr>
            <w:tcW w:w="2616" w:type="dxa"/>
          </w:tcPr>
          <w:p w14:paraId="67CB48AE" w14:textId="77777777" w:rsidR="00392D0C" w:rsidRPr="00A847B7" w:rsidRDefault="00392D0C" w:rsidP="00BE75C5">
            <w:pPr>
              <w:rPr>
                <w:rFonts w:cstheme="minorHAnsi"/>
              </w:rPr>
            </w:pPr>
            <w:r w:rsidRPr="00A847B7">
              <w:rPr>
                <w:rFonts w:cstheme="minorHAnsi"/>
              </w:rPr>
              <w:t xml:space="preserve">96 </w:t>
            </w:r>
          </w:p>
        </w:tc>
        <w:tc>
          <w:tcPr>
            <w:tcW w:w="2616" w:type="dxa"/>
          </w:tcPr>
          <w:p w14:paraId="7CB0235C" w14:textId="77777777" w:rsidR="00392D0C" w:rsidRPr="00A847B7" w:rsidRDefault="00392D0C" w:rsidP="00BE75C5">
            <w:pPr>
              <w:rPr>
                <w:rFonts w:cstheme="minorHAnsi"/>
              </w:rPr>
            </w:pPr>
            <w:r w:rsidRPr="00A847B7">
              <w:rPr>
                <w:rFonts w:cstheme="minorHAnsi"/>
              </w:rPr>
              <w:t xml:space="preserve">144 </w:t>
            </w:r>
          </w:p>
        </w:tc>
      </w:tr>
      <w:tr w:rsidR="00392D0C" w:rsidRPr="00A847B7" w14:paraId="04F4D2AF" w14:textId="77777777" w:rsidTr="00394A15">
        <w:trPr>
          <w:trHeight w:val="109"/>
        </w:trPr>
        <w:tc>
          <w:tcPr>
            <w:tcW w:w="2616" w:type="dxa"/>
          </w:tcPr>
          <w:p w14:paraId="77DBAE45" w14:textId="77777777" w:rsidR="00392D0C" w:rsidRPr="00A847B7" w:rsidRDefault="00392D0C" w:rsidP="00BE75C5">
            <w:pPr>
              <w:rPr>
                <w:rFonts w:cstheme="minorHAnsi"/>
              </w:rPr>
            </w:pPr>
            <w:r w:rsidRPr="00A847B7">
              <w:rPr>
                <w:rFonts w:cstheme="minorHAnsi"/>
              </w:rPr>
              <w:t xml:space="preserve">97 </w:t>
            </w:r>
          </w:p>
        </w:tc>
        <w:tc>
          <w:tcPr>
            <w:tcW w:w="2616" w:type="dxa"/>
          </w:tcPr>
          <w:p w14:paraId="41B98374" w14:textId="77777777" w:rsidR="00392D0C" w:rsidRPr="00A847B7" w:rsidRDefault="00392D0C" w:rsidP="00BE75C5">
            <w:pPr>
              <w:rPr>
                <w:rFonts w:cstheme="minorHAnsi"/>
              </w:rPr>
            </w:pPr>
            <w:r w:rsidRPr="00A847B7">
              <w:rPr>
                <w:rFonts w:cstheme="minorHAnsi"/>
              </w:rPr>
              <w:t xml:space="preserve">146 </w:t>
            </w:r>
          </w:p>
        </w:tc>
      </w:tr>
      <w:tr w:rsidR="00392D0C" w:rsidRPr="00A847B7" w14:paraId="4F7931B1" w14:textId="77777777" w:rsidTr="00394A15">
        <w:trPr>
          <w:trHeight w:val="109"/>
        </w:trPr>
        <w:tc>
          <w:tcPr>
            <w:tcW w:w="2616" w:type="dxa"/>
          </w:tcPr>
          <w:p w14:paraId="3F433960" w14:textId="77777777" w:rsidR="00392D0C" w:rsidRPr="00A847B7" w:rsidRDefault="00392D0C" w:rsidP="00BE75C5">
            <w:pPr>
              <w:rPr>
                <w:rFonts w:cstheme="minorHAnsi"/>
              </w:rPr>
            </w:pPr>
            <w:r w:rsidRPr="00A847B7">
              <w:rPr>
                <w:rFonts w:cstheme="minorHAnsi"/>
              </w:rPr>
              <w:lastRenderedPageBreak/>
              <w:t xml:space="preserve">98 </w:t>
            </w:r>
          </w:p>
        </w:tc>
        <w:tc>
          <w:tcPr>
            <w:tcW w:w="2616" w:type="dxa"/>
          </w:tcPr>
          <w:p w14:paraId="10FCDB63" w14:textId="77777777" w:rsidR="00392D0C" w:rsidRPr="00A847B7" w:rsidRDefault="00392D0C" w:rsidP="00BE75C5">
            <w:pPr>
              <w:rPr>
                <w:rFonts w:cstheme="minorHAnsi"/>
              </w:rPr>
            </w:pPr>
            <w:r w:rsidRPr="00A847B7">
              <w:rPr>
                <w:rFonts w:cstheme="minorHAnsi"/>
              </w:rPr>
              <w:t xml:space="preserve">147 </w:t>
            </w:r>
          </w:p>
        </w:tc>
      </w:tr>
      <w:tr w:rsidR="00392D0C" w:rsidRPr="00A847B7" w14:paraId="473B924A" w14:textId="77777777" w:rsidTr="00394A15">
        <w:trPr>
          <w:trHeight w:val="109"/>
        </w:trPr>
        <w:tc>
          <w:tcPr>
            <w:tcW w:w="2616" w:type="dxa"/>
          </w:tcPr>
          <w:p w14:paraId="77742D23" w14:textId="77777777" w:rsidR="00392D0C" w:rsidRPr="00A847B7" w:rsidRDefault="00392D0C" w:rsidP="00BE75C5">
            <w:pPr>
              <w:rPr>
                <w:rFonts w:cstheme="minorHAnsi"/>
              </w:rPr>
            </w:pPr>
            <w:r w:rsidRPr="00A847B7">
              <w:rPr>
                <w:rFonts w:cstheme="minorHAnsi"/>
              </w:rPr>
              <w:t xml:space="preserve">99 </w:t>
            </w:r>
          </w:p>
        </w:tc>
        <w:tc>
          <w:tcPr>
            <w:tcW w:w="2616" w:type="dxa"/>
          </w:tcPr>
          <w:p w14:paraId="3EF48FC0" w14:textId="77777777" w:rsidR="00392D0C" w:rsidRPr="00A847B7" w:rsidRDefault="00392D0C" w:rsidP="00BE75C5">
            <w:pPr>
              <w:rPr>
                <w:rFonts w:cstheme="minorHAnsi"/>
              </w:rPr>
            </w:pPr>
            <w:r w:rsidRPr="00A847B7">
              <w:rPr>
                <w:rFonts w:cstheme="minorHAnsi"/>
              </w:rPr>
              <w:t xml:space="preserve">149 </w:t>
            </w:r>
          </w:p>
        </w:tc>
      </w:tr>
      <w:tr w:rsidR="00392D0C" w:rsidRPr="00A847B7" w14:paraId="1E20CFBE" w14:textId="77777777" w:rsidTr="00394A15">
        <w:trPr>
          <w:trHeight w:val="109"/>
        </w:trPr>
        <w:tc>
          <w:tcPr>
            <w:tcW w:w="2616" w:type="dxa"/>
          </w:tcPr>
          <w:p w14:paraId="5367FD0B" w14:textId="77777777" w:rsidR="00392D0C" w:rsidRPr="00A847B7" w:rsidRDefault="00392D0C" w:rsidP="00BE75C5">
            <w:pPr>
              <w:rPr>
                <w:rFonts w:cstheme="minorHAnsi"/>
              </w:rPr>
            </w:pPr>
            <w:r w:rsidRPr="00A847B7">
              <w:rPr>
                <w:rFonts w:cstheme="minorHAnsi"/>
              </w:rPr>
              <w:t xml:space="preserve">100 </w:t>
            </w:r>
          </w:p>
        </w:tc>
        <w:tc>
          <w:tcPr>
            <w:tcW w:w="2616" w:type="dxa"/>
          </w:tcPr>
          <w:p w14:paraId="576378DE" w14:textId="77777777" w:rsidR="00392D0C" w:rsidRPr="00A847B7" w:rsidRDefault="00392D0C" w:rsidP="00BE75C5">
            <w:pPr>
              <w:rPr>
                <w:rFonts w:cstheme="minorHAnsi"/>
              </w:rPr>
            </w:pPr>
            <w:r w:rsidRPr="00A847B7">
              <w:rPr>
                <w:rFonts w:cstheme="minorHAnsi"/>
              </w:rPr>
              <w:t xml:space="preserve">150 </w:t>
            </w:r>
          </w:p>
        </w:tc>
      </w:tr>
      <w:tr w:rsidR="00392D0C" w:rsidRPr="00A847B7" w14:paraId="17DF0887" w14:textId="77777777" w:rsidTr="00394A15">
        <w:trPr>
          <w:trHeight w:val="109"/>
        </w:trPr>
        <w:tc>
          <w:tcPr>
            <w:tcW w:w="2616" w:type="dxa"/>
          </w:tcPr>
          <w:p w14:paraId="6BCE5F7F" w14:textId="77777777" w:rsidR="00392D0C" w:rsidRPr="00A847B7" w:rsidRDefault="00392D0C" w:rsidP="00BE75C5">
            <w:pPr>
              <w:rPr>
                <w:rFonts w:cstheme="minorHAnsi"/>
              </w:rPr>
            </w:pPr>
            <w:r w:rsidRPr="00A847B7">
              <w:rPr>
                <w:rFonts w:cstheme="minorHAnsi"/>
              </w:rPr>
              <w:t xml:space="preserve">101 </w:t>
            </w:r>
          </w:p>
        </w:tc>
        <w:tc>
          <w:tcPr>
            <w:tcW w:w="2616" w:type="dxa"/>
          </w:tcPr>
          <w:p w14:paraId="6732832B" w14:textId="77777777" w:rsidR="00392D0C" w:rsidRPr="00A847B7" w:rsidRDefault="00392D0C" w:rsidP="00BE75C5">
            <w:pPr>
              <w:rPr>
                <w:rFonts w:cstheme="minorHAnsi"/>
              </w:rPr>
            </w:pPr>
            <w:r w:rsidRPr="00A847B7">
              <w:rPr>
                <w:rFonts w:cstheme="minorHAnsi"/>
              </w:rPr>
              <w:t xml:space="preserve">162 </w:t>
            </w:r>
          </w:p>
        </w:tc>
      </w:tr>
      <w:tr w:rsidR="00392D0C" w:rsidRPr="00A847B7" w14:paraId="2924FEE9" w14:textId="77777777" w:rsidTr="00394A15">
        <w:trPr>
          <w:trHeight w:val="109"/>
        </w:trPr>
        <w:tc>
          <w:tcPr>
            <w:tcW w:w="2616" w:type="dxa"/>
          </w:tcPr>
          <w:p w14:paraId="6256D8D7" w14:textId="77777777" w:rsidR="00392D0C" w:rsidRPr="00A847B7" w:rsidRDefault="00392D0C" w:rsidP="00BE75C5">
            <w:pPr>
              <w:rPr>
                <w:rFonts w:cstheme="minorHAnsi"/>
              </w:rPr>
            </w:pPr>
            <w:r w:rsidRPr="00A847B7">
              <w:rPr>
                <w:rFonts w:cstheme="minorHAnsi"/>
              </w:rPr>
              <w:t xml:space="preserve">102 </w:t>
            </w:r>
          </w:p>
        </w:tc>
        <w:tc>
          <w:tcPr>
            <w:tcW w:w="2616" w:type="dxa"/>
          </w:tcPr>
          <w:p w14:paraId="38C999FB" w14:textId="77777777" w:rsidR="00392D0C" w:rsidRPr="00A847B7" w:rsidRDefault="00392D0C" w:rsidP="00BE75C5">
            <w:pPr>
              <w:rPr>
                <w:rFonts w:cstheme="minorHAnsi"/>
              </w:rPr>
            </w:pPr>
            <w:r w:rsidRPr="00A847B7">
              <w:rPr>
                <w:rFonts w:cstheme="minorHAnsi"/>
              </w:rPr>
              <w:t xml:space="preserve">163 </w:t>
            </w:r>
          </w:p>
        </w:tc>
      </w:tr>
      <w:tr w:rsidR="00392D0C" w:rsidRPr="00A847B7" w14:paraId="0512543D" w14:textId="77777777" w:rsidTr="00394A15">
        <w:trPr>
          <w:trHeight w:val="109"/>
        </w:trPr>
        <w:tc>
          <w:tcPr>
            <w:tcW w:w="2616" w:type="dxa"/>
          </w:tcPr>
          <w:p w14:paraId="0B540A7D" w14:textId="77777777" w:rsidR="00392D0C" w:rsidRPr="00A847B7" w:rsidRDefault="00392D0C" w:rsidP="00BE75C5">
            <w:pPr>
              <w:rPr>
                <w:rFonts w:cstheme="minorHAnsi"/>
              </w:rPr>
            </w:pPr>
            <w:r w:rsidRPr="00A847B7">
              <w:rPr>
                <w:rFonts w:cstheme="minorHAnsi"/>
              </w:rPr>
              <w:t xml:space="preserve">103 </w:t>
            </w:r>
          </w:p>
        </w:tc>
        <w:tc>
          <w:tcPr>
            <w:tcW w:w="2616" w:type="dxa"/>
          </w:tcPr>
          <w:p w14:paraId="322308B8" w14:textId="77777777" w:rsidR="00392D0C" w:rsidRPr="00A847B7" w:rsidRDefault="00392D0C" w:rsidP="00BE75C5">
            <w:pPr>
              <w:rPr>
                <w:rFonts w:cstheme="minorHAnsi"/>
              </w:rPr>
            </w:pPr>
            <w:r w:rsidRPr="00A847B7">
              <w:rPr>
                <w:rFonts w:cstheme="minorHAnsi"/>
              </w:rPr>
              <w:t xml:space="preserve">165 </w:t>
            </w:r>
          </w:p>
        </w:tc>
      </w:tr>
      <w:tr w:rsidR="00392D0C" w:rsidRPr="00A847B7" w14:paraId="2E24B9CE" w14:textId="77777777" w:rsidTr="00394A15">
        <w:trPr>
          <w:trHeight w:val="109"/>
        </w:trPr>
        <w:tc>
          <w:tcPr>
            <w:tcW w:w="2616" w:type="dxa"/>
          </w:tcPr>
          <w:p w14:paraId="2B365006" w14:textId="77777777" w:rsidR="00392D0C" w:rsidRPr="00A847B7" w:rsidRDefault="00392D0C" w:rsidP="00BE75C5">
            <w:pPr>
              <w:rPr>
                <w:rFonts w:cstheme="minorHAnsi"/>
              </w:rPr>
            </w:pPr>
            <w:r w:rsidRPr="00A847B7">
              <w:rPr>
                <w:rFonts w:cstheme="minorHAnsi"/>
              </w:rPr>
              <w:t xml:space="preserve">104 </w:t>
            </w:r>
          </w:p>
        </w:tc>
        <w:tc>
          <w:tcPr>
            <w:tcW w:w="2616" w:type="dxa"/>
          </w:tcPr>
          <w:p w14:paraId="5DA8C1EE" w14:textId="77777777" w:rsidR="00392D0C" w:rsidRPr="00A847B7" w:rsidRDefault="00392D0C" w:rsidP="00BE75C5">
            <w:pPr>
              <w:rPr>
                <w:rFonts w:cstheme="minorHAnsi"/>
              </w:rPr>
            </w:pPr>
            <w:r w:rsidRPr="00A847B7">
              <w:rPr>
                <w:rFonts w:cstheme="minorHAnsi"/>
              </w:rPr>
              <w:t xml:space="preserve">166 </w:t>
            </w:r>
          </w:p>
        </w:tc>
      </w:tr>
      <w:tr w:rsidR="00392D0C" w:rsidRPr="00A847B7" w14:paraId="1FD9FC69" w14:textId="77777777" w:rsidTr="00394A15">
        <w:trPr>
          <w:trHeight w:val="109"/>
        </w:trPr>
        <w:tc>
          <w:tcPr>
            <w:tcW w:w="2616" w:type="dxa"/>
          </w:tcPr>
          <w:p w14:paraId="51F8CE5B" w14:textId="77777777" w:rsidR="00392D0C" w:rsidRPr="00A847B7" w:rsidRDefault="00392D0C" w:rsidP="00BE75C5">
            <w:pPr>
              <w:rPr>
                <w:rFonts w:cstheme="minorHAnsi"/>
              </w:rPr>
            </w:pPr>
            <w:r w:rsidRPr="00A847B7">
              <w:rPr>
                <w:rFonts w:cstheme="minorHAnsi"/>
              </w:rPr>
              <w:t xml:space="preserve">105 </w:t>
            </w:r>
          </w:p>
        </w:tc>
        <w:tc>
          <w:tcPr>
            <w:tcW w:w="2616" w:type="dxa"/>
          </w:tcPr>
          <w:p w14:paraId="51114D94" w14:textId="77777777" w:rsidR="00392D0C" w:rsidRPr="00A847B7" w:rsidRDefault="00392D0C" w:rsidP="00BE75C5">
            <w:pPr>
              <w:rPr>
                <w:rFonts w:cstheme="minorHAnsi"/>
              </w:rPr>
            </w:pPr>
            <w:r w:rsidRPr="00A847B7">
              <w:rPr>
                <w:rFonts w:cstheme="minorHAnsi"/>
              </w:rPr>
              <w:t xml:space="preserve">168 </w:t>
            </w:r>
          </w:p>
        </w:tc>
      </w:tr>
      <w:tr w:rsidR="00392D0C" w:rsidRPr="00A847B7" w14:paraId="50F7CB46" w14:textId="77777777" w:rsidTr="00394A15">
        <w:trPr>
          <w:trHeight w:val="109"/>
        </w:trPr>
        <w:tc>
          <w:tcPr>
            <w:tcW w:w="2616" w:type="dxa"/>
          </w:tcPr>
          <w:p w14:paraId="08B5133A" w14:textId="77777777" w:rsidR="00392D0C" w:rsidRPr="00A847B7" w:rsidRDefault="00392D0C" w:rsidP="00BE75C5">
            <w:pPr>
              <w:rPr>
                <w:rFonts w:cstheme="minorHAnsi"/>
              </w:rPr>
            </w:pPr>
            <w:r w:rsidRPr="00A847B7">
              <w:rPr>
                <w:rFonts w:cstheme="minorHAnsi"/>
              </w:rPr>
              <w:t xml:space="preserve">106 </w:t>
            </w:r>
          </w:p>
        </w:tc>
        <w:tc>
          <w:tcPr>
            <w:tcW w:w="2616" w:type="dxa"/>
          </w:tcPr>
          <w:p w14:paraId="25AF4BB3" w14:textId="77777777" w:rsidR="00392D0C" w:rsidRPr="00A847B7" w:rsidRDefault="00392D0C" w:rsidP="00BE75C5">
            <w:pPr>
              <w:rPr>
                <w:rFonts w:cstheme="minorHAnsi"/>
              </w:rPr>
            </w:pPr>
            <w:r w:rsidRPr="00A847B7">
              <w:rPr>
                <w:rFonts w:cstheme="minorHAnsi"/>
              </w:rPr>
              <w:t xml:space="preserve">170 </w:t>
            </w:r>
          </w:p>
        </w:tc>
      </w:tr>
      <w:tr w:rsidR="00392D0C" w:rsidRPr="00A847B7" w14:paraId="5097FEBB" w14:textId="77777777" w:rsidTr="00394A15">
        <w:trPr>
          <w:trHeight w:val="109"/>
        </w:trPr>
        <w:tc>
          <w:tcPr>
            <w:tcW w:w="2616" w:type="dxa"/>
          </w:tcPr>
          <w:p w14:paraId="4D3E0D94" w14:textId="77777777" w:rsidR="00392D0C" w:rsidRPr="00A847B7" w:rsidRDefault="00392D0C" w:rsidP="00BE75C5">
            <w:pPr>
              <w:rPr>
                <w:rFonts w:cstheme="minorHAnsi"/>
              </w:rPr>
            </w:pPr>
            <w:r w:rsidRPr="00A847B7">
              <w:rPr>
                <w:rFonts w:cstheme="minorHAnsi"/>
              </w:rPr>
              <w:t xml:space="preserve">107 </w:t>
            </w:r>
          </w:p>
        </w:tc>
        <w:tc>
          <w:tcPr>
            <w:tcW w:w="2616" w:type="dxa"/>
          </w:tcPr>
          <w:p w14:paraId="609BB5BD" w14:textId="77777777" w:rsidR="00392D0C" w:rsidRPr="00A847B7" w:rsidRDefault="00392D0C" w:rsidP="00BE75C5">
            <w:pPr>
              <w:rPr>
                <w:rFonts w:cstheme="minorHAnsi"/>
              </w:rPr>
            </w:pPr>
            <w:r w:rsidRPr="00A847B7">
              <w:rPr>
                <w:rFonts w:cstheme="minorHAnsi"/>
              </w:rPr>
              <w:t xml:space="preserve">171 </w:t>
            </w:r>
          </w:p>
        </w:tc>
      </w:tr>
      <w:tr w:rsidR="00392D0C" w:rsidRPr="00A847B7" w14:paraId="51C0EDD0" w14:textId="77777777" w:rsidTr="00394A15">
        <w:trPr>
          <w:trHeight w:val="109"/>
        </w:trPr>
        <w:tc>
          <w:tcPr>
            <w:tcW w:w="2616" w:type="dxa"/>
          </w:tcPr>
          <w:p w14:paraId="72143B6D" w14:textId="77777777" w:rsidR="00392D0C" w:rsidRPr="00A847B7" w:rsidRDefault="00392D0C" w:rsidP="00BE75C5">
            <w:pPr>
              <w:rPr>
                <w:rFonts w:cstheme="minorHAnsi"/>
              </w:rPr>
            </w:pPr>
            <w:r w:rsidRPr="00A847B7">
              <w:rPr>
                <w:rFonts w:cstheme="minorHAnsi"/>
              </w:rPr>
              <w:t xml:space="preserve">108 </w:t>
            </w:r>
          </w:p>
        </w:tc>
        <w:tc>
          <w:tcPr>
            <w:tcW w:w="2616" w:type="dxa"/>
          </w:tcPr>
          <w:p w14:paraId="0D38A93B" w14:textId="77777777" w:rsidR="00392D0C" w:rsidRPr="00A847B7" w:rsidRDefault="00392D0C" w:rsidP="00BE75C5">
            <w:pPr>
              <w:rPr>
                <w:rFonts w:cstheme="minorHAnsi"/>
              </w:rPr>
            </w:pPr>
            <w:r w:rsidRPr="00A847B7">
              <w:rPr>
                <w:rFonts w:cstheme="minorHAnsi"/>
              </w:rPr>
              <w:t xml:space="preserve">173 </w:t>
            </w:r>
          </w:p>
        </w:tc>
      </w:tr>
      <w:tr w:rsidR="00392D0C" w:rsidRPr="00A847B7" w14:paraId="77122D8C" w14:textId="77777777" w:rsidTr="00394A15">
        <w:trPr>
          <w:trHeight w:val="109"/>
        </w:trPr>
        <w:tc>
          <w:tcPr>
            <w:tcW w:w="2616" w:type="dxa"/>
          </w:tcPr>
          <w:p w14:paraId="717012EF" w14:textId="77777777" w:rsidR="00392D0C" w:rsidRPr="00A847B7" w:rsidRDefault="00392D0C" w:rsidP="00BE75C5">
            <w:pPr>
              <w:rPr>
                <w:rFonts w:cstheme="minorHAnsi"/>
              </w:rPr>
            </w:pPr>
            <w:r w:rsidRPr="00A847B7">
              <w:rPr>
                <w:rFonts w:cstheme="minorHAnsi"/>
              </w:rPr>
              <w:t xml:space="preserve">109 </w:t>
            </w:r>
          </w:p>
        </w:tc>
        <w:tc>
          <w:tcPr>
            <w:tcW w:w="2616" w:type="dxa"/>
          </w:tcPr>
          <w:p w14:paraId="73935AE0" w14:textId="77777777" w:rsidR="00392D0C" w:rsidRPr="00A847B7" w:rsidRDefault="00392D0C" w:rsidP="00BE75C5">
            <w:pPr>
              <w:rPr>
                <w:rFonts w:cstheme="minorHAnsi"/>
              </w:rPr>
            </w:pPr>
            <w:r w:rsidRPr="00A847B7">
              <w:rPr>
                <w:rFonts w:cstheme="minorHAnsi"/>
              </w:rPr>
              <w:t xml:space="preserve">174 </w:t>
            </w:r>
          </w:p>
        </w:tc>
      </w:tr>
      <w:tr w:rsidR="00392D0C" w:rsidRPr="00A847B7" w14:paraId="35F55BA4" w14:textId="77777777" w:rsidTr="00394A15">
        <w:trPr>
          <w:trHeight w:val="109"/>
        </w:trPr>
        <w:tc>
          <w:tcPr>
            <w:tcW w:w="2616" w:type="dxa"/>
          </w:tcPr>
          <w:p w14:paraId="0F6A3C8A" w14:textId="77777777" w:rsidR="00392D0C" w:rsidRPr="00A847B7" w:rsidRDefault="00392D0C" w:rsidP="00BE75C5">
            <w:pPr>
              <w:rPr>
                <w:rFonts w:cstheme="minorHAnsi"/>
              </w:rPr>
            </w:pPr>
            <w:r w:rsidRPr="00A847B7">
              <w:rPr>
                <w:rFonts w:cstheme="minorHAnsi"/>
              </w:rPr>
              <w:t xml:space="preserve">110 </w:t>
            </w:r>
          </w:p>
        </w:tc>
        <w:tc>
          <w:tcPr>
            <w:tcW w:w="2616" w:type="dxa"/>
          </w:tcPr>
          <w:p w14:paraId="79A1242A" w14:textId="77777777" w:rsidR="00392D0C" w:rsidRPr="00A847B7" w:rsidRDefault="00392D0C" w:rsidP="00BE75C5">
            <w:pPr>
              <w:rPr>
                <w:rFonts w:cstheme="minorHAnsi"/>
              </w:rPr>
            </w:pPr>
            <w:r w:rsidRPr="00A847B7">
              <w:rPr>
                <w:rFonts w:cstheme="minorHAnsi"/>
              </w:rPr>
              <w:t xml:space="preserve">176 </w:t>
            </w:r>
          </w:p>
        </w:tc>
      </w:tr>
      <w:tr w:rsidR="00392D0C" w:rsidRPr="00A847B7" w14:paraId="249A4E91" w14:textId="77777777" w:rsidTr="00394A15">
        <w:trPr>
          <w:trHeight w:val="109"/>
        </w:trPr>
        <w:tc>
          <w:tcPr>
            <w:tcW w:w="2616" w:type="dxa"/>
          </w:tcPr>
          <w:p w14:paraId="20C96A23" w14:textId="77777777" w:rsidR="00392D0C" w:rsidRPr="00A847B7" w:rsidRDefault="00392D0C" w:rsidP="00BE75C5">
            <w:pPr>
              <w:rPr>
                <w:rFonts w:cstheme="minorHAnsi"/>
              </w:rPr>
            </w:pPr>
            <w:r w:rsidRPr="00A847B7">
              <w:rPr>
                <w:rFonts w:cstheme="minorHAnsi"/>
              </w:rPr>
              <w:t xml:space="preserve">111 </w:t>
            </w:r>
          </w:p>
        </w:tc>
        <w:tc>
          <w:tcPr>
            <w:tcW w:w="2616" w:type="dxa"/>
          </w:tcPr>
          <w:p w14:paraId="69F98619" w14:textId="77777777" w:rsidR="00392D0C" w:rsidRPr="00A847B7" w:rsidRDefault="00392D0C" w:rsidP="00BE75C5">
            <w:pPr>
              <w:rPr>
                <w:rFonts w:cstheme="minorHAnsi"/>
              </w:rPr>
            </w:pPr>
            <w:r w:rsidRPr="00A847B7">
              <w:rPr>
                <w:rFonts w:cstheme="minorHAnsi"/>
              </w:rPr>
              <w:t xml:space="preserve">178 </w:t>
            </w:r>
          </w:p>
        </w:tc>
      </w:tr>
      <w:tr w:rsidR="00392D0C" w:rsidRPr="00A847B7" w14:paraId="6984F2E4" w14:textId="77777777" w:rsidTr="00394A15">
        <w:trPr>
          <w:trHeight w:val="109"/>
        </w:trPr>
        <w:tc>
          <w:tcPr>
            <w:tcW w:w="2616" w:type="dxa"/>
          </w:tcPr>
          <w:p w14:paraId="4EC4D037" w14:textId="77777777" w:rsidR="00392D0C" w:rsidRPr="00A847B7" w:rsidRDefault="00392D0C" w:rsidP="00BE75C5">
            <w:pPr>
              <w:rPr>
                <w:rFonts w:cstheme="minorHAnsi"/>
              </w:rPr>
            </w:pPr>
            <w:r w:rsidRPr="00A847B7">
              <w:rPr>
                <w:rFonts w:cstheme="minorHAnsi"/>
              </w:rPr>
              <w:t xml:space="preserve">112 </w:t>
            </w:r>
          </w:p>
        </w:tc>
        <w:tc>
          <w:tcPr>
            <w:tcW w:w="2616" w:type="dxa"/>
          </w:tcPr>
          <w:p w14:paraId="6F74A904" w14:textId="77777777" w:rsidR="00392D0C" w:rsidRPr="00A847B7" w:rsidRDefault="00392D0C" w:rsidP="00BE75C5">
            <w:pPr>
              <w:rPr>
                <w:rFonts w:cstheme="minorHAnsi"/>
              </w:rPr>
            </w:pPr>
            <w:r w:rsidRPr="00A847B7">
              <w:rPr>
                <w:rFonts w:cstheme="minorHAnsi"/>
              </w:rPr>
              <w:t xml:space="preserve">179 </w:t>
            </w:r>
          </w:p>
        </w:tc>
      </w:tr>
      <w:tr w:rsidR="00392D0C" w:rsidRPr="00A847B7" w14:paraId="67F118D4" w14:textId="77777777" w:rsidTr="00394A15">
        <w:trPr>
          <w:trHeight w:val="109"/>
        </w:trPr>
        <w:tc>
          <w:tcPr>
            <w:tcW w:w="2616" w:type="dxa"/>
          </w:tcPr>
          <w:p w14:paraId="2C66F929" w14:textId="77777777" w:rsidR="00392D0C" w:rsidRPr="00A847B7" w:rsidRDefault="00392D0C" w:rsidP="00BE75C5">
            <w:pPr>
              <w:rPr>
                <w:rFonts w:cstheme="minorHAnsi"/>
              </w:rPr>
            </w:pPr>
            <w:r w:rsidRPr="00A847B7">
              <w:rPr>
                <w:rFonts w:cstheme="minorHAnsi"/>
              </w:rPr>
              <w:t xml:space="preserve">113 </w:t>
            </w:r>
          </w:p>
        </w:tc>
        <w:tc>
          <w:tcPr>
            <w:tcW w:w="2616" w:type="dxa"/>
          </w:tcPr>
          <w:p w14:paraId="057155B1" w14:textId="77777777" w:rsidR="00392D0C" w:rsidRPr="00A847B7" w:rsidRDefault="00392D0C" w:rsidP="00BE75C5">
            <w:pPr>
              <w:rPr>
                <w:rFonts w:cstheme="minorHAnsi"/>
              </w:rPr>
            </w:pPr>
            <w:r w:rsidRPr="00A847B7">
              <w:rPr>
                <w:rFonts w:cstheme="minorHAnsi"/>
              </w:rPr>
              <w:t xml:space="preserve">181 </w:t>
            </w:r>
          </w:p>
        </w:tc>
      </w:tr>
      <w:tr w:rsidR="00392D0C" w:rsidRPr="00A847B7" w14:paraId="4B131437" w14:textId="77777777" w:rsidTr="00394A15">
        <w:trPr>
          <w:trHeight w:val="109"/>
        </w:trPr>
        <w:tc>
          <w:tcPr>
            <w:tcW w:w="2616" w:type="dxa"/>
          </w:tcPr>
          <w:p w14:paraId="27525954" w14:textId="77777777" w:rsidR="00392D0C" w:rsidRPr="00A847B7" w:rsidRDefault="00392D0C" w:rsidP="00BE75C5">
            <w:pPr>
              <w:rPr>
                <w:rFonts w:cstheme="minorHAnsi"/>
              </w:rPr>
            </w:pPr>
            <w:r w:rsidRPr="00A847B7">
              <w:rPr>
                <w:rFonts w:cstheme="minorHAnsi"/>
              </w:rPr>
              <w:t xml:space="preserve">114 </w:t>
            </w:r>
          </w:p>
        </w:tc>
        <w:tc>
          <w:tcPr>
            <w:tcW w:w="2616" w:type="dxa"/>
          </w:tcPr>
          <w:p w14:paraId="1D39BCF7" w14:textId="77777777" w:rsidR="00392D0C" w:rsidRPr="00A847B7" w:rsidRDefault="00392D0C" w:rsidP="00BE75C5">
            <w:pPr>
              <w:rPr>
                <w:rFonts w:cstheme="minorHAnsi"/>
              </w:rPr>
            </w:pPr>
            <w:r w:rsidRPr="00A847B7">
              <w:rPr>
                <w:rFonts w:cstheme="minorHAnsi"/>
              </w:rPr>
              <w:t xml:space="preserve">182 </w:t>
            </w:r>
          </w:p>
        </w:tc>
      </w:tr>
      <w:tr w:rsidR="00392D0C" w:rsidRPr="00A847B7" w14:paraId="3567D1AA" w14:textId="77777777" w:rsidTr="00394A15">
        <w:trPr>
          <w:trHeight w:val="109"/>
        </w:trPr>
        <w:tc>
          <w:tcPr>
            <w:tcW w:w="2616" w:type="dxa"/>
          </w:tcPr>
          <w:p w14:paraId="35FB5C92" w14:textId="77777777" w:rsidR="00392D0C" w:rsidRPr="00A847B7" w:rsidRDefault="00392D0C" w:rsidP="00BE75C5">
            <w:pPr>
              <w:rPr>
                <w:rFonts w:cstheme="minorHAnsi"/>
              </w:rPr>
            </w:pPr>
            <w:r w:rsidRPr="00A847B7">
              <w:rPr>
                <w:rFonts w:cstheme="minorHAnsi"/>
              </w:rPr>
              <w:t xml:space="preserve">115 </w:t>
            </w:r>
          </w:p>
        </w:tc>
        <w:tc>
          <w:tcPr>
            <w:tcW w:w="2616" w:type="dxa"/>
          </w:tcPr>
          <w:p w14:paraId="071B17AC" w14:textId="77777777" w:rsidR="00392D0C" w:rsidRPr="00A847B7" w:rsidRDefault="00392D0C" w:rsidP="00BE75C5">
            <w:pPr>
              <w:rPr>
                <w:rFonts w:cstheme="minorHAnsi"/>
              </w:rPr>
            </w:pPr>
            <w:r w:rsidRPr="00A847B7">
              <w:rPr>
                <w:rFonts w:cstheme="minorHAnsi"/>
              </w:rPr>
              <w:t xml:space="preserve">184 </w:t>
            </w:r>
          </w:p>
        </w:tc>
      </w:tr>
      <w:tr w:rsidR="00392D0C" w:rsidRPr="00A847B7" w14:paraId="7D38CB8E" w14:textId="77777777" w:rsidTr="00394A15">
        <w:trPr>
          <w:trHeight w:val="109"/>
        </w:trPr>
        <w:tc>
          <w:tcPr>
            <w:tcW w:w="2616" w:type="dxa"/>
          </w:tcPr>
          <w:p w14:paraId="6AE338BA" w14:textId="77777777" w:rsidR="00392D0C" w:rsidRPr="00A847B7" w:rsidRDefault="00392D0C" w:rsidP="00BE75C5">
            <w:pPr>
              <w:rPr>
                <w:rFonts w:cstheme="minorHAnsi"/>
              </w:rPr>
            </w:pPr>
            <w:r w:rsidRPr="00A847B7">
              <w:rPr>
                <w:rFonts w:cstheme="minorHAnsi"/>
              </w:rPr>
              <w:t xml:space="preserve">116 </w:t>
            </w:r>
          </w:p>
        </w:tc>
        <w:tc>
          <w:tcPr>
            <w:tcW w:w="2616" w:type="dxa"/>
          </w:tcPr>
          <w:p w14:paraId="2A042CD6" w14:textId="77777777" w:rsidR="00392D0C" w:rsidRPr="00A847B7" w:rsidRDefault="00392D0C" w:rsidP="00BE75C5">
            <w:pPr>
              <w:rPr>
                <w:rFonts w:cstheme="minorHAnsi"/>
              </w:rPr>
            </w:pPr>
            <w:r w:rsidRPr="00A847B7">
              <w:rPr>
                <w:rFonts w:cstheme="minorHAnsi"/>
              </w:rPr>
              <w:t xml:space="preserve">186 </w:t>
            </w:r>
          </w:p>
        </w:tc>
      </w:tr>
      <w:tr w:rsidR="00392D0C" w:rsidRPr="00A847B7" w14:paraId="4787FDAD" w14:textId="77777777" w:rsidTr="00394A15">
        <w:trPr>
          <w:trHeight w:val="109"/>
        </w:trPr>
        <w:tc>
          <w:tcPr>
            <w:tcW w:w="2616" w:type="dxa"/>
          </w:tcPr>
          <w:p w14:paraId="06E6012C" w14:textId="77777777" w:rsidR="00392D0C" w:rsidRPr="00A847B7" w:rsidRDefault="00392D0C" w:rsidP="00BE75C5">
            <w:pPr>
              <w:rPr>
                <w:rFonts w:cstheme="minorHAnsi"/>
              </w:rPr>
            </w:pPr>
            <w:r w:rsidRPr="00A847B7">
              <w:rPr>
                <w:rFonts w:cstheme="minorHAnsi"/>
              </w:rPr>
              <w:t xml:space="preserve">117 </w:t>
            </w:r>
          </w:p>
        </w:tc>
        <w:tc>
          <w:tcPr>
            <w:tcW w:w="2616" w:type="dxa"/>
          </w:tcPr>
          <w:p w14:paraId="40C7AEC1" w14:textId="77777777" w:rsidR="00392D0C" w:rsidRPr="00A847B7" w:rsidRDefault="00392D0C" w:rsidP="00BE75C5">
            <w:pPr>
              <w:rPr>
                <w:rFonts w:cstheme="minorHAnsi"/>
              </w:rPr>
            </w:pPr>
            <w:r w:rsidRPr="00A847B7">
              <w:rPr>
                <w:rFonts w:cstheme="minorHAnsi"/>
              </w:rPr>
              <w:t xml:space="preserve">187 </w:t>
            </w:r>
          </w:p>
        </w:tc>
      </w:tr>
      <w:tr w:rsidR="00392D0C" w:rsidRPr="00A847B7" w14:paraId="5EA2FC07" w14:textId="77777777" w:rsidTr="00394A15">
        <w:trPr>
          <w:trHeight w:val="109"/>
        </w:trPr>
        <w:tc>
          <w:tcPr>
            <w:tcW w:w="2616" w:type="dxa"/>
          </w:tcPr>
          <w:p w14:paraId="471BAE56" w14:textId="77777777" w:rsidR="00392D0C" w:rsidRPr="00A847B7" w:rsidRDefault="00392D0C" w:rsidP="00BE75C5">
            <w:pPr>
              <w:rPr>
                <w:rFonts w:cstheme="minorHAnsi"/>
              </w:rPr>
            </w:pPr>
            <w:r w:rsidRPr="00A847B7">
              <w:rPr>
                <w:rFonts w:cstheme="minorHAnsi"/>
              </w:rPr>
              <w:t xml:space="preserve">118 </w:t>
            </w:r>
          </w:p>
        </w:tc>
        <w:tc>
          <w:tcPr>
            <w:tcW w:w="2616" w:type="dxa"/>
          </w:tcPr>
          <w:p w14:paraId="0BFC06F1" w14:textId="77777777" w:rsidR="00392D0C" w:rsidRPr="00A847B7" w:rsidRDefault="00392D0C" w:rsidP="00BE75C5">
            <w:pPr>
              <w:rPr>
                <w:rFonts w:cstheme="minorHAnsi"/>
              </w:rPr>
            </w:pPr>
            <w:r w:rsidRPr="00A847B7">
              <w:rPr>
                <w:rFonts w:cstheme="minorHAnsi"/>
              </w:rPr>
              <w:t xml:space="preserve">189 </w:t>
            </w:r>
          </w:p>
        </w:tc>
      </w:tr>
      <w:tr w:rsidR="00392D0C" w:rsidRPr="00A847B7" w14:paraId="097226A1" w14:textId="77777777" w:rsidTr="00394A15">
        <w:trPr>
          <w:trHeight w:val="109"/>
        </w:trPr>
        <w:tc>
          <w:tcPr>
            <w:tcW w:w="2616" w:type="dxa"/>
          </w:tcPr>
          <w:p w14:paraId="2DAB8664" w14:textId="77777777" w:rsidR="00392D0C" w:rsidRPr="00A847B7" w:rsidRDefault="00392D0C" w:rsidP="00BE75C5">
            <w:pPr>
              <w:rPr>
                <w:rFonts w:cstheme="minorHAnsi"/>
              </w:rPr>
            </w:pPr>
            <w:r w:rsidRPr="00A847B7">
              <w:rPr>
                <w:rFonts w:cstheme="minorHAnsi"/>
              </w:rPr>
              <w:t xml:space="preserve">119 </w:t>
            </w:r>
          </w:p>
        </w:tc>
        <w:tc>
          <w:tcPr>
            <w:tcW w:w="2616" w:type="dxa"/>
          </w:tcPr>
          <w:p w14:paraId="284F68BF" w14:textId="77777777" w:rsidR="00392D0C" w:rsidRPr="00A847B7" w:rsidRDefault="00392D0C" w:rsidP="00BE75C5">
            <w:pPr>
              <w:rPr>
                <w:rFonts w:cstheme="minorHAnsi"/>
              </w:rPr>
            </w:pPr>
            <w:r w:rsidRPr="00A847B7">
              <w:rPr>
                <w:rFonts w:cstheme="minorHAnsi"/>
              </w:rPr>
              <w:t xml:space="preserve">190 </w:t>
            </w:r>
          </w:p>
        </w:tc>
      </w:tr>
      <w:tr w:rsidR="00392D0C" w:rsidRPr="00A847B7" w14:paraId="305899E7" w14:textId="77777777" w:rsidTr="00394A15">
        <w:trPr>
          <w:trHeight w:val="109"/>
        </w:trPr>
        <w:tc>
          <w:tcPr>
            <w:tcW w:w="2616" w:type="dxa"/>
          </w:tcPr>
          <w:p w14:paraId="7B40ADA6" w14:textId="77777777" w:rsidR="00392D0C" w:rsidRPr="00A847B7" w:rsidRDefault="00392D0C" w:rsidP="00BE75C5">
            <w:pPr>
              <w:rPr>
                <w:rFonts w:cstheme="minorHAnsi"/>
              </w:rPr>
            </w:pPr>
            <w:r w:rsidRPr="00A847B7">
              <w:rPr>
                <w:rFonts w:cstheme="minorHAnsi"/>
              </w:rPr>
              <w:t xml:space="preserve">120 </w:t>
            </w:r>
          </w:p>
        </w:tc>
        <w:tc>
          <w:tcPr>
            <w:tcW w:w="2616" w:type="dxa"/>
          </w:tcPr>
          <w:p w14:paraId="7B52BE39" w14:textId="77777777" w:rsidR="00392D0C" w:rsidRPr="00A847B7" w:rsidRDefault="00392D0C" w:rsidP="00BE75C5">
            <w:pPr>
              <w:rPr>
                <w:rFonts w:cstheme="minorHAnsi"/>
              </w:rPr>
            </w:pPr>
            <w:r w:rsidRPr="00A847B7">
              <w:rPr>
                <w:rFonts w:cstheme="minorHAnsi"/>
              </w:rPr>
              <w:t xml:space="preserve">192 </w:t>
            </w:r>
          </w:p>
        </w:tc>
      </w:tr>
      <w:tr w:rsidR="00392D0C" w:rsidRPr="00A847B7" w14:paraId="4F351A5F" w14:textId="77777777" w:rsidTr="00394A15">
        <w:trPr>
          <w:trHeight w:val="109"/>
        </w:trPr>
        <w:tc>
          <w:tcPr>
            <w:tcW w:w="2616" w:type="dxa"/>
          </w:tcPr>
          <w:p w14:paraId="5214FCDF" w14:textId="77777777" w:rsidR="00392D0C" w:rsidRPr="00A847B7" w:rsidRDefault="00392D0C" w:rsidP="00BE75C5">
            <w:pPr>
              <w:rPr>
                <w:rFonts w:cstheme="minorHAnsi"/>
              </w:rPr>
            </w:pPr>
            <w:r w:rsidRPr="00A847B7">
              <w:rPr>
                <w:rFonts w:cstheme="minorHAnsi"/>
              </w:rPr>
              <w:lastRenderedPageBreak/>
              <w:t xml:space="preserve">121 </w:t>
            </w:r>
          </w:p>
        </w:tc>
        <w:tc>
          <w:tcPr>
            <w:tcW w:w="2616" w:type="dxa"/>
          </w:tcPr>
          <w:p w14:paraId="0A35DB92" w14:textId="77777777" w:rsidR="00392D0C" w:rsidRPr="00A847B7" w:rsidRDefault="00392D0C" w:rsidP="00BE75C5">
            <w:pPr>
              <w:rPr>
                <w:rFonts w:cstheme="minorHAnsi"/>
              </w:rPr>
            </w:pPr>
            <w:r w:rsidRPr="00A847B7">
              <w:rPr>
                <w:rFonts w:cstheme="minorHAnsi"/>
              </w:rPr>
              <w:t xml:space="preserve">194 </w:t>
            </w:r>
          </w:p>
        </w:tc>
      </w:tr>
      <w:tr w:rsidR="00392D0C" w:rsidRPr="00A847B7" w14:paraId="4963D471" w14:textId="77777777" w:rsidTr="00394A15">
        <w:trPr>
          <w:trHeight w:val="109"/>
        </w:trPr>
        <w:tc>
          <w:tcPr>
            <w:tcW w:w="2616" w:type="dxa"/>
          </w:tcPr>
          <w:p w14:paraId="4341A067" w14:textId="77777777" w:rsidR="00392D0C" w:rsidRPr="00A847B7" w:rsidRDefault="00392D0C" w:rsidP="00BE75C5">
            <w:pPr>
              <w:rPr>
                <w:rFonts w:cstheme="minorHAnsi"/>
              </w:rPr>
            </w:pPr>
            <w:r w:rsidRPr="00A847B7">
              <w:rPr>
                <w:rFonts w:cstheme="minorHAnsi"/>
              </w:rPr>
              <w:t xml:space="preserve">122 </w:t>
            </w:r>
          </w:p>
        </w:tc>
        <w:tc>
          <w:tcPr>
            <w:tcW w:w="2616" w:type="dxa"/>
          </w:tcPr>
          <w:p w14:paraId="47B36CDA" w14:textId="77777777" w:rsidR="00392D0C" w:rsidRPr="00A847B7" w:rsidRDefault="00392D0C" w:rsidP="00BE75C5">
            <w:pPr>
              <w:rPr>
                <w:rFonts w:cstheme="minorHAnsi"/>
              </w:rPr>
            </w:pPr>
            <w:r w:rsidRPr="00A847B7">
              <w:rPr>
                <w:rFonts w:cstheme="minorHAnsi"/>
              </w:rPr>
              <w:t xml:space="preserve">195 </w:t>
            </w:r>
          </w:p>
        </w:tc>
      </w:tr>
      <w:tr w:rsidR="00392D0C" w:rsidRPr="00A847B7" w14:paraId="108F2D4C" w14:textId="77777777" w:rsidTr="00394A15">
        <w:trPr>
          <w:trHeight w:val="109"/>
        </w:trPr>
        <w:tc>
          <w:tcPr>
            <w:tcW w:w="2616" w:type="dxa"/>
          </w:tcPr>
          <w:p w14:paraId="15D9C673" w14:textId="77777777" w:rsidR="00392D0C" w:rsidRPr="00A847B7" w:rsidRDefault="00392D0C" w:rsidP="00BE75C5">
            <w:pPr>
              <w:rPr>
                <w:rFonts w:cstheme="minorHAnsi"/>
              </w:rPr>
            </w:pPr>
            <w:r w:rsidRPr="00A847B7">
              <w:rPr>
                <w:rFonts w:cstheme="minorHAnsi"/>
              </w:rPr>
              <w:t xml:space="preserve">123 </w:t>
            </w:r>
          </w:p>
        </w:tc>
        <w:tc>
          <w:tcPr>
            <w:tcW w:w="2616" w:type="dxa"/>
          </w:tcPr>
          <w:p w14:paraId="5E9EE39F" w14:textId="77777777" w:rsidR="00392D0C" w:rsidRPr="00A847B7" w:rsidRDefault="00392D0C" w:rsidP="00BE75C5">
            <w:pPr>
              <w:rPr>
                <w:rFonts w:cstheme="minorHAnsi"/>
              </w:rPr>
            </w:pPr>
            <w:r w:rsidRPr="00A847B7">
              <w:rPr>
                <w:rFonts w:cstheme="minorHAnsi"/>
              </w:rPr>
              <w:t xml:space="preserve">197 </w:t>
            </w:r>
          </w:p>
        </w:tc>
      </w:tr>
      <w:tr w:rsidR="00392D0C" w:rsidRPr="00A847B7" w14:paraId="5F139A21" w14:textId="77777777" w:rsidTr="00394A15">
        <w:trPr>
          <w:trHeight w:val="109"/>
        </w:trPr>
        <w:tc>
          <w:tcPr>
            <w:tcW w:w="2616" w:type="dxa"/>
          </w:tcPr>
          <w:p w14:paraId="5FC96A9D" w14:textId="77777777" w:rsidR="00392D0C" w:rsidRPr="00A847B7" w:rsidRDefault="00392D0C" w:rsidP="00BE75C5">
            <w:pPr>
              <w:rPr>
                <w:rFonts w:cstheme="minorHAnsi"/>
              </w:rPr>
            </w:pPr>
            <w:r w:rsidRPr="00A847B7">
              <w:rPr>
                <w:rFonts w:cstheme="minorHAnsi"/>
              </w:rPr>
              <w:t xml:space="preserve">124 </w:t>
            </w:r>
          </w:p>
        </w:tc>
        <w:tc>
          <w:tcPr>
            <w:tcW w:w="2616" w:type="dxa"/>
          </w:tcPr>
          <w:p w14:paraId="4D0BF71B" w14:textId="77777777" w:rsidR="00392D0C" w:rsidRPr="00A847B7" w:rsidRDefault="00392D0C" w:rsidP="00BE75C5">
            <w:pPr>
              <w:rPr>
                <w:rFonts w:cstheme="minorHAnsi"/>
              </w:rPr>
            </w:pPr>
            <w:r w:rsidRPr="00A847B7">
              <w:rPr>
                <w:rFonts w:cstheme="minorHAnsi"/>
              </w:rPr>
              <w:t xml:space="preserve">198 </w:t>
            </w:r>
          </w:p>
        </w:tc>
      </w:tr>
      <w:tr w:rsidR="00392D0C" w:rsidRPr="00A847B7" w14:paraId="18F3CD34" w14:textId="77777777" w:rsidTr="00394A15">
        <w:trPr>
          <w:trHeight w:val="109"/>
        </w:trPr>
        <w:tc>
          <w:tcPr>
            <w:tcW w:w="2616" w:type="dxa"/>
          </w:tcPr>
          <w:p w14:paraId="0E0CBD3B" w14:textId="77777777" w:rsidR="00392D0C" w:rsidRPr="00A847B7" w:rsidRDefault="00392D0C" w:rsidP="00BE75C5">
            <w:pPr>
              <w:rPr>
                <w:rFonts w:cstheme="minorHAnsi"/>
              </w:rPr>
            </w:pPr>
            <w:r w:rsidRPr="00A847B7">
              <w:rPr>
                <w:rFonts w:cstheme="minorHAnsi"/>
              </w:rPr>
              <w:t xml:space="preserve">125 </w:t>
            </w:r>
          </w:p>
        </w:tc>
        <w:tc>
          <w:tcPr>
            <w:tcW w:w="2616" w:type="dxa"/>
          </w:tcPr>
          <w:p w14:paraId="19C440BA" w14:textId="77777777" w:rsidR="00392D0C" w:rsidRPr="00A847B7" w:rsidRDefault="00392D0C" w:rsidP="00BE75C5">
            <w:pPr>
              <w:rPr>
                <w:rFonts w:cstheme="minorHAnsi"/>
              </w:rPr>
            </w:pPr>
            <w:r w:rsidRPr="00A847B7">
              <w:rPr>
                <w:rFonts w:cstheme="minorHAnsi"/>
              </w:rPr>
              <w:t xml:space="preserve">200 </w:t>
            </w:r>
          </w:p>
        </w:tc>
      </w:tr>
      <w:tr w:rsidR="00392D0C" w:rsidRPr="00A847B7" w14:paraId="51754B05" w14:textId="77777777" w:rsidTr="00394A15">
        <w:trPr>
          <w:trHeight w:val="109"/>
        </w:trPr>
        <w:tc>
          <w:tcPr>
            <w:tcW w:w="2616" w:type="dxa"/>
          </w:tcPr>
          <w:p w14:paraId="5C140F1E" w14:textId="77777777" w:rsidR="00392D0C" w:rsidRPr="00A847B7" w:rsidRDefault="00392D0C" w:rsidP="00BE75C5">
            <w:pPr>
              <w:rPr>
                <w:rFonts w:cstheme="minorHAnsi"/>
              </w:rPr>
            </w:pPr>
            <w:r w:rsidRPr="00A847B7">
              <w:rPr>
                <w:rFonts w:cstheme="minorHAnsi"/>
              </w:rPr>
              <w:t xml:space="preserve">126 </w:t>
            </w:r>
          </w:p>
        </w:tc>
        <w:tc>
          <w:tcPr>
            <w:tcW w:w="2616" w:type="dxa"/>
          </w:tcPr>
          <w:p w14:paraId="0894D9D4" w14:textId="77777777" w:rsidR="00392D0C" w:rsidRPr="00A847B7" w:rsidRDefault="00392D0C" w:rsidP="00BE75C5">
            <w:pPr>
              <w:rPr>
                <w:rFonts w:cstheme="minorHAnsi"/>
              </w:rPr>
            </w:pPr>
            <w:r w:rsidRPr="00A847B7">
              <w:rPr>
                <w:rFonts w:cstheme="minorHAnsi"/>
              </w:rPr>
              <w:t xml:space="preserve">202 </w:t>
            </w:r>
          </w:p>
        </w:tc>
      </w:tr>
      <w:tr w:rsidR="00392D0C" w:rsidRPr="00A847B7" w14:paraId="6C05D85E" w14:textId="77777777" w:rsidTr="00394A15">
        <w:trPr>
          <w:trHeight w:val="109"/>
        </w:trPr>
        <w:tc>
          <w:tcPr>
            <w:tcW w:w="2616" w:type="dxa"/>
          </w:tcPr>
          <w:p w14:paraId="1BCBD0B7" w14:textId="77777777" w:rsidR="00392D0C" w:rsidRPr="00A847B7" w:rsidRDefault="00392D0C" w:rsidP="00BE75C5">
            <w:pPr>
              <w:rPr>
                <w:rFonts w:cstheme="minorHAnsi"/>
              </w:rPr>
            </w:pPr>
            <w:r w:rsidRPr="00A847B7">
              <w:rPr>
                <w:rFonts w:cstheme="minorHAnsi"/>
              </w:rPr>
              <w:t xml:space="preserve">127 </w:t>
            </w:r>
          </w:p>
        </w:tc>
        <w:tc>
          <w:tcPr>
            <w:tcW w:w="2616" w:type="dxa"/>
          </w:tcPr>
          <w:p w14:paraId="7512C469" w14:textId="77777777" w:rsidR="00392D0C" w:rsidRPr="00A847B7" w:rsidRDefault="00392D0C" w:rsidP="00BE75C5">
            <w:pPr>
              <w:rPr>
                <w:rFonts w:cstheme="minorHAnsi"/>
              </w:rPr>
            </w:pPr>
            <w:r w:rsidRPr="00A847B7">
              <w:rPr>
                <w:rFonts w:cstheme="minorHAnsi"/>
              </w:rPr>
              <w:t xml:space="preserve">203 </w:t>
            </w:r>
          </w:p>
        </w:tc>
      </w:tr>
      <w:tr w:rsidR="00392D0C" w:rsidRPr="00A847B7" w14:paraId="2A507E37" w14:textId="77777777" w:rsidTr="00394A15">
        <w:trPr>
          <w:trHeight w:val="109"/>
        </w:trPr>
        <w:tc>
          <w:tcPr>
            <w:tcW w:w="2616" w:type="dxa"/>
          </w:tcPr>
          <w:p w14:paraId="374A8177" w14:textId="77777777" w:rsidR="00392D0C" w:rsidRPr="00A847B7" w:rsidRDefault="00392D0C" w:rsidP="00BE75C5">
            <w:pPr>
              <w:rPr>
                <w:rFonts w:cstheme="minorHAnsi"/>
              </w:rPr>
            </w:pPr>
            <w:r w:rsidRPr="00A847B7">
              <w:rPr>
                <w:rFonts w:cstheme="minorHAnsi"/>
              </w:rPr>
              <w:t xml:space="preserve">128 </w:t>
            </w:r>
          </w:p>
        </w:tc>
        <w:tc>
          <w:tcPr>
            <w:tcW w:w="2616" w:type="dxa"/>
          </w:tcPr>
          <w:p w14:paraId="40557AB0" w14:textId="77777777" w:rsidR="00392D0C" w:rsidRPr="00A847B7" w:rsidRDefault="00392D0C" w:rsidP="00BE75C5">
            <w:pPr>
              <w:rPr>
                <w:rFonts w:cstheme="minorHAnsi"/>
              </w:rPr>
            </w:pPr>
            <w:r w:rsidRPr="00A847B7">
              <w:rPr>
                <w:rFonts w:cstheme="minorHAnsi"/>
              </w:rPr>
              <w:t xml:space="preserve">218 </w:t>
            </w:r>
          </w:p>
        </w:tc>
      </w:tr>
      <w:tr w:rsidR="00270F9A" w:rsidRPr="00A847B7" w14:paraId="065C5967" w14:textId="77777777" w:rsidTr="00394A15">
        <w:trPr>
          <w:trHeight w:val="109"/>
        </w:trPr>
        <w:tc>
          <w:tcPr>
            <w:tcW w:w="2616" w:type="dxa"/>
          </w:tcPr>
          <w:p w14:paraId="41C8B90E" w14:textId="77777777" w:rsidR="00270F9A" w:rsidRPr="00A847B7" w:rsidRDefault="00270F9A" w:rsidP="00BE75C5">
            <w:pPr>
              <w:rPr>
                <w:rFonts w:cstheme="minorHAnsi"/>
              </w:rPr>
            </w:pPr>
            <w:r w:rsidRPr="00A847B7">
              <w:rPr>
                <w:rFonts w:cstheme="minorHAnsi"/>
              </w:rPr>
              <w:t xml:space="preserve">129 </w:t>
            </w:r>
          </w:p>
        </w:tc>
        <w:tc>
          <w:tcPr>
            <w:tcW w:w="2616" w:type="dxa"/>
          </w:tcPr>
          <w:p w14:paraId="4C702C32" w14:textId="77777777" w:rsidR="00270F9A" w:rsidRPr="00A847B7" w:rsidRDefault="00270F9A" w:rsidP="00BE75C5">
            <w:pPr>
              <w:rPr>
                <w:rFonts w:cstheme="minorHAnsi"/>
              </w:rPr>
            </w:pPr>
            <w:r w:rsidRPr="00A847B7">
              <w:rPr>
                <w:rFonts w:cstheme="minorHAnsi"/>
              </w:rPr>
              <w:t xml:space="preserve">232 </w:t>
            </w:r>
          </w:p>
        </w:tc>
      </w:tr>
      <w:tr w:rsidR="00270F9A" w:rsidRPr="00A847B7" w14:paraId="4DE53638" w14:textId="77777777" w:rsidTr="00394A15">
        <w:trPr>
          <w:trHeight w:val="109"/>
        </w:trPr>
        <w:tc>
          <w:tcPr>
            <w:tcW w:w="2616" w:type="dxa"/>
          </w:tcPr>
          <w:p w14:paraId="1FDE72BA" w14:textId="77777777" w:rsidR="00270F9A" w:rsidRPr="00A847B7" w:rsidRDefault="00270F9A" w:rsidP="00BE75C5">
            <w:pPr>
              <w:rPr>
                <w:rFonts w:cstheme="minorHAnsi"/>
              </w:rPr>
            </w:pPr>
            <w:r w:rsidRPr="00A847B7">
              <w:rPr>
                <w:rFonts w:cstheme="minorHAnsi"/>
              </w:rPr>
              <w:t xml:space="preserve">130 </w:t>
            </w:r>
          </w:p>
        </w:tc>
        <w:tc>
          <w:tcPr>
            <w:tcW w:w="2616" w:type="dxa"/>
          </w:tcPr>
          <w:p w14:paraId="33E406CA" w14:textId="77777777" w:rsidR="00270F9A" w:rsidRPr="00A847B7" w:rsidRDefault="00270F9A" w:rsidP="00BE75C5">
            <w:pPr>
              <w:rPr>
                <w:rFonts w:cstheme="minorHAnsi"/>
              </w:rPr>
            </w:pPr>
            <w:r w:rsidRPr="00A847B7">
              <w:rPr>
                <w:rFonts w:cstheme="minorHAnsi"/>
              </w:rPr>
              <w:t xml:space="preserve">247 </w:t>
            </w:r>
          </w:p>
        </w:tc>
      </w:tr>
      <w:tr w:rsidR="00270F9A" w:rsidRPr="00A847B7" w14:paraId="5D73179D" w14:textId="77777777" w:rsidTr="00394A15">
        <w:trPr>
          <w:trHeight w:val="109"/>
        </w:trPr>
        <w:tc>
          <w:tcPr>
            <w:tcW w:w="2616" w:type="dxa"/>
          </w:tcPr>
          <w:p w14:paraId="6D5DDD14" w14:textId="77777777" w:rsidR="00270F9A" w:rsidRPr="00A847B7" w:rsidRDefault="00270F9A" w:rsidP="00BE75C5">
            <w:pPr>
              <w:rPr>
                <w:rFonts w:cstheme="minorHAnsi"/>
              </w:rPr>
            </w:pPr>
            <w:r w:rsidRPr="00A847B7">
              <w:rPr>
                <w:rFonts w:cstheme="minorHAnsi"/>
              </w:rPr>
              <w:t xml:space="preserve">131 </w:t>
            </w:r>
          </w:p>
        </w:tc>
        <w:tc>
          <w:tcPr>
            <w:tcW w:w="2616" w:type="dxa"/>
          </w:tcPr>
          <w:p w14:paraId="44F74732" w14:textId="77777777" w:rsidR="00270F9A" w:rsidRPr="00A847B7" w:rsidRDefault="00270F9A" w:rsidP="00BE75C5">
            <w:pPr>
              <w:rPr>
                <w:rFonts w:cstheme="minorHAnsi"/>
              </w:rPr>
            </w:pPr>
            <w:r w:rsidRPr="00A847B7">
              <w:rPr>
                <w:rFonts w:cstheme="minorHAnsi"/>
              </w:rPr>
              <w:t xml:space="preserve">249 </w:t>
            </w:r>
          </w:p>
        </w:tc>
      </w:tr>
      <w:tr w:rsidR="00270F9A" w:rsidRPr="00A847B7" w14:paraId="0D4913CD" w14:textId="77777777" w:rsidTr="00394A15">
        <w:trPr>
          <w:trHeight w:val="109"/>
        </w:trPr>
        <w:tc>
          <w:tcPr>
            <w:tcW w:w="2616" w:type="dxa"/>
          </w:tcPr>
          <w:p w14:paraId="235DC2B2" w14:textId="77777777" w:rsidR="00270F9A" w:rsidRPr="00A847B7" w:rsidRDefault="00270F9A" w:rsidP="00BE75C5">
            <w:pPr>
              <w:rPr>
                <w:rFonts w:cstheme="minorHAnsi"/>
              </w:rPr>
            </w:pPr>
            <w:r w:rsidRPr="00A847B7">
              <w:rPr>
                <w:rFonts w:cstheme="minorHAnsi"/>
              </w:rPr>
              <w:t xml:space="preserve">132 </w:t>
            </w:r>
          </w:p>
        </w:tc>
        <w:tc>
          <w:tcPr>
            <w:tcW w:w="2616" w:type="dxa"/>
          </w:tcPr>
          <w:p w14:paraId="5F02E647" w14:textId="77777777" w:rsidR="00270F9A" w:rsidRPr="00A847B7" w:rsidRDefault="00270F9A" w:rsidP="00BE75C5">
            <w:pPr>
              <w:rPr>
                <w:rFonts w:cstheme="minorHAnsi"/>
              </w:rPr>
            </w:pPr>
            <w:r w:rsidRPr="00A847B7">
              <w:rPr>
                <w:rFonts w:cstheme="minorHAnsi"/>
              </w:rPr>
              <w:t xml:space="preserve">264 </w:t>
            </w:r>
          </w:p>
        </w:tc>
      </w:tr>
      <w:tr w:rsidR="00270F9A" w:rsidRPr="00A847B7" w14:paraId="3FB52BDE" w14:textId="77777777" w:rsidTr="00394A15">
        <w:trPr>
          <w:trHeight w:val="109"/>
        </w:trPr>
        <w:tc>
          <w:tcPr>
            <w:tcW w:w="2616" w:type="dxa"/>
          </w:tcPr>
          <w:p w14:paraId="4789696D" w14:textId="77777777" w:rsidR="00270F9A" w:rsidRPr="00A847B7" w:rsidRDefault="00270F9A" w:rsidP="00BE75C5">
            <w:pPr>
              <w:rPr>
                <w:rFonts w:cstheme="minorHAnsi"/>
              </w:rPr>
            </w:pPr>
            <w:r w:rsidRPr="00A847B7">
              <w:rPr>
                <w:rFonts w:cstheme="minorHAnsi"/>
              </w:rPr>
              <w:t xml:space="preserve">133 </w:t>
            </w:r>
          </w:p>
        </w:tc>
        <w:tc>
          <w:tcPr>
            <w:tcW w:w="2616" w:type="dxa"/>
          </w:tcPr>
          <w:p w14:paraId="7D9E5F26" w14:textId="77777777" w:rsidR="00270F9A" w:rsidRPr="00A847B7" w:rsidRDefault="00270F9A" w:rsidP="00BE75C5">
            <w:pPr>
              <w:rPr>
                <w:rFonts w:cstheme="minorHAnsi"/>
              </w:rPr>
            </w:pPr>
            <w:r w:rsidRPr="00A847B7">
              <w:rPr>
                <w:rFonts w:cstheme="minorHAnsi"/>
              </w:rPr>
              <w:t xml:space="preserve">266 </w:t>
            </w:r>
          </w:p>
        </w:tc>
      </w:tr>
      <w:tr w:rsidR="00270F9A" w:rsidRPr="00A847B7" w14:paraId="4AAF05CB" w14:textId="77777777" w:rsidTr="00394A15">
        <w:trPr>
          <w:trHeight w:val="109"/>
        </w:trPr>
        <w:tc>
          <w:tcPr>
            <w:tcW w:w="2616" w:type="dxa"/>
          </w:tcPr>
          <w:p w14:paraId="2460AF41" w14:textId="77777777" w:rsidR="00270F9A" w:rsidRPr="00A847B7" w:rsidRDefault="00270F9A" w:rsidP="00BE75C5">
            <w:pPr>
              <w:rPr>
                <w:rFonts w:cstheme="minorHAnsi"/>
              </w:rPr>
            </w:pPr>
            <w:r w:rsidRPr="00A847B7">
              <w:rPr>
                <w:rFonts w:cstheme="minorHAnsi"/>
              </w:rPr>
              <w:t xml:space="preserve">134 </w:t>
            </w:r>
          </w:p>
        </w:tc>
        <w:tc>
          <w:tcPr>
            <w:tcW w:w="2616" w:type="dxa"/>
          </w:tcPr>
          <w:p w14:paraId="2C300EA8" w14:textId="77777777" w:rsidR="00270F9A" w:rsidRPr="00A847B7" w:rsidRDefault="00270F9A" w:rsidP="00BE75C5">
            <w:pPr>
              <w:rPr>
                <w:rFonts w:cstheme="minorHAnsi"/>
              </w:rPr>
            </w:pPr>
            <w:r w:rsidRPr="00A847B7">
              <w:rPr>
                <w:rFonts w:cstheme="minorHAnsi"/>
              </w:rPr>
              <w:t xml:space="preserve">295 </w:t>
            </w:r>
          </w:p>
        </w:tc>
      </w:tr>
      <w:tr w:rsidR="00270F9A" w:rsidRPr="00A847B7" w14:paraId="62238580" w14:textId="77777777" w:rsidTr="00394A15">
        <w:trPr>
          <w:trHeight w:val="109"/>
        </w:trPr>
        <w:tc>
          <w:tcPr>
            <w:tcW w:w="2616" w:type="dxa"/>
          </w:tcPr>
          <w:p w14:paraId="377E1084" w14:textId="77777777" w:rsidR="00270F9A" w:rsidRPr="00A847B7" w:rsidRDefault="00270F9A" w:rsidP="00BE75C5">
            <w:pPr>
              <w:rPr>
                <w:rFonts w:cstheme="minorHAnsi"/>
              </w:rPr>
            </w:pPr>
            <w:r w:rsidRPr="00A847B7">
              <w:rPr>
                <w:rFonts w:cstheme="minorHAnsi"/>
              </w:rPr>
              <w:t xml:space="preserve">135 </w:t>
            </w:r>
          </w:p>
        </w:tc>
        <w:tc>
          <w:tcPr>
            <w:tcW w:w="2616" w:type="dxa"/>
          </w:tcPr>
          <w:p w14:paraId="7A4C74A3" w14:textId="77777777" w:rsidR="00270F9A" w:rsidRPr="00A847B7" w:rsidRDefault="00270F9A" w:rsidP="00BE75C5">
            <w:pPr>
              <w:rPr>
                <w:rFonts w:cstheme="minorHAnsi"/>
              </w:rPr>
            </w:pPr>
            <w:r w:rsidRPr="00A847B7">
              <w:rPr>
                <w:rFonts w:cstheme="minorHAnsi"/>
              </w:rPr>
              <w:t xml:space="preserve">311 </w:t>
            </w:r>
          </w:p>
        </w:tc>
      </w:tr>
      <w:tr w:rsidR="00270F9A" w:rsidRPr="00A847B7" w14:paraId="5D45DA73" w14:textId="77777777" w:rsidTr="00394A15">
        <w:trPr>
          <w:trHeight w:val="109"/>
        </w:trPr>
        <w:tc>
          <w:tcPr>
            <w:tcW w:w="2616" w:type="dxa"/>
          </w:tcPr>
          <w:p w14:paraId="07C57C1C" w14:textId="77777777" w:rsidR="00270F9A" w:rsidRPr="00A847B7" w:rsidRDefault="00270F9A" w:rsidP="00BE75C5">
            <w:pPr>
              <w:rPr>
                <w:rFonts w:cstheme="minorHAnsi"/>
              </w:rPr>
            </w:pPr>
            <w:r w:rsidRPr="00A847B7">
              <w:rPr>
                <w:rFonts w:cstheme="minorHAnsi"/>
              </w:rPr>
              <w:t xml:space="preserve">136 </w:t>
            </w:r>
          </w:p>
        </w:tc>
        <w:tc>
          <w:tcPr>
            <w:tcW w:w="2616" w:type="dxa"/>
          </w:tcPr>
          <w:p w14:paraId="3E36F445" w14:textId="77777777" w:rsidR="00270F9A" w:rsidRPr="00A847B7" w:rsidRDefault="00270F9A" w:rsidP="00BE75C5">
            <w:pPr>
              <w:rPr>
                <w:rFonts w:cstheme="minorHAnsi"/>
              </w:rPr>
            </w:pPr>
            <w:r w:rsidRPr="00A847B7">
              <w:rPr>
                <w:rFonts w:cstheme="minorHAnsi"/>
              </w:rPr>
              <w:t xml:space="preserve">326 </w:t>
            </w:r>
          </w:p>
        </w:tc>
      </w:tr>
      <w:tr w:rsidR="00270F9A" w:rsidRPr="00A847B7" w14:paraId="0626D324" w14:textId="77777777" w:rsidTr="00394A15">
        <w:trPr>
          <w:trHeight w:val="109"/>
        </w:trPr>
        <w:tc>
          <w:tcPr>
            <w:tcW w:w="2616" w:type="dxa"/>
          </w:tcPr>
          <w:p w14:paraId="5BDA5062" w14:textId="77777777" w:rsidR="00270F9A" w:rsidRPr="00A847B7" w:rsidRDefault="00270F9A" w:rsidP="00BE75C5">
            <w:pPr>
              <w:rPr>
                <w:rFonts w:cstheme="minorHAnsi"/>
              </w:rPr>
            </w:pPr>
            <w:r w:rsidRPr="00A847B7">
              <w:rPr>
                <w:rFonts w:cstheme="minorHAnsi"/>
              </w:rPr>
              <w:t xml:space="preserve">137 </w:t>
            </w:r>
          </w:p>
        </w:tc>
        <w:tc>
          <w:tcPr>
            <w:tcW w:w="2616" w:type="dxa"/>
          </w:tcPr>
          <w:p w14:paraId="614A9AF0" w14:textId="77777777" w:rsidR="00270F9A" w:rsidRPr="00A847B7" w:rsidRDefault="00270F9A" w:rsidP="00BE75C5">
            <w:pPr>
              <w:rPr>
                <w:rFonts w:cstheme="minorHAnsi"/>
              </w:rPr>
            </w:pPr>
            <w:r w:rsidRPr="00A847B7">
              <w:rPr>
                <w:rFonts w:cstheme="minorHAnsi"/>
              </w:rPr>
              <w:t xml:space="preserve">343 </w:t>
            </w:r>
          </w:p>
        </w:tc>
      </w:tr>
      <w:tr w:rsidR="00270F9A" w:rsidRPr="00A847B7" w14:paraId="1528DE56" w14:textId="77777777" w:rsidTr="00394A15">
        <w:trPr>
          <w:trHeight w:val="109"/>
        </w:trPr>
        <w:tc>
          <w:tcPr>
            <w:tcW w:w="2616" w:type="dxa"/>
          </w:tcPr>
          <w:p w14:paraId="1A7EB96A" w14:textId="77777777" w:rsidR="00270F9A" w:rsidRPr="00A847B7" w:rsidRDefault="00270F9A" w:rsidP="00BE75C5">
            <w:pPr>
              <w:rPr>
                <w:rFonts w:cstheme="minorHAnsi"/>
              </w:rPr>
            </w:pPr>
            <w:r w:rsidRPr="00A847B7">
              <w:rPr>
                <w:rFonts w:cstheme="minorHAnsi"/>
              </w:rPr>
              <w:t xml:space="preserve">138 </w:t>
            </w:r>
          </w:p>
        </w:tc>
        <w:tc>
          <w:tcPr>
            <w:tcW w:w="2616" w:type="dxa"/>
          </w:tcPr>
          <w:p w14:paraId="0A9BC6DE" w14:textId="77777777" w:rsidR="00270F9A" w:rsidRPr="00A847B7" w:rsidRDefault="00270F9A" w:rsidP="00BE75C5">
            <w:pPr>
              <w:rPr>
                <w:rFonts w:cstheme="minorHAnsi"/>
              </w:rPr>
            </w:pPr>
            <w:r w:rsidRPr="00A847B7">
              <w:rPr>
                <w:rFonts w:cstheme="minorHAnsi"/>
              </w:rPr>
              <w:t xml:space="preserve">359 </w:t>
            </w:r>
          </w:p>
        </w:tc>
      </w:tr>
      <w:tr w:rsidR="00270F9A" w:rsidRPr="00A847B7" w14:paraId="09222524" w14:textId="77777777" w:rsidTr="00394A15">
        <w:trPr>
          <w:trHeight w:val="109"/>
        </w:trPr>
        <w:tc>
          <w:tcPr>
            <w:tcW w:w="2616" w:type="dxa"/>
          </w:tcPr>
          <w:p w14:paraId="5BE638BF" w14:textId="77777777" w:rsidR="00270F9A" w:rsidRPr="00A847B7" w:rsidRDefault="00270F9A" w:rsidP="00BE75C5">
            <w:pPr>
              <w:rPr>
                <w:rFonts w:cstheme="minorHAnsi"/>
              </w:rPr>
            </w:pPr>
            <w:r w:rsidRPr="00A847B7">
              <w:rPr>
                <w:rFonts w:cstheme="minorHAnsi"/>
              </w:rPr>
              <w:t xml:space="preserve">139 </w:t>
            </w:r>
          </w:p>
        </w:tc>
        <w:tc>
          <w:tcPr>
            <w:tcW w:w="2616" w:type="dxa"/>
          </w:tcPr>
          <w:p w14:paraId="2A1BD75F" w14:textId="77777777" w:rsidR="00270F9A" w:rsidRPr="00A847B7" w:rsidRDefault="00270F9A" w:rsidP="00BE75C5">
            <w:pPr>
              <w:rPr>
                <w:rFonts w:cstheme="minorHAnsi"/>
              </w:rPr>
            </w:pPr>
            <w:r w:rsidRPr="00A847B7">
              <w:rPr>
                <w:rFonts w:cstheme="minorHAnsi"/>
              </w:rPr>
              <w:t xml:space="preserve">375 </w:t>
            </w:r>
          </w:p>
        </w:tc>
      </w:tr>
      <w:tr w:rsidR="00270F9A" w:rsidRPr="00A847B7" w14:paraId="05FD7176" w14:textId="77777777" w:rsidTr="00394A15">
        <w:trPr>
          <w:trHeight w:val="109"/>
        </w:trPr>
        <w:tc>
          <w:tcPr>
            <w:tcW w:w="2616" w:type="dxa"/>
          </w:tcPr>
          <w:p w14:paraId="7DF79072" w14:textId="77777777" w:rsidR="00270F9A" w:rsidRPr="00A847B7" w:rsidRDefault="00270F9A" w:rsidP="00BE75C5">
            <w:pPr>
              <w:rPr>
                <w:rFonts w:cstheme="minorHAnsi"/>
              </w:rPr>
            </w:pPr>
            <w:r w:rsidRPr="00A847B7">
              <w:rPr>
                <w:rFonts w:cstheme="minorHAnsi"/>
              </w:rPr>
              <w:t xml:space="preserve">140 </w:t>
            </w:r>
          </w:p>
        </w:tc>
        <w:tc>
          <w:tcPr>
            <w:tcW w:w="2616" w:type="dxa"/>
          </w:tcPr>
          <w:p w14:paraId="1D6D525D" w14:textId="77777777" w:rsidR="00270F9A" w:rsidRPr="00A847B7" w:rsidRDefault="00270F9A" w:rsidP="00BE75C5">
            <w:pPr>
              <w:rPr>
                <w:rFonts w:cstheme="minorHAnsi"/>
              </w:rPr>
            </w:pPr>
            <w:r w:rsidRPr="00A847B7">
              <w:rPr>
                <w:rFonts w:cstheme="minorHAnsi"/>
              </w:rPr>
              <w:t xml:space="preserve">392 </w:t>
            </w:r>
          </w:p>
        </w:tc>
      </w:tr>
      <w:tr w:rsidR="00270F9A" w:rsidRPr="00A847B7" w14:paraId="5C674143" w14:textId="77777777" w:rsidTr="00394A15">
        <w:trPr>
          <w:trHeight w:val="109"/>
        </w:trPr>
        <w:tc>
          <w:tcPr>
            <w:tcW w:w="2616" w:type="dxa"/>
          </w:tcPr>
          <w:p w14:paraId="66F66DC4" w14:textId="77777777" w:rsidR="00270F9A" w:rsidRPr="00A847B7" w:rsidRDefault="00270F9A" w:rsidP="00BE75C5">
            <w:pPr>
              <w:rPr>
                <w:rFonts w:cstheme="minorHAnsi"/>
              </w:rPr>
            </w:pPr>
            <w:r w:rsidRPr="00A847B7">
              <w:rPr>
                <w:rFonts w:cstheme="minorHAnsi"/>
              </w:rPr>
              <w:t xml:space="preserve">141 </w:t>
            </w:r>
          </w:p>
        </w:tc>
        <w:tc>
          <w:tcPr>
            <w:tcW w:w="2616" w:type="dxa"/>
          </w:tcPr>
          <w:p w14:paraId="16DDF75C" w14:textId="77777777" w:rsidR="00270F9A" w:rsidRPr="00A847B7" w:rsidRDefault="00270F9A" w:rsidP="00BE75C5">
            <w:pPr>
              <w:rPr>
                <w:rFonts w:cstheme="minorHAnsi"/>
              </w:rPr>
            </w:pPr>
            <w:r w:rsidRPr="00A847B7">
              <w:rPr>
                <w:rFonts w:cstheme="minorHAnsi"/>
              </w:rPr>
              <w:t xml:space="preserve">409 </w:t>
            </w:r>
          </w:p>
        </w:tc>
      </w:tr>
      <w:tr w:rsidR="00270F9A" w:rsidRPr="00A847B7" w14:paraId="3EB22C71" w14:textId="77777777" w:rsidTr="00394A15">
        <w:trPr>
          <w:trHeight w:val="109"/>
        </w:trPr>
        <w:tc>
          <w:tcPr>
            <w:tcW w:w="2616" w:type="dxa"/>
          </w:tcPr>
          <w:p w14:paraId="003F9411" w14:textId="77777777" w:rsidR="00270F9A" w:rsidRPr="00A847B7" w:rsidRDefault="00270F9A" w:rsidP="00BE75C5">
            <w:pPr>
              <w:rPr>
                <w:rFonts w:cstheme="minorHAnsi"/>
              </w:rPr>
            </w:pPr>
            <w:r w:rsidRPr="00A847B7">
              <w:rPr>
                <w:rFonts w:cstheme="minorHAnsi"/>
              </w:rPr>
              <w:t xml:space="preserve">142 </w:t>
            </w:r>
          </w:p>
        </w:tc>
        <w:tc>
          <w:tcPr>
            <w:tcW w:w="2616" w:type="dxa"/>
          </w:tcPr>
          <w:p w14:paraId="221FF2CB" w14:textId="77777777" w:rsidR="00270F9A" w:rsidRPr="00A847B7" w:rsidRDefault="00270F9A" w:rsidP="00BE75C5">
            <w:pPr>
              <w:rPr>
                <w:rFonts w:cstheme="minorHAnsi"/>
              </w:rPr>
            </w:pPr>
            <w:r w:rsidRPr="00A847B7">
              <w:rPr>
                <w:rFonts w:cstheme="minorHAnsi"/>
              </w:rPr>
              <w:t xml:space="preserve">426 </w:t>
            </w:r>
          </w:p>
        </w:tc>
      </w:tr>
      <w:tr w:rsidR="00270F9A" w:rsidRPr="00A847B7" w14:paraId="2FC19C06" w14:textId="77777777" w:rsidTr="00394A15">
        <w:trPr>
          <w:trHeight w:val="109"/>
        </w:trPr>
        <w:tc>
          <w:tcPr>
            <w:tcW w:w="2616" w:type="dxa"/>
          </w:tcPr>
          <w:p w14:paraId="545FB2FB" w14:textId="77777777" w:rsidR="00270F9A" w:rsidRPr="00A847B7" w:rsidRDefault="00270F9A" w:rsidP="00BE75C5">
            <w:pPr>
              <w:rPr>
                <w:rFonts w:cstheme="minorHAnsi"/>
              </w:rPr>
            </w:pPr>
            <w:r w:rsidRPr="00A847B7">
              <w:rPr>
                <w:rFonts w:cstheme="minorHAnsi"/>
              </w:rPr>
              <w:t xml:space="preserve">143 </w:t>
            </w:r>
          </w:p>
        </w:tc>
        <w:tc>
          <w:tcPr>
            <w:tcW w:w="2616" w:type="dxa"/>
          </w:tcPr>
          <w:p w14:paraId="76622F68" w14:textId="77777777" w:rsidR="00270F9A" w:rsidRPr="00A847B7" w:rsidRDefault="00270F9A" w:rsidP="00BE75C5">
            <w:pPr>
              <w:rPr>
                <w:rFonts w:cstheme="minorHAnsi"/>
              </w:rPr>
            </w:pPr>
            <w:r w:rsidRPr="00A847B7">
              <w:rPr>
                <w:rFonts w:cstheme="minorHAnsi"/>
              </w:rPr>
              <w:t xml:space="preserve">443 </w:t>
            </w:r>
          </w:p>
        </w:tc>
      </w:tr>
      <w:tr w:rsidR="00270F9A" w:rsidRPr="00A847B7" w14:paraId="4AA90939" w14:textId="77777777" w:rsidTr="00394A15">
        <w:trPr>
          <w:trHeight w:val="109"/>
        </w:trPr>
        <w:tc>
          <w:tcPr>
            <w:tcW w:w="2616" w:type="dxa"/>
          </w:tcPr>
          <w:p w14:paraId="318B53BE" w14:textId="77777777" w:rsidR="00270F9A" w:rsidRPr="00A847B7" w:rsidRDefault="00270F9A" w:rsidP="00BE75C5">
            <w:pPr>
              <w:rPr>
                <w:rFonts w:cstheme="minorHAnsi"/>
              </w:rPr>
            </w:pPr>
            <w:r w:rsidRPr="00A847B7">
              <w:rPr>
                <w:rFonts w:cstheme="minorHAnsi"/>
              </w:rPr>
              <w:lastRenderedPageBreak/>
              <w:t xml:space="preserve">144 </w:t>
            </w:r>
          </w:p>
        </w:tc>
        <w:tc>
          <w:tcPr>
            <w:tcW w:w="2616" w:type="dxa"/>
          </w:tcPr>
          <w:p w14:paraId="49187764" w14:textId="77777777" w:rsidR="00270F9A" w:rsidRPr="00A847B7" w:rsidRDefault="00270F9A" w:rsidP="00BE75C5">
            <w:pPr>
              <w:rPr>
                <w:rFonts w:cstheme="minorHAnsi"/>
              </w:rPr>
            </w:pPr>
            <w:r w:rsidRPr="00A847B7">
              <w:rPr>
                <w:rFonts w:cstheme="minorHAnsi"/>
              </w:rPr>
              <w:t xml:space="preserve">461 </w:t>
            </w:r>
          </w:p>
        </w:tc>
      </w:tr>
      <w:tr w:rsidR="00270F9A" w:rsidRPr="00A847B7" w14:paraId="2DBBF3F3" w14:textId="77777777" w:rsidTr="00394A15">
        <w:trPr>
          <w:trHeight w:val="109"/>
        </w:trPr>
        <w:tc>
          <w:tcPr>
            <w:tcW w:w="2616" w:type="dxa"/>
          </w:tcPr>
          <w:p w14:paraId="51D3BE00" w14:textId="77777777" w:rsidR="00270F9A" w:rsidRPr="00A847B7" w:rsidRDefault="00270F9A" w:rsidP="00BE75C5">
            <w:pPr>
              <w:rPr>
                <w:rFonts w:cstheme="minorHAnsi"/>
              </w:rPr>
            </w:pPr>
            <w:r w:rsidRPr="00A847B7">
              <w:rPr>
                <w:rFonts w:cstheme="minorHAnsi"/>
              </w:rPr>
              <w:t xml:space="preserve">145 </w:t>
            </w:r>
          </w:p>
        </w:tc>
        <w:tc>
          <w:tcPr>
            <w:tcW w:w="2616" w:type="dxa"/>
          </w:tcPr>
          <w:p w14:paraId="432CEE3A" w14:textId="77777777" w:rsidR="00270F9A" w:rsidRPr="00A847B7" w:rsidRDefault="00270F9A" w:rsidP="00BE75C5">
            <w:pPr>
              <w:rPr>
                <w:rFonts w:cstheme="minorHAnsi"/>
              </w:rPr>
            </w:pPr>
            <w:r w:rsidRPr="00A847B7">
              <w:rPr>
                <w:rFonts w:cstheme="minorHAnsi"/>
              </w:rPr>
              <w:t xml:space="preserve">479 </w:t>
            </w:r>
          </w:p>
        </w:tc>
      </w:tr>
      <w:tr w:rsidR="00270F9A" w:rsidRPr="00A847B7" w14:paraId="0D081513" w14:textId="77777777" w:rsidTr="00394A15">
        <w:trPr>
          <w:trHeight w:val="109"/>
        </w:trPr>
        <w:tc>
          <w:tcPr>
            <w:tcW w:w="2616" w:type="dxa"/>
          </w:tcPr>
          <w:p w14:paraId="1E8A72B1" w14:textId="77777777" w:rsidR="00270F9A" w:rsidRPr="00A847B7" w:rsidRDefault="00270F9A" w:rsidP="00BE75C5">
            <w:pPr>
              <w:rPr>
                <w:rFonts w:cstheme="minorHAnsi"/>
              </w:rPr>
            </w:pPr>
            <w:r w:rsidRPr="00A847B7">
              <w:rPr>
                <w:rFonts w:cstheme="minorHAnsi"/>
              </w:rPr>
              <w:t xml:space="preserve">146 </w:t>
            </w:r>
          </w:p>
        </w:tc>
        <w:tc>
          <w:tcPr>
            <w:tcW w:w="2616" w:type="dxa"/>
          </w:tcPr>
          <w:p w14:paraId="405EB9BB" w14:textId="77777777" w:rsidR="00270F9A" w:rsidRPr="00A847B7" w:rsidRDefault="00270F9A" w:rsidP="00BE75C5">
            <w:pPr>
              <w:rPr>
                <w:rFonts w:cstheme="minorHAnsi"/>
              </w:rPr>
            </w:pPr>
            <w:r w:rsidRPr="00A847B7">
              <w:rPr>
                <w:rFonts w:cstheme="minorHAnsi"/>
              </w:rPr>
              <w:t xml:space="preserve">482 </w:t>
            </w:r>
          </w:p>
        </w:tc>
      </w:tr>
      <w:tr w:rsidR="00270F9A" w:rsidRPr="00A847B7" w14:paraId="5BF39447" w14:textId="77777777" w:rsidTr="00394A15">
        <w:trPr>
          <w:trHeight w:val="109"/>
        </w:trPr>
        <w:tc>
          <w:tcPr>
            <w:tcW w:w="2616" w:type="dxa"/>
          </w:tcPr>
          <w:p w14:paraId="0A1D4116" w14:textId="77777777" w:rsidR="00270F9A" w:rsidRPr="00A847B7" w:rsidRDefault="00270F9A" w:rsidP="00BE75C5">
            <w:pPr>
              <w:rPr>
                <w:rFonts w:cstheme="minorHAnsi"/>
              </w:rPr>
            </w:pPr>
            <w:r w:rsidRPr="00A847B7">
              <w:rPr>
                <w:rFonts w:cstheme="minorHAnsi"/>
              </w:rPr>
              <w:t xml:space="preserve">147 </w:t>
            </w:r>
          </w:p>
        </w:tc>
        <w:tc>
          <w:tcPr>
            <w:tcW w:w="2616" w:type="dxa"/>
          </w:tcPr>
          <w:p w14:paraId="1F56B1E6" w14:textId="77777777" w:rsidR="00270F9A" w:rsidRPr="00A847B7" w:rsidRDefault="00270F9A" w:rsidP="00BE75C5">
            <w:pPr>
              <w:rPr>
                <w:rFonts w:cstheme="minorHAnsi"/>
              </w:rPr>
            </w:pPr>
            <w:r w:rsidRPr="00A847B7">
              <w:rPr>
                <w:rFonts w:cstheme="minorHAnsi"/>
              </w:rPr>
              <w:t xml:space="preserve">500 </w:t>
            </w:r>
          </w:p>
        </w:tc>
      </w:tr>
      <w:tr w:rsidR="00270F9A" w:rsidRPr="00A847B7" w14:paraId="01AEF034" w14:textId="77777777" w:rsidTr="00394A15">
        <w:trPr>
          <w:trHeight w:val="109"/>
        </w:trPr>
        <w:tc>
          <w:tcPr>
            <w:tcW w:w="2616" w:type="dxa"/>
          </w:tcPr>
          <w:p w14:paraId="2A8C4BD3" w14:textId="77777777" w:rsidR="00270F9A" w:rsidRPr="00A847B7" w:rsidRDefault="00270F9A" w:rsidP="00BE75C5">
            <w:pPr>
              <w:rPr>
                <w:rFonts w:cstheme="minorHAnsi"/>
              </w:rPr>
            </w:pPr>
            <w:r w:rsidRPr="00A847B7">
              <w:rPr>
                <w:rFonts w:cstheme="minorHAnsi"/>
              </w:rPr>
              <w:t xml:space="preserve">148 </w:t>
            </w:r>
          </w:p>
        </w:tc>
        <w:tc>
          <w:tcPr>
            <w:tcW w:w="2616" w:type="dxa"/>
          </w:tcPr>
          <w:p w14:paraId="6345A3EF" w14:textId="77777777" w:rsidR="00270F9A" w:rsidRPr="00A847B7" w:rsidRDefault="00270F9A" w:rsidP="00BE75C5">
            <w:pPr>
              <w:rPr>
                <w:rFonts w:cstheme="minorHAnsi"/>
              </w:rPr>
            </w:pPr>
            <w:r w:rsidRPr="00A847B7">
              <w:rPr>
                <w:rFonts w:cstheme="minorHAnsi"/>
              </w:rPr>
              <w:t xml:space="preserve">518 </w:t>
            </w:r>
          </w:p>
        </w:tc>
      </w:tr>
      <w:tr w:rsidR="00270F9A" w:rsidRPr="00A847B7" w14:paraId="75D75242" w14:textId="77777777" w:rsidTr="00394A15">
        <w:trPr>
          <w:trHeight w:val="109"/>
        </w:trPr>
        <w:tc>
          <w:tcPr>
            <w:tcW w:w="2616" w:type="dxa"/>
          </w:tcPr>
          <w:p w14:paraId="2F41AF57" w14:textId="77777777" w:rsidR="00270F9A" w:rsidRPr="00A847B7" w:rsidRDefault="00270F9A" w:rsidP="00BE75C5">
            <w:pPr>
              <w:rPr>
                <w:rFonts w:cstheme="minorHAnsi"/>
              </w:rPr>
            </w:pPr>
            <w:r w:rsidRPr="00A847B7">
              <w:rPr>
                <w:rFonts w:cstheme="minorHAnsi"/>
              </w:rPr>
              <w:t xml:space="preserve">149 </w:t>
            </w:r>
          </w:p>
        </w:tc>
        <w:tc>
          <w:tcPr>
            <w:tcW w:w="2616" w:type="dxa"/>
          </w:tcPr>
          <w:p w14:paraId="05F07C25" w14:textId="77777777" w:rsidR="00270F9A" w:rsidRPr="00A847B7" w:rsidRDefault="00270F9A" w:rsidP="00BE75C5">
            <w:pPr>
              <w:rPr>
                <w:rFonts w:cstheme="minorHAnsi"/>
              </w:rPr>
            </w:pPr>
            <w:r w:rsidRPr="00A847B7">
              <w:rPr>
                <w:rFonts w:cstheme="minorHAnsi"/>
              </w:rPr>
              <w:t xml:space="preserve">551 </w:t>
            </w:r>
          </w:p>
        </w:tc>
      </w:tr>
      <w:tr w:rsidR="00270F9A" w:rsidRPr="00A847B7" w14:paraId="5CD0FE0F" w14:textId="77777777" w:rsidTr="00394A15">
        <w:trPr>
          <w:trHeight w:val="109"/>
        </w:trPr>
        <w:tc>
          <w:tcPr>
            <w:tcW w:w="2616" w:type="dxa"/>
          </w:tcPr>
          <w:p w14:paraId="607B9E5E" w14:textId="77777777" w:rsidR="00270F9A" w:rsidRPr="00A847B7" w:rsidRDefault="00270F9A" w:rsidP="00BE75C5">
            <w:pPr>
              <w:rPr>
                <w:rFonts w:cstheme="minorHAnsi"/>
              </w:rPr>
            </w:pPr>
            <w:r w:rsidRPr="00A847B7">
              <w:rPr>
                <w:rFonts w:cstheme="minorHAnsi"/>
              </w:rPr>
              <w:t xml:space="preserve">150 </w:t>
            </w:r>
          </w:p>
        </w:tc>
        <w:tc>
          <w:tcPr>
            <w:tcW w:w="2616" w:type="dxa"/>
          </w:tcPr>
          <w:p w14:paraId="017767AD" w14:textId="77777777" w:rsidR="00270F9A" w:rsidRPr="00A847B7" w:rsidRDefault="00270F9A" w:rsidP="00BE75C5">
            <w:pPr>
              <w:rPr>
                <w:rFonts w:cstheme="minorHAnsi"/>
              </w:rPr>
            </w:pPr>
            <w:r w:rsidRPr="00A847B7">
              <w:rPr>
                <w:rFonts w:cstheme="minorHAnsi"/>
              </w:rPr>
              <w:t xml:space="preserve">600 </w:t>
            </w:r>
          </w:p>
        </w:tc>
      </w:tr>
      <w:tr w:rsidR="00270F9A" w:rsidRPr="00A847B7" w14:paraId="6A78A48B" w14:textId="77777777" w:rsidTr="00394A15">
        <w:trPr>
          <w:trHeight w:val="109"/>
        </w:trPr>
        <w:tc>
          <w:tcPr>
            <w:tcW w:w="2616" w:type="dxa"/>
          </w:tcPr>
          <w:p w14:paraId="58AF77B7" w14:textId="77777777" w:rsidR="00270F9A" w:rsidRPr="00A847B7" w:rsidRDefault="00270F9A" w:rsidP="00BE75C5">
            <w:pPr>
              <w:rPr>
                <w:rFonts w:cstheme="minorHAnsi"/>
              </w:rPr>
            </w:pPr>
            <w:r w:rsidRPr="00A847B7">
              <w:rPr>
                <w:rFonts w:cstheme="minorHAnsi"/>
              </w:rPr>
              <w:t xml:space="preserve">151 </w:t>
            </w:r>
          </w:p>
        </w:tc>
        <w:tc>
          <w:tcPr>
            <w:tcW w:w="2616" w:type="dxa"/>
          </w:tcPr>
          <w:p w14:paraId="5E908CDB" w14:textId="77777777" w:rsidR="00270F9A" w:rsidRPr="00A847B7" w:rsidRDefault="00270F9A" w:rsidP="00BE75C5">
            <w:pPr>
              <w:rPr>
                <w:rFonts w:cstheme="minorHAnsi"/>
              </w:rPr>
            </w:pPr>
            <w:r w:rsidRPr="00A847B7">
              <w:rPr>
                <w:rFonts w:cstheme="minorHAnsi"/>
              </w:rPr>
              <w:t xml:space="preserve">664 </w:t>
            </w:r>
          </w:p>
        </w:tc>
      </w:tr>
      <w:tr w:rsidR="00270F9A" w:rsidRPr="00A847B7" w14:paraId="78576F77" w14:textId="77777777" w:rsidTr="00394A15">
        <w:trPr>
          <w:trHeight w:val="109"/>
        </w:trPr>
        <w:tc>
          <w:tcPr>
            <w:tcW w:w="2616" w:type="dxa"/>
          </w:tcPr>
          <w:p w14:paraId="314D536C" w14:textId="77777777" w:rsidR="00270F9A" w:rsidRPr="00A847B7" w:rsidRDefault="00270F9A" w:rsidP="00BE75C5">
            <w:pPr>
              <w:rPr>
                <w:rFonts w:cstheme="minorHAnsi"/>
              </w:rPr>
            </w:pPr>
            <w:r w:rsidRPr="00A847B7">
              <w:rPr>
                <w:rFonts w:cstheme="minorHAnsi"/>
              </w:rPr>
              <w:t xml:space="preserve">152 </w:t>
            </w:r>
          </w:p>
        </w:tc>
        <w:tc>
          <w:tcPr>
            <w:tcW w:w="2616" w:type="dxa"/>
          </w:tcPr>
          <w:p w14:paraId="7E86116D" w14:textId="77777777" w:rsidR="00270F9A" w:rsidRPr="00A847B7" w:rsidRDefault="00270F9A" w:rsidP="00BE75C5">
            <w:pPr>
              <w:rPr>
                <w:rFonts w:cstheme="minorHAnsi"/>
              </w:rPr>
            </w:pPr>
            <w:r w:rsidRPr="00A847B7">
              <w:rPr>
                <w:rFonts w:cstheme="minorHAnsi"/>
              </w:rPr>
              <w:t xml:space="preserve">730 </w:t>
            </w:r>
          </w:p>
        </w:tc>
      </w:tr>
      <w:tr w:rsidR="00270F9A" w:rsidRPr="00A847B7" w14:paraId="146A670E" w14:textId="77777777" w:rsidTr="00394A15">
        <w:trPr>
          <w:trHeight w:val="109"/>
        </w:trPr>
        <w:tc>
          <w:tcPr>
            <w:tcW w:w="2616" w:type="dxa"/>
          </w:tcPr>
          <w:p w14:paraId="4D5C2596" w14:textId="77777777" w:rsidR="00270F9A" w:rsidRPr="00A847B7" w:rsidRDefault="00270F9A" w:rsidP="00BE75C5">
            <w:pPr>
              <w:rPr>
                <w:rFonts w:cstheme="minorHAnsi"/>
              </w:rPr>
            </w:pPr>
            <w:r w:rsidRPr="00A847B7">
              <w:rPr>
                <w:rFonts w:cstheme="minorHAnsi"/>
              </w:rPr>
              <w:t xml:space="preserve">153 </w:t>
            </w:r>
          </w:p>
        </w:tc>
        <w:tc>
          <w:tcPr>
            <w:tcW w:w="2616" w:type="dxa"/>
          </w:tcPr>
          <w:p w14:paraId="631AC0FC" w14:textId="77777777" w:rsidR="00270F9A" w:rsidRPr="00A847B7" w:rsidRDefault="00270F9A" w:rsidP="00BE75C5">
            <w:pPr>
              <w:rPr>
                <w:rFonts w:cstheme="minorHAnsi"/>
              </w:rPr>
            </w:pPr>
            <w:r w:rsidRPr="00A847B7">
              <w:rPr>
                <w:rFonts w:cstheme="minorHAnsi"/>
              </w:rPr>
              <w:t xml:space="preserve">796 </w:t>
            </w:r>
          </w:p>
        </w:tc>
      </w:tr>
      <w:tr w:rsidR="00270F9A" w:rsidRPr="00A847B7" w14:paraId="1B43D0B1" w14:textId="77777777" w:rsidTr="00394A15">
        <w:trPr>
          <w:trHeight w:val="109"/>
        </w:trPr>
        <w:tc>
          <w:tcPr>
            <w:tcW w:w="2616" w:type="dxa"/>
          </w:tcPr>
          <w:p w14:paraId="51003FF4" w14:textId="77777777" w:rsidR="00270F9A" w:rsidRPr="00A847B7" w:rsidRDefault="00270F9A" w:rsidP="00BE75C5">
            <w:pPr>
              <w:rPr>
                <w:rFonts w:cstheme="minorHAnsi"/>
              </w:rPr>
            </w:pPr>
            <w:r w:rsidRPr="00A847B7">
              <w:rPr>
                <w:rFonts w:cstheme="minorHAnsi"/>
              </w:rPr>
              <w:t xml:space="preserve">154 </w:t>
            </w:r>
          </w:p>
        </w:tc>
        <w:tc>
          <w:tcPr>
            <w:tcW w:w="2616" w:type="dxa"/>
          </w:tcPr>
          <w:p w14:paraId="11A25281" w14:textId="77777777" w:rsidR="00270F9A" w:rsidRPr="00A847B7" w:rsidRDefault="00270F9A" w:rsidP="00BE75C5">
            <w:pPr>
              <w:rPr>
                <w:rFonts w:cstheme="minorHAnsi"/>
              </w:rPr>
            </w:pPr>
            <w:r w:rsidRPr="00A847B7">
              <w:rPr>
                <w:rFonts w:cstheme="minorHAnsi"/>
              </w:rPr>
              <w:t xml:space="preserve">847 </w:t>
            </w:r>
          </w:p>
        </w:tc>
      </w:tr>
      <w:tr w:rsidR="00270F9A" w:rsidRPr="00A847B7" w14:paraId="03FA6AD8" w14:textId="77777777" w:rsidTr="00394A15">
        <w:trPr>
          <w:trHeight w:val="109"/>
        </w:trPr>
        <w:tc>
          <w:tcPr>
            <w:tcW w:w="2616" w:type="dxa"/>
          </w:tcPr>
          <w:p w14:paraId="13A9E820" w14:textId="77777777" w:rsidR="00270F9A" w:rsidRPr="00A847B7" w:rsidRDefault="00270F9A" w:rsidP="00BE75C5">
            <w:pPr>
              <w:rPr>
                <w:rFonts w:cstheme="minorHAnsi"/>
              </w:rPr>
            </w:pPr>
            <w:r w:rsidRPr="00A847B7">
              <w:rPr>
                <w:rFonts w:cstheme="minorHAnsi"/>
              </w:rPr>
              <w:t xml:space="preserve">155 </w:t>
            </w:r>
          </w:p>
        </w:tc>
        <w:tc>
          <w:tcPr>
            <w:tcW w:w="2616" w:type="dxa"/>
          </w:tcPr>
          <w:p w14:paraId="783AD496" w14:textId="77777777" w:rsidR="00270F9A" w:rsidRPr="00A847B7" w:rsidRDefault="00270F9A" w:rsidP="00BE75C5">
            <w:pPr>
              <w:rPr>
                <w:rFonts w:cstheme="minorHAnsi"/>
              </w:rPr>
            </w:pPr>
            <w:r w:rsidRPr="00A847B7">
              <w:rPr>
                <w:rFonts w:cstheme="minorHAnsi"/>
              </w:rPr>
              <w:t xml:space="preserve">899 </w:t>
            </w:r>
          </w:p>
        </w:tc>
      </w:tr>
      <w:tr w:rsidR="00270F9A" w:rsidRPr="00A847B7" w14:paraId="54509320" w14:textId="77777777" w:rsidTr="00394A15">
        <w:trPr>
          <w:trHeight w:val="109"/>
        </w:trPr>
        <w:tc>
          <w:tcPr>
            <w:tcW w:w="2616" w:type="dxa"/>
          </w:tcPr>
          <w:p w14:paraId="38E186C2" w14:textId="77777777" w:rsidR="00270F9A" w:rsidRPr="00A847B7" w:rsidRDefault="00270F9A" w:rsidP="00BE75C5">
            <w:pPr>
              <w:rPr>
                <w:rFonts w:cstheme="minorHAnsi"/>
              </w:rPr>
            </w:pPr>
            <w:r w:rsidRPr="00A847B7">
              <w:rPr>
                <w:rFonts w:cstheme="minorHAnsi"/>
              </w:rPr>
              <w:t xml:space="preserve">156 </w:t>
            </w:r>
          </w:p>
        </w:tc>
        <w:tc>
          <w:tcPr>
            <w:tcW w:w="2616" w:type="dxa"/>
          </w:tcPr>
          <w:p w14:paraId="3EFB9359" w14:textId="77777777" w:rsidR="00270F9A" w:rsidRPr="00A847B7" w:rsidRDefault="00270F9A" w:rsidP="00BE75C5">
            <w:pPr>
              <w:rPr>
                <w:rFonts w:cstheme="minorHAnsi"/>
              </w:rPr>
            </w:pPr>
            <w:r w:rsidRPr="00A847B7">
              <w:rPr>
                <w:rFonts w:cstheme="minorHAnsi"/>
              </w:rPr>
              <w:t xml:space="preserve">952 </w:t>
            </w:r>
          </w:p>
        </w:tc>
      </w:tr>
      <w:tr w:rsidR="00270F9A" w:rsidRPr="00A847B7" w14:paraId="6905A482" w14:textId="77777777" w:rsidTr="00394A15">
        <w:trPr>
          <w:trHeight w:val="109"/>
        </w:trPr>
        <w:tc>
          <w:tcPr>
            <w:tcW w:w="2616" w:type="dxa"/>
          </w:tcPr>
          <w:p w14:paraId="32290BA4" w14:textId="77777777" w:rsidR="00270F9A" w:rsidRPr="00A847B7" w:rsidRDefault="00270F9A" w:rsidP="00BE75C5">
            <w:pPr>
              <w:rPr>
                <w:rFonts w:cstheme="minorHAnsi"/>
              </w:rPr>
            </w:pPr>
            <w:r w:rsidRPr="00A847B7">
              <w:rPr>
                <w:rFonts w:cstheme="minorHAnsi"/>
              </w:rPr>
              <w:t xml:space="preserve">157 </w:t>
            </w:r>
          </w:p>
        </w:tc>
        <w:tc>
          <w:tcPr>
            <w:tcW w:w="2616" w:type="dxa"/>
          </w:tcPr>
          <w:p w14:paraId="6BB06453" w14:textId="77777777" w:rsidR="00270F9A" w:rsidRPr="00A847B7" w:rsidRDefault="00270F9A" w:rsidP="00BE75C5">
            <w:pPr>
              <w:rPr>
                <w:rFonts w:cstheme="minorHAnsi"/>
              </w:rPr>
            </w:pPr>
            <w:r w:rsidRPr="00A847B7">
              <w:rPr>
                <w:rFonts w:cstheme="minorHAnsi"/>
              </w:rPr>
              <w:t xml:space="preserve">1 005 </w:t>
            </w:r>
          </w:p>
        </w:tc>
      </w:tr>
      <w:tr w:rsidR="00270F9A" w:rsidRPr="00A847B7" w14:paraId="628DD6FB" w14:textId="77777777" w:rsidTr="00394A15">
        <w:trPr>
          <w:trHeight w:val="109"/>
        </w:trPr>
        <w:tc>
          <w:tcPr>
            <w:tcW w:w="2616" w:type="dxa"/>
          </w:tcPr>
          <w:p w14:paraId="1884FFD9" w14:textId="77777777" w:rsidR="00270F9A" w:rsidRPr="00A847B7" w:rsidRDefault="00270F9A" w:rsidP="00BE75C5">
            <w:pPr>
              <w:rPr>
                <w:rFonts w:cstheme="minorHAnsi"/>
              </w:rPr>
            </w:pPr>
            <w:r w:rsidRPr="00A847B7">
              <w:rPr>
                <w:rFonts w:cstheme="minorHAnsi"/>
              </w:rPr>
              <w:t xml:space="preserve">158 </w:t>
            </w:r>
          </w:p>
        </w:tc>
        <w:tc>
          <w:tcPr>
            <w:tcW w:w="2616" w:type="dxa"/>
          </w:tcPr>
          <w:p w14:paraId="4157DB88" w14:textId="77777777" w:rsidR="00270F9A" w:rsidRPr="00A847B7" w:rsidRDefault="00270F9A" w:rsidP="00BE75C5">
            <w:pPr>
              <w:rPr>
                <w:rFonts w:cstheme="minorHAnsi"/>
              </w:rPr>
            </w:pPr>
            <w:r w:rsidRPr="00A847B7">
              <w:rPr>
                <w:rFonts w:cstheme="minorHAnsi"/>
              </w:rPr>
              <w:t xml:space="preserve">1 059 </w:t>
            </w:r>
          </w:p>
        </w:tc>
      </w:tr>
      <w:tr w:rsidR="00270F9A" w:rsidRPr="00A847B7" w14:paraId="5F8DA960" w14:textId="77777777" w:rsidTr="00394A15">
        <w:trPr>
          <w:trHeight w:val="109"/>
        </w:trPr>
        <w:tc>
          <w:tcPr>
            <w:tcW w:w="2616" w:type="dxa"/>
          </w:tcPr>
          <w:p w14:paraId="767D4E92" w14:textId="77777777" w:rsidR="00270F9A" w:rsidRPr="00A847B7" w:rsidRDefault="00270F9A" w:rsidP="00BE75C5">
            <w:pPr>
              <w:rPr>
                <w:rFonts w:cstheme="minorHAnsi"/>
              </w:rPr>
            </w:pPr>
            <w:r w:rsidRPr="00A847B7">
              <w:rPr>
                <w:rFonts w:cstheme="minorHAnsi"/>
              </w:rPr>
              <w:t xml:space="preserve">159 </w:t>
            </w:r>
          </w:p>
        </w:tc>
        <w:tc>
          <w:tcPr>
            <w:tcW w:w="2616" w:type="dxa"/>
          </w:tcPr>
          <w:p w14:paraId="403C2CC0" w14:textId="77777777" w:rsidR="00270F9A" w:rsidRPr="00A847B7" w:rsidRDefault="00270F9A" w:rsidP="00BE75C5">
            <w:pPr>
              <w:rPr>
                <w:rFonts w:cstheme="minorHAnsi"/>
              </w:rPr>
            </w:pPr>
            <w:r w:rsidRPr="00A847B7">
              <w:rPr>
                <w:rFonts w:cstheme="minorHAnsi"/>
              </w:rPr>
              <w:t xml:space="preserve">1 113 </w:t>
            </w:r>
          </w:p>
        </w:tc>
      </w:tr>
      <w:tr w:rsidR="00270F9A" w:rsidRPr="00A847B7" w14:paraId="05CDE2DD" w14:textId="77777777" w:rsidTr="00394A15">
        <w:trPr>
          <w:trHeight w:val="109"/>
        </w:trPr>
        <w:tc>
          <w:tcPr>
            <w:tcW w:w="2616" w:type="dxa"/>
          </w:tcPr>
          <w:p w14:paraId="58A7A9BB" w14:textId="77777777" w:rsidR="00270F9A" w:rsidRPr="00A847B7" w:rsidRDefault="00270F9A" w:rsidP="00BE75C5">
            <w:pPr>
              <w:rPr>
                <w:rFonts w:cstheme="minorHAnsi"/>
              </w:rPr>
            </w:pPr>
            <w:r w:rsidRPr="00A847B7">
              <w:rPr>
                <w:rFonts w:cstheme="minorHAnsi"/>
              </w:rPr>
              <w:t xml:space="preserve">160 </w:t>
            </w:r>
          </w:p>
        </w:tc>
        <w:tc>
          <w:tcPr>
            <w:tcW w:w="2616" w:type="dxa"/>
          </w:tcPr>
          <w:p w14:paraId="33274D51" w14:textId="77777777" w:rsidR="00270F9A" w:rsidRPr="00A847B7" w:rsidRDefault="00270F9A" w:rsidP="00BE75C5">
            <w:pPr>
              <w:rPr>
                <w:rFonts w:cstheme="minorHAnsi"/>
              </w:rPr>
            </w:pPr>
            <w:r w:rsidRPr="00A847B7">
              <w:rPr>
                <w:rFonts w:cstheme="minorHAnsi"/>
              </w:rPr>
              <w:t xml:space="preserve">1 168 </w:t>
            </w:r>
          </w:p>
        </w:tc>
      </w:tr>
      <w:tr w:rsidR="00270F9A" w:rsidRPr="00A847B7" w14:paraId="2F6F066A" w14:textId="77777777" w:rsidTr="00394A15">
        <w:trPr>
          <w:trHeight w:val="109"/>
        </w:trPr>
        <w:tc>
          <w:tcPr>
            <w:tcW w:w="2616" w:type="dxa"/>
          </w:tcPr>
          <w:p w14:paraId="4684E1DF" w14:textId="77777777" w:rsidR="00270F9A" w:rsidRPr="00A847B7" w:rsidRDefault="00270F9A" w:rsidP="00BE75C5">
            <w:pPr>
              <w:rPr>
                <w:rFonts w:cstheme="minorHAnsi"/>
              </w:rPr>
            </w:pPr>
            <w:r w:rsidRPr="00A847B7">
              <w:rPr>
                <w:rFonts w:cstheme="minorHAnsi"/>
              </w:rPr>
              <w:t xml:space="preserve">161 </w:t>
            </w:r>
          </w:p>
        </w:tc>
        <w:tc>
          <w:tcPr>
            <w:tcW w:w="2616" w:type="dxa"/>
          </w:tcPr>
          <w:p w14:paraId="72D9FA94" w14:textId="77777777" w:rsidR="00270F9A" w:rsidRPr="00A847B7" w:rsidRDefault="00270F9A" w:rsidP="00BE75C5">
            <w:pPr>
              <w:rPr>
                <w:rFonts w:cstheme="minorHAnsi"/>
              </w:rPr>
            </w:pPr>
            <w:r w:rsidRPr="00A847B7">
              <w:rPr>
                <w:rFonts w:cstheme="minorHAnsi"/>
              </w:rPr>
              <w:t xml:space="preserve">1 224 </w:t>
            </w:r>
          </w:p>
        </w:tc>
      </w:tr>
      <w:tr w:rsidR="002E5E21" w:rsidRPr="00A847B7" w14:paraId="4C7D850E" w14:textId="77777777" w:rsidTr="00394A15">
        <w:trPr>
          <w:trHeight w:val="109"/>
        </w:trPr>
        <w:tc>
          <w:tcPr>
            <w:tcW w:w="2616" w:type="dxa"/>
          </w:tcPr>
          <w:p w14:paraId="657DAC33" w14:textId="77777777" w:rsidR="002E5E21" w:rsidRPr="00A847B7" w:rsidRDefault="002E5E21" w:rsidP="00BE75C5">
            <w:pPr>
              <w:rPr>
                <w:rFonts w:cstheme="minorHAnsi"/>
              </w:rPr>
            </w:pPr>
            <w:r w:rsidRPr="00A847B7">
              <w:rPr>
                <w:rFonts w:cstheme="minorHAnsi"/>
              </w:rPr>
              <w:t xml:space="preserve">162 </w:t>
            </w:r>
          </w:p>
        </w:tc>
        <w:tc>
          <w:tcPr>
            <w:tcW w:w="2616" w:type="dxa"/>
          </w:tcPr>
          <w:p w14:paraId="214418F0" w14:textId="77777777" w:rsidR="002E5E21" w:rsidRPr="00A847B7" w:rsidRDefault="002E5E21" w:rsidP="00BE75C5">
            <w:pPr>
              <w:rPr>
                <w:rFonts w:cstheme="minorHAnsi"/>
              </w:rPr>
            </w:pPr>
            <w:r w:rsidRPr="00A847B7">
              <w:rPr>
                <w:rFonts w:cstheme="minorHAnsi"/>
              </w:rPr>
              <w:t xml:space="preserve">1 280 </w:t>
            </w:r>
          </w:p>
        </w:tc>
      </w:tr>
      <w:tr w:rsidR="002E5E21" w:rsidRPr="00A847B7" w14:paraId="7DA6C5FD" w14:textId="77777777" w:rsidTr="00394A15">
        <w:trPr>
          <w:trHeight w:val="109"/>
        </w:trPr>
        <w:tc>
          <w:tcPr>
            <w:tcW w:w="2616" w:type="dxa"/>
          </w:tcPr>
          <w:p w14:paraId="06664A13" w14:textId="77777777" w:rsidR="002E5E21" w:rsidRPr="00A847B7" w:rsidRDefault="002E5E21" w:rsidP="00BE75C5">
            <w:pPr>
              <w:rPr>
                <w:rFonts w:cstheme="minorHAnsi"/>
              </w:rPr>
            </w:pPr>
            <w:r w:rsidRPr="00A847B7">
              <w:rPr>
                <w:rFonts w:cstheme="minorHAnsi"/>
              </w:rPr>
              <w:t xml:space="preserve">163 </w:t>
            </w:r>
          </w:p>
        </w:tc>
        <w:tc>
          <w:tcPr>
            <w:tcW w:w="2616" w:type="dxa"/>
          </w:tcPr>
          <w:p w14:paraId="1D34622B" w14:textId="77777777" w:rsidR="002E5E21" w:rsidRPr="00A847B7" w:rsidRDefault="002E5E21" w:rsidP="00BE75C5">
            <w:pPr>
              <w:rPr>
                <w:rFonts w:cstheme="minorHAnsi"/>
              </w:rPr>
            </w:pPr>
            <w:r w:rsidRPr="00A847B7">
              <w:rPr>
                <w:rFonts w:cstheme="minorHAnsi"/>
              </w:rPr>
              <w:t xml:space="preserve">1 337 </w:t>
            </w:r>
          </w:p>
        </w:tc>
      </w:tr>
      <w:tr w:rsidR="002E5E21" w:rsidRPr="00A847B7" w14:paraId="6CC8117C" w14:textId="77777777" w:rsidTr="00394A15">
        <w:trPr>
          <w:trHeight w:val="109"/>
        </w:trPr>
        <w:tc>
          <w:tcPr>
            <w:tcW w:w="2616" w:type="dxa"/>
          </w:tcPr>
          <w:p w14:paraId="020667DC" w14:textId="77777777" w:rsidR="002E5E21" w:rsidRPr="00A847B7" w:rsidRDefault="002E5E21" w:rsidP="00BE75C5">
            <w:pPr>
              <w:rPr>
                <w:rFonts w:cstheme="minorHAnsi"/>
              </w:rPr>
            </w:pPr>
            <w:r w:rsidRPr="00A847B7">
              <w:rPr>
                <w:rFonts w:cstheme="minorHAnsi"/>
              </w:rPr>
              <w:t xml:space="preserve">164 </w:t>
            </w:r>
          </w:p>
        </w:tc>
        <w:tc>
          <w:tcPr>
            <w:tcW w:w="2616" w:type="dxa"/>
          </w:tcPr>
          <w:p w14:paraId="4ACB1A98" w14:textId="77777777" w:rsidR="002E5E21" w:rsidRPr="00A847B7" w:rsidRDefault="002E5E21" w:rsidP="00BE75C5">
            <w:pPr>
              <w:rPr>
                <w:rFonts w:cstheme="minorHAnsi"/>
              </w:rPr>
            </w:pPr>
            <w:r w:rsidRPr="00A847B7">
              <w:rPr>
                <w:rFonts w:cstheme="minorHAnsi"/>
              </w:rPr>
              <w:t xml:space="preserve">1 394 </w:t>
            </w:r>
          </w:p>
        </w:tc>
      </w:tr>
      <w:tr w:rsidR="002E5E21" w:rsidRPr="00A847B7" w14:paraId="2784BB12" w14:textId="77777777" w:rsidTr="00394A15">
        <w:trPr>
          <w:trHeight w:val="109"/>
        </w:trPr>
        <w:tc>
          <w:tcPr>
            <w:tcW w:w="2616" w:type="dxa"/>
          </w:tcPr>
          <w:p w14:paraId="5253B1D7" w14:textId="77777777" w:rsidR="002E5E21" w:rsidRPr="00A847B7" w:rsidRDefault="002E5E21" w:rsidP="00BE75C5">
            <w:pPr>
              <w:rPr>
                <w:rFonts w:cstheme="minorHAnsi"/>
              </w:rPr>
            </w:pPr>
            <w:r w:rsidRPr="00A847B7">
              <w:rPr>
                <w:rFonts w:cstheme="minorHAnsi"/>
              </w:rPr>
              <w:t xml:space="preserve">165 </w:t>
            </w:r>
          </w:p>
        </w:tc>
        <w:tc>
          <w:tcPr>
            <w:tcW w:w="2616" w:type="dxa"/>
          </w:tcPr>
          <w:p w14:paraId="6FDA5F3E" w14:textId="77777777" w:rsidR="002E5E21" w:rsidRPr="00A847B7" w:rsidRDefault="002E5E21" w:rsidP="00BE75C5">
            <w:pPr>
              <w:rPr>
                <w:rFonts w:cstheme="minorHAnsi"/>
              </w:rPr>
            </w:pPr>
            <w:r w:rsidRPr="00A847B7">
              <w:rPr>
                <w:rFonts w:cstheme="minorHAnsi"/>
              </w:rPr>
              <w:t xml:space="preserve">1 452 </w:t>
            </w:r>
          </w:p>
        </w:tc>
      </w:tr>
      <w:tr w:rsidR="002E5E21" w:rsidRPr="00A847B7" w14:paraId="4C1F6186" w14:textId="77777777" w:rsidTr="00394A15">
        <w:trPr>
          <w:trHeight w:val="109"/>
        </w:trPr>
        <w:tc>
          <w:tcPr>
            <w:tcW w:w="2616" w:type="dxa"/>
          </w:tcPr>
          <w:p w14:paraId="2A096A99" w14:textId="77777777" w:rsidR="002E5E21" w:rsidRPr="00A847B7" w:rsidRDefault="002E5E21" w:rsidP="00BE75C5">
            <w:pPr>
              <w:rPr>
                <w:rFonts w:cstheme="minorHAnsi"/>
              </w:rPr>
            </w:pPr>
            <w:r w:rsidRPr="00A847B7">
              <w:rPr>
                <w:rFonts w:cstheme="minorHAnsi"/>
              </w:rPr>
              <w:t xml:space="preserve">166 </w:t>
            </w:r>
          </w:p>
        </w:tc>
        <w:tc>
          <w:tcPr>
            <w:tcW w:w="2616" w:type="dxa"/>
          </w:tcPr>
          <w:p w14:paraId="464B26E1" w14:textId="77777777" w:rsidR="002E5E21" w:rsidRPr="00A847B7" w:rsidRDefault="002E5E21" w:rsidP="00BE75C5">
            <w:pPr>
              <w:rPr>
                <w:rFonts w:cstheme="minorHAnsi"/>
              </w:rPr>
            </w:pPr>
            <w:r w:rsidRPr="00A847B7">
              <w:rPr>
                <w:rFonts w:cstheme="minorHAnsi"/>
              </w:rPr>
              <w:t xml:space="preserve">1 511 </w:t>
            </w:r>
          </w:p>
        </w:tc>
      </w:tr>
      <w:tr w:rsidR="002E5E21" w:rsidRPr="00A847B7" w14:paraId="6231DED6" w14:textId="77777777" w:rsidTr="00394A15">
        <w:trPr>
          <w:trHeight w:val="109"/>
        </w:trPr>
        <w:tc>
          <w:tcPr>
            <w:tcW w:w="2616" w:type="dxa"/>
          </w:tcPr>
          <w:p w14:paraId="6AED3F13" w14:textId="77777777" w:rsidR="002E5E21" w:rsidRPr="00A847B7" w:rsidRDefault="002E5E21" w:rsidP="00BE75C5">
            <w:pPr>
              <w:rPr>
                <w:rFonts w:cstheme="minorHAnsi"/>
              </w:rPr>
            </w:pPr>
            <w:r w:rsidRPr="00A847B7">
              <w:rPr>
                <w:rFonts w:cstheme="minorHAnsi"/>
              </w:rPr>
              <w:lastRenderedPageBreak/>
              <w:t xml:space="preserve">167 </w:t>
            </w:r>
          </w:p>
        </w:tc>
        <w:tc>
          <w:tcPr>
            <w:tcW w:w="2616" w:type="dxa"/>
          </w:tcPr>
          <w:p w14:paraId="2A999D3C" w14:textId="77777777" w:rsidR="002E5E21" w:rsidRPr="00A847B7" w:rsidRDefault="002E5E21" w:rsidP="00BE75C5">
            <w:pPr>
              <w:rPr>
                <w:rFonts w:cstheme="minorHAnsi"/>
              </w:rPr>
            </w:pPr>
            <w:r w:rsidRPr="00A847B7">
              <w:rPr>
                <w:rFonts w:cstheme="minorHAnsi"/>
              </w:rPr>
              <w:t xml:space="preserve">1 570 </w:t>
            </w:r>
          </w:p>
        </w:tc>
      </w:tr>
      <w:tr w:rsidR="002E5E21" w:rsidRPr="00A847B7" w14:paraId="33D771EB" w14:textId="77777777" w:rsidTr="00394A15">
        <w:trPr>
          <w:trHeight w:val="109"/>
        </w:trPr>
        <w:tc>
          <w:tcPr>
            <w:tcW w:w="2616" w:type="dxa"/>
          </w:tcPr>
          <w:p w14:paraId="2E3EA1FE" w14:textId="77777777" w:rsidR="002E5E21" w:rsidRPr="00A847B7" w:rsidRDefault="002E5E21" w:rsidP="00BE75C5">
            <w:pPr>
              <w:rPr>
                <w:rFonts w:cstheme="minorHAnsi"/>
              </w:rPr>
            </w:pPr>
            <w:r w:rsidRPr="00A847B7">
              <w:rPr>
                <w:rFonts w:cstheme="minorHAnsi"/>
              </w:rPr>
              <w:t xml:space="preserve">168 </w:t>
            </w:r>
          </w:p>
        </w:tc>
        <w:tc>
          <w:tcPr>
            <w:tcW w:w="2616" w:type="dxa"/>
          </w:tcPr>
          <w:p w14:paraId="33D9567B" w14:textId="77777777" w:rsidR="002E5E21" w:rsidRPr="00A847B7" w:rsidRDefault="002E5E21" w:rsidP="00BE75C5">
            <w:pPr>
              <w:rPr>
                <w:rFonts w:cstheme="minorHAnsi"/>
              </w:rPr>
            </w:pPr>
            <w:r w:rsidRPr="00A847B7">
              <w:rPr>
                <w:rFonts w:cstheme="minorHAnsi"/>
              </w:rPr>
              <w:t xml:space="preserve">1 630 </w:t>
            </w:r>
          </w:p>
        </w:tc>
      </w:tr>
      <w:tr w:rsidR="002E5E21" w:rsidRPr="00A847B7" w14:paraId="57F3649B" w14:textId="77777777" w:rsidTr="00394A15">
        <w:trPr>
          <w:trHeight w:val="109"/>
        </w:trPr>
        <w:tc>
          <w:tcPr>
            <w:tcW w:w="2616" w:type="dxa"/>
          </w:tcPr>
          <w:p w14:paraId="6B3A17EA" w14:textId="77777777" w:rsidR="002E5E21" w:rsidRPr="00A847B7" w:rsidRDefault="002E5E21" w:rsidP="00BE75C5">
            <w:pPr>
              <w:rPr>
                <w:rFonts w:cstheme="minorHAnsi"/>
              </w:rPr>
            </w:pPr>
            <w:r w:rsidRPr="00A847B7">
              <w:rPr>
                <w:rFonts w:cstheme="minorHAnsi"/>
              </w:rPr>
              <w:t xml:space="preserve">169 </w:t>
            </w:r>
          </w:p>
        </w:tc>
        <w:tc>
          <w:tcPr>
            <w:tcW w:w="2616" w:type="dxa"/>
          </w:tcPr>
          <w:p w14:paraId="2EB45A27" w14:textId="77777777" w:rsidR="002E5E21" w:rsidRPr="00A847B7" w:rsidRDefault="002E5E21" w:rsidP="00BE75C5">
            <w:pPr>
              <w:rPr>
                <w:rFonts w:cstheme="minorHAnsi"/>
              </w:rPr>
            </w:pPr>
            <w:r w:rsidRPr="00A847B7">
              <w:rPr>
                <w:rFonts w:cstheme="minorHAnsi"/>
              </w:rPr>
              <w:t xml:space="preserve">1 690 </w:t>
            </w:r>
          </w:p>
        </w:tc>
      </w:tr>
      <w:tr w:rsidR="002E5E21" w:rsidRPr="00A847B7" w14:paraId="54184143" w14:textId="77777777" w:rsidTr="00394A15">
        <w:trPr>
          <w:trHeight w:val="109"/>
        </w:trPr>
        <w:tc>
          <w:tcPr>
            <w:tcW w:w="2616" w:type="dxa"/>
          </w:tcPr>
          <w:p w14:paraId="2F67715D" w14:textId="77777777" w:rsidR="002E5E21" w:rsidRPr="00A847B7" w:rsidRDefault="002E5E21" w:rsidP="00BE75C5">
            <w:pPr>
              <w:rPr>
                <w:rFonts w:cstheme="minorHAnsi"/>
              </w:rPr>
            </w:pPr>
            <w:r w:rsidRPr="00A847B7">
              <w:rPr>
                <w:rFonts w:cstheme="minorHAnsi"/>
              </w:rPr>
              <w:t xml:space="preserve">170 </w:t>
            </w:r>
          </w:p>
        </w:tc>
        <w:tc>
          <w:tcPr>
            <w:tcW w:w="2616" w:type="dxa"/>
          </w:tcPr>
          <w:p w14:paraId="2E74DB92" w14:textId="77777777" w:rsidR="002E5E21" w:rsidRPr="00A847B7" w:rsidRDefault="002E5E21" w:rsidP="00BE75C5">
            <w:pPr>
              <w:rPr>
                <w:rFonts w:cstheme="minorHAnsi"/>
              </w:rPr>
            </w:pPr>
            <w:r w:rsidRPr="00A847B7">
              <w:rPr>
                <w:rFonts w:cstheme="minorHAnsi"/>
              </w:rPr>
              <w:t xml:space="preserve">1 751 </w:t>
            </w:r>
          </w:p>
        </w:tc>
      </w:tr>
      <w:tr w:rsidR="002E5E21" w:rsidRPr="00A847B7" w14:paraId="69896DAD" w14:textId="77777777" w:rsidTr="00394A15">
        <w:trPr>
          <w:trHeight w:val="109"/>
        </w:trPr>
        <w:tc>
          <w:tcPr>
            <w:tcW w:w="2616" w:type="dxa"/>
          </w:tcPr>
          <w:p w14:paraId="418C7D48" w14:textId="77777777" w:rsidR="002E5E21" w:rsidRPr="00A847B7" w:rsidRDefault="002E5E21" w:rsidP="00BE75C5">
            <w:pPr>
              <w:rPr>
                <w:rFonts w:cstheme="minorHAnsi"/>
              </w:rPr>
            </w:pPr>
            <w:r w:rsidRPr="00A847B7">
              <w:rPr>
                <w:rFonts w:cstheme="minorHAnsi"/>
              </w:rPr>
              <w:t xml:space="preserve">171 </w:t>
            </w:r>
          </w:p>
        </w:tc>
        <w:tc>
          <w:tcPr>
            <w:tcW w:w="2616" w:type="dxa"/>
          </w:tcPr>
          <w:p w14:paraId="45AF1A1C" w14:textId="77777777" w:rsidR="002E5E21" w:rsidRPr="00A847B7" w:rsidRDefault="002E5E21" w:rsidP="00BE75C5">
            <w:pPr>
              <w:rPr>
                <w:rFonts w:cstheme="minorHAnsi"/>
              </w:rPr>
            </w:pPr>
            <w:r w:rsidRPr="00A847B7">
              <w:rPr>
                <w:rFonts w:cstheme="minorHAnsi"/>
              </w:rPr>
              <w:t xml:space="preserve">1 813 </w:t>
            </w:r>
          </w:p>
        </w:tc>
      </w:tr>
      <w:tr w:rsidR="002E5E21" w:rsidRPr="00A847B7" w14:paraId="01CBBD76" w14:textId="77777777" w:rsidTr="00394A15">
        <w:trPr>
          <w:trHeight w:val="109"/>
        </w:trPr>
        <w:tc>
          <w:tcPr>
            <w:tcW w:w="2616" w:type="dxa"/>
          </w:tcPr>
          <w:p w14:paraId="584166F4" w14:textId="77777777" w:rsidR="002E5E21" w:rsidRPr="00A847B7" w:rsidRDefault="002E5E21" w:rsidP="00BE75C5">
            <w:pPr>
              <w:rPr>
                <w:rFonts w:cstheme="minorHAnsi"/>
              </w:rPr>
            </w:pPr>
            <w:r w:rsidRPr="00A847B7">
              <w:rPr>
                <w:rFonts w:cstheme="minorHAnsi"/>
              </w:rPr>
              <w:t xml:space="preserve">172 </w:t>
            </w:r>
          </w:p>
        </w:tc>
        <w:tc>
          <w:tcPr>
            <w:tcW w:w="2616" w:type="dxa"/>
          </w:tcPr>
          <w:p w14:paraId="60178810" w14:textId="77777777" w:rsidR="002E5E21" w:rsidRPr="00A847B7" w:rsidRDefault="002E5E21" w:rsidP="00BE75C5">
            <w:pPr>
              <w:rPr>
                <w:rFonts w:cstheme="minorHAnsi"/>
              </w:rPr>
            </w:pPr>
            <w:r w:rsidRPr="00A847B7">
              <w:rPr>
                <w:rFonts w:cstheme="minorHAnsi"/>
              </w:rPr>
              <w:t xml:space="preserve">1 875 </w:t>
            </w:r>
          </w:p>
        </w:tc>
      </w:tr>
      <w:tr w:rsidR="002E5E21" w:rsidRPr="00A847B7" w14:paraId="3C863BDD" w14:textId="77777777" w:rsidTr="00394A15">
        <w:trPr>
          <w:trHeight w:val="109"/>
        </w:trPr>
        <w:tc>
          <w:tcPr>
            <w:tcW w:w="2616" w:type="dxa"/>
          </w:tcPr>
          <w:p w14:paraId="002FFDB6" w14:textId="77777777" w:rsidR="002E5E21" w:rsidRPr="00A847B7" w:rsidRDefault="002E5E21" w:rsidP="00BE75C5">
            <w:pPr>
              <w:rPr>
                <w:rFonts w:cstheme="minorHAnsi"/>
              </w:rPr>
            </w:pPr>
            <w:r w:rsidRPr="00A847B7">
              <w:rPr>
                <w:rFonts w:cstheme="minorHAnsi"/>
              </w:rPr>
              <w:t xml:space="preserve">173 </w:t>
            </w:r>
          </w:p>
        </w:tc>
        <w:tc>
          <w:tcPr>
            <w:tcW w:w="2616" w:type="dxa"/>
          </w:tcPr>
          <w:p w14:paraId="4C24D82E" w14:textId="77777777" w:rsidR="002E5E21" w:rsidRPr="00A847B7" w:rsidRDefault="002E5E21" w:rsidP="00BE75C5">
            <w:pPr>
              <w:rPr>
                <w:rFonts w:cstheme="minorHAnsi"/>
              </w:rPr>
            </w:pPr>
            <w:r w:rsidRPr="00A847B7">
              <w:rPr>
                <w:rFonts w:cstheme="minorHAnsi"/>
              </w:rPr>
              <w:t xml:space="preserve">1 938 </w:t>
            </w:r>
          </w:p>
        </w:tc>
      </w:tr>
      <w:tr w:rsidR="002E5E21" w:rsidRPr="00A847B7" w14:paraId="55482875" w14:textId="77777777" w:rsidTr="00394A15">
        <w:trPr>
          <w:trHeight w:val="109"/>
        </w:trPr>
        <w:tc>
          <w:tcPr>
            <w:tcW w:w="2616" w:type="dxa"/>
          </w:tcPr>
          <w:p w14:paraId="04B37118" w14:textId="77777777" w:rsidR="002E5E21" w:rsidRPr="00A847B7" w:rsidRDefault="002E5E21" w:rsidP="00BE75C5">
            <w:pPr>
              <w:rPr>
                <w:rFonts w:cstheme="minorHAnsi"/>
              </w:rPr>
            </w:pPr>
            <w:r w:rsidRPr="00A847B7">
              <w:rPr>
                <w:rFonts w:cstheme="minorHAnsi"/>
              </w:rPr>
              <w:t xml:space="preserve">174 </w:t>
            </w:r>
          </w:p>
        </w:tc>
        <w:tc>
          <w:tcPr>
            <w:tcW w:w="2616" w:type="dxa"/>
          </w:tcPr>
          <w:p w14:paraId="73065718" w14:textId="77777777" w:rsidR="002E5E21" w:rsidRPr="00A847B7" w:rsidRDefault="002E5E21" w:rsidP="00BE75C5">
            <w:pPr>
              <w:rPr>
                <w:rFonts w:cstheme="minorHAnsi"/>
              </w:rPr>
            </w:pPr>
            <w:r w:rsidRPr="00A847B7">
              <w:rPr>
                <w:rFonts w:cstheme="minorHAnsi"/>
              </w:rPr>
              <w:t xml:space="preserve">2 001 </w:t>
            </w:r>
          </w:p>
        </w:tc>
      </w:tr>
      <w:tr w:rsidR="002E5E21" w:rsidRPr="00A847B7" w14:paraId="289B83F8" w14:textId="77777777" w:rsidTr="00394A15">
        <w:trPr>
          <w:trHeight w:val="109"/>
        </w:trPr>
        <w:tc>
          <w:tcPr>
            <w:tcW w:w="2616" w:type="dxa"/>
          </w:tcPr>
          <w:p w14:paraId="4C44EA58" w14:textId="77777777" w:rsidR="002E5E21" w:rsidRPr="00A847B7" w:rsidRDefault="002E5E21" w:rsidP="00BE75C5">
            <w:pPr>
              <w:rPr>
                <w:rFonts w:cstheme="minorHAnsi"/>
              </w:rPr>
            </w:pPr>
            <w:r w:rsidRPr="00A847B7">
              <w:rPr>
                <w:rFonts w:cstheme="minorHAnsi"/>
              </w:rPr>
              <w:t xml:space="preserve">175 </w:t>
            </w:r>
          </w:p>
        </w:tc>
        <w:tc>
          <w:tcPr>
            <w:tcW w:w="2616" w:type="dxa"/>
          </w:tcPr>
          <w:p w14:paraId="0ADF03A5" w14:textId="77777777" w:rsidR="002E5E21" w:rsidRPr="00A847B7" w:rsidRDefault="002E5E21" w:rsidP="00BE75C5">
            <w:pPr>
              <w:rPr>
                <w:rFonts w:cstheme="minorHAnsi"/>
              </w:rPr>
            </w:pPr>
            <w:r w:rsidRPr="00A847B7">
              <w:rPr>
                <w:rFonts w:cstheme="minorHAnsi"/>
              </w:rPr>
              <w:t xml:space="preserve">2 065 </w:t>
            </w:r>
          </w:p>
        </w:tc>
      </w:tr>
      <w:tr w:rsidR="002E5E21" w:rsidRPr="00A847B7" w14:paraId="3511888D" w14:textId="77777777" w:rsidTr="00394A15">
        <w:trPr>
          <w:trHeight w:val="109"/>
        </w:trPr>
        <w:tc>
          <w:tcPr>
            <w:tcW w:w="2616" w:type="dxa"/>
          </w:tcPr>
          <w:p w14:paraId="71228F51" w14:textId="77777777" w:rsidR="002E5E21" w:rsidRPr="00A847B7" w:rsidRDefault="002E5E21" w:rsidP="00BE75C5">
            <w:pPr>
              <w:rPr>
                <w:rFonts w:cstheme="minorHAnsi"/>
              </w:rPr>
            </w:pPr>
            <w:r w:rsidRPr="00A847B7">
              <w:rPr>
                <w:rFonts w:cstheme="minorHAnsi"/>
              </w:rPr>
              <w:t xml:space="preserve">176 </w:t>
            </w:r>
          </w:p>
        </w:tc>
        <w:tc>
          <w:tcPr>
            <w:tcW w:w="2616" w:type="dxa"/>
          </w:tcPr>
          <w:p w14:paraId="55E1088A" w14:textId="77777777" w:rsidR="002E5E21" w:rsidRPr="00A847B7" w:rsidRDefault="002E5E21" w:rsidP="00BE75C5">
            <w:pPr>
              <w:rPr>
                <w:rFonts w:cstheme="minorHAnsi"/>
              </w:rPr>
            </w:pPr>
            <w:r w:rsidRPr="00A847B7">
              <w:rPr>
                <w:rFonts w:cstheme="minorHAnsi"/>
              </w:rPr>
              <w:t xml:space="preserve">2 130 </w:t>
            </w:r>
          </w:p>
        </w:tc>
      </w:tr>
      <w:tr w:rsidR="002E5E21" w:rsidRPr="00A847B7" w14:paraId="2F00B60C" w14:textId="77777777" w:rsidTr="00394A15">
        <w:trPr>
          <w:trHeight w:val="109"/>
        </w:trPr>
        <w:tc>
          <w:tcPr>
            <w:tcW w:w="2616" w:type="dxa"/>
          </w:tcPr>
          <w:p w14:paraId="7CB04AB5" w14:textId="77777777" w:rsidR="002E5E21" w:rsidRPr="00A847B7" w:rsidRDefault="002E5E21" w:rsidP="00BE75C5">
            <w:pPr>
              <w:rPr>
                <w:rFonts w:cstheme="minorHAnsi"/>
              </w:rPr>
            </w:pPr>
            <w:r w:rsidRPr="00A847B7">
              <w:rPr>
                <w:rFonts w:cstheme="minorHAnsi"/>
              </w:rPr>
              <w:t xml:space="preserve">177 </w:t>
            </w:r>
          </w:p>
        </w:tc>
        <w:tc>
          <w:tcPr>
            <w:tcW w:w="2616" w:type="dxa"/>
          </w:tcPr>
          <w:p w14:paraId="122EF885" w14:textId="77777777" w:rsidR="002E5E21" w:rsidRPr="00A847B7" w:rsidRDefault="002E5E21" w:rsidP="00BE75C5">
            <w:pPr>
              <w:rPr>
                <w:rFonts w:cstheme="minorHAnsi"/>
              </w:rPr>
            </w:pPr>
            <w:r w:rsidRPr="00A847B7">
              <w:rPr>
                <w:rFonts w:cstheme="minorHAnsi"/>
              </w:rPr>
              <w:t xml:space="preserve">2 195 </w:t>
            </w:r>
          </w:p>
        </w:tc>
      </w:tr>
      <w:tr w:rsidR="002E5E21" w:rsidRPr="00A847B7" w14:paraId="53C0CA6D" w14:textId="77777777" w:rsidTr="00394A15">
        <w:trPr>
          <w:trHeight w:val="109"/>
        </w:trPr>
        <w:tc>
          <w:tcPr>
            <w:tcW w:w="2616" w:type="dxa"/>
          </w:tcPr>
          <w:p w14:paraId="4954B8E2" w14:textId="77777777" w:rsidR="002E5E21" w:rsidRPr="00A847B7" w:rsidRDefault="002E5E21" w:rsidP="00BE75C5">
            <w:pPr>
              <w:rPr>
                <w:rFonts w:cstheme="minorHAnsi"/>
              </w:rPr>
            </w:pPr>
            <w:r w:rsidRPr="00A847B7">
              <w:rPr>
                <w:rFonts w:cstheme="minorHAnsi"/>
              </w:rPr>
              <w:t xml:space="preserve">178 </w:t>
            </w:r>
          </w:p>
        </w:tc>
        <w:tc>
          <w:tcPr>
            <w:tcW w:w="2616" w:type="dxa"/>
          </w:tcPr>
          <w:p w14:paraId="52459DBA" w14:textId="77777777" w:rsidR="002E5E21" w:rsidRPr="00A847B7" w:rsidRDefault="002E5E21" w:rsidP="00BE75C5">
            <w:pPr>
              <w:rPr>
                <w:rFonts w:cstheme="minorHAnsi"/>
              </w:rPr>
            </w:pPr>
            <w:r w:rsidRPr="00A847B7">
              <w:rPr>
                <w:rFonts w:cstheme="minorHAnsi"/>
              </w:rPr>
              <w:t xml:space="preserve">2 261 </w:t>
            </w:r>
          </w:p>
        </w:tc>
      </w:tr>
      <w:tr w:rsidR="002E5E21" w:rsidRPr="00A847B7" w14:paraId="1A439559" w14:textId="77777777" w:rsidTr="00394A15">
        <w:trPr>
          <w:trHeight w:val="109"/>
        </w:trPr>
        <w:tc>
          <w:tcPr>
            <w:tcW w:w="2616" w:type="dxa"/>
          </w:tcPr>
          <w:p w14:paraId="262299FB" w14:textId="77777777" w:rsidR="002E5E21" w:rsidRPr="00A847B7" w:rsidRDefault="002E5E21" w:rsidP="00BE75C5">
            <w:pPr>
              <w:rPr>
                <w:rFonts w:cstheme="minorHAnsi"/>
              </w:rPr>
            </w:pPr>
            <w:r w:rsidRPr="00A847B7">
              <w:rPr>
                <w:rFonts w:cstheme="minorHAnsi"/>
              </w:rPr>
              <w:t xml:space="preserve">179 </w:t>
            </w:r>
          </w:p>
        </w:tc>
        <w:tc>
          <w:tcPr>
            <w:tcW w:w="2616" w:type="dxa"/>
          </w:tcPr>
          <w:p w14:paraId="1879F89E" w14:textId="77777777" w:rsidR="002E5E21" w:rsidRPr="00A847B7" w:rsidRDefault="002E5E21" w:rsidP="00BE75C5">
            <w:pPr>
              <w:rPr>
                <w:rFonts w:cstheme="minorHAnsi"/>
              </w:rPr>
            </w:pPr>
            <w:r w:rsidRPr="00A847B7">
              <w:rPr>
                <w:rFonts w:cstheme="minorHAnsi"/>
              </w:rPr>
              <w:t xml:space="preserve">2 327 </w:t>
            </w:r>
          </w:p>
        </w:tc>
      </w:tr>
      <w:tr w:rsidR="002E5E21" w:rsidRPr="00A847B7" w14:paraId="15D4A507" w14:textId="77777777" w:rsidTr="00394A15">
        <w:trPr>
          <w:trHeight w:val="109"/>
        </w:trPr>
        <w:tc>
          <w:tcPr>
            <w:tcW w:w="2616" w:type="dxa"/>
          </w:tcPr>
          <w:p w14:paraId="2DC549E8" w14:textId="77777777" w:rsidR="002E5E21" w:rsidRPr="00A847B7" w:rsidRDefault="002E5E21" w:rsidP="00BE75C5">
            <w:pPr>
              <w:rPr>
                <w:rFonts w:cstheme="minorHAnsi"/>
              </w:rPr>
            </w:pPr>
            <w:r w:rsidRPr="00A847B7">
              <w:rPr>
                <w:rFonts w:cstheme="minorHAnsi"/>
              </w:rPr>
              <w:t xml:space="preserve">180 </w:t>
            </w:r>
          </w:p>
        </w:tc>
        <w:tc>
          <w:tcPr>
            <w:tcW w:w="2616" w:type="dxa"/>
          </w:tcPr>
          <w:p w14:paraId="04B10334" w14:textId="77777777" w:rsidR="002E5E21" w:rsidRPr="00A847B7" w:rsidRDefault="002E5E21" w:rsidP="00BE75C5">
            <w:pPr>
              <w:rPr>
                <w:rFonts w:cstheme="minorHAnsi"/>
              </w:rPr>
            </w:pPr>
            <w:r w:rsidRPr="00A847B7">
              <w:rPr>
                <w:rFonts w:cstheme="minorHAnsi"/>
              </w:rPr>
              <w:t xml:space="preserve">2 394 </w:t>
            </w:r>
          </w:p>
        </w:tc>
      </w:tr>
      <w:tr w:rsidR="002E5E21" w:rsidRPr="00A847B7" w14:paraId="0DCD10D1" w14:textId="77777777" w:rsidTr="00394A15">
        <w:trPr>
          <w:trHeight w:val="109"/>
        </w:trPr>
        <w:tc>
          <w:tcPr>
            <w:tcW w:w="2616" w:type="dxa"/>
          </w:tcPr>
          <w:p w14:paraId="19CBCDCB" w14:textId="77777777" w:rsidR="002E5E21" w:rsidRPr="00A847B7" w:rsidRDefault="002E5E21" w:rsidP="00BE75C5">
            <w:pPr>
              <w:rPr>
                <w:rFonts w:cstheme="minorHAnsi"/>
              </w:rPr>
            </w:pPr>
            <w:r w:rsidRPr="00A847B7">
              <w:rPr>
                <w:rFonts w:cstheme="minorHAnsi"/>
              </w:rPr>
              <w:t xml:space="preserve">181 </w:t>
            </w:r>
          </w:p>
        </w:tc>
        <w:tc>
          <w:tcPr>
            <w:tcW w:w="2616" w:type="dxa"/>
          </w:tcPr>
          <w:p w14:paraId="3AA2ACD4" w14:textId="77777777" w:rsidR="002E5E21" w:rsidRPr="00A847B7" w:rsidRDefault="002E5E21" w:rsidP="00BE75C5">
            <w:pPr>
              <w:rPr>
                <w:rFonts w:cstheme="minorHAnsi"/>
              </w:rPr>
            </w:pPr>
            <w:r w:rsidRPr="00A847B7">
              <w:rPr>
                <w:rFonts w:cstheme="minorHAnsi"/>
              </w:rPr>
              <w:t xml:space="preserve">2 480 </w:t>
            </w:r>
          </w:p>
        </w:tc>
      </w:tr>
      <w:tr w:rsidR="002E5E21" w:rsidRPr="00A847B7" w14:paraId="04B8DEB6" w14:textId="77777777" w:rsidTr="00394A15">
        <w:trPr>
          <w:trHeight w:val="109"/>
        </w:trPr>
        <w:tc>
          <w:tcPr>
            <w:tcW w:w="2616" w:type="dxa"/>
          </w:tcPr>
          <w:p w14:paraId="0F0AE690" w14:textId="77777777" w:rsidR="002E5E21" w:rsidRPr="00A847B7" w:rsidRDefault="002E5E21" w:rsidP="00BE75C5">
            <w:pPr>
              <w:rPr>
                <w:rFonts w:cstheme="minorHAnsi"/>
              </w:rPr>
            </w:pPr>
            <w:r w:rsidRPr="00A847B7">
              <w:rPr>
                <w:rFonts w:cstheme="minorHAnsi"/>
              </w:rPr>
              <w:t xml:space="preserve">182 </w:t>
            </w:r>
          </w:p>
        </w:tc>
        <w:tc>
          <w:tcPr>
            <w:tcW w:w="2616" w:type="dxa"/>
          </w:tcPr>
          <w:p w14:paraId="303BE47A" w14:textId="77777777" w:rsidR="002E5E21" w:rsidRPr="00A847B7" w:rsidRDefault="002E5E21" w:rsidP="00BE75C5">
            <w:pPr>
              <w:rPr>
                <w:rFonts w:cstheme="minorHAnsi"/>
              </w:rPr>
            </w:pPr>
            <w:r w:rsidRPr="00A847B7">
              <w:rPr>
                <w:rFonts w:cstheme="minorHAnsi"/>
              </w:rPr>
              <w:t xml:space="preserve">2 548 </w:t>
            </w:r>
          </w:p>
        </w:tc>
      </w:tr>
      <w:tr w:rsidR="002E5E21" w:rsidRPr="00A847B7" w14:paraId="359702F0" w14:textId="77777777" w:rsidTr="00394A15">
        <w:trPr>
          <w:trHeight w:val="109"/>
        </w:trPr>
        <w:tc>
          <w:tcPr>
            <w:tcW w:w="2616" w:type="dxa"/>
          </w:tcPr>
          <w:p w14:paraId="43449D0C" w14:textId="77777777" w:rsidR="002E5E21" w:rsidRPr="00A847B7" w:rsidRDefault="002E5E21" w:rsidP="00BE75C5">
            <w:pPr>
              <w:rPr>
                <w:rFonts w:cstheme="minorHAnsi"/>
              </w:rPr>
            </w:pPr>
            <w:r w:rsidRPr="00A847B7">
              <w:rPr>
                <w:rFonts w:cstheme="minorHAnsi"/>
              </w:rPr>
              <w:t xml:space="preserve">183 </w:t>
            </w:r>
          </w:p>
        </w:tc>
        <w:tc>
          <w:tcPr>
            <w:tcW w:w="2616" w:type="dxa"/>
          </w:tcPr>
          <w:p w14:paraId="3A49A04A" w14:textId="77777777" w:rsidR="002E5E21" w:rsidRPr="00A847B7" w:rsidRDefault="002E5E21" w:rsidP="00BE75C5">
            <w:pPr>
              <w:rPr>
                <w:rFonts w:cstheme="minorHAnsi"/>
              </w:rPr>
            </w:pPr>
            <w:r w:rsidRPr="00A847B7">
              <w:rPr>
                <w:rFonts w:cstheme="minorHAnsi"/>
              </w:rPr>
              <w:t xml:space="preserve">2 617 </w:t>
            </w:r>
          </w:p>
        </w:tc>
      </w:tr>
      <w:tr w:rsidR="002E5E21" w:rsidRPr="00A847B7" w14:paraId="7CD271FA" w14:textId="77777777" w:rsidTr="00394A15">
        <w:trPr>
          <w:trHeight w:val="109"/>
        </w:trPr>
        <w:tc>
          <w:tcPr>
            <w:tcW w:w="2616" w:type="dxa"/>
          </w:tcPr>
          <w:p w14:paraId="7D5872AC" w14:textId="77777777" w:rsidR="002E5E21" w:rsidRPr="00A847B7" w:rsidRDefault="002E5E21" w:rsidP="00BE75C5">
            <w:pPr>
              <w:rPr>
                <w:rFonts w:cstheme="minorHAnsi"/>
              </w:rPr>
            </w:pPr>
            <w:r w:rsidRPr="00A847B7">
              <w:rPr>
                <w:rFonts w:cstheme="minorHAnsi"/>
              </w:rPr>
              <w:t xml:space="preserve">184 </w:t>
            </w:r>
          </w:p>
        </w:tc>
        <w:tc>
          <w:tcPr>
            <w:tcW w:w="2616" w:type="dxa"/>
          </w:tcPr>
          <w:p w14:paraId="4534273F" w14:textId="77777777" w:rsidR="002E5E21" w:rsidRPr="00A847B7" w:rsidRDefault="002E5E21" w:rsidP="00BE75C5">
            <w:pPr>
              <w:rPr>
                <w:rFonts w:cstheme="minorHAnsi"/>
              </w:rPr>
            </w:pPr>
            <w:r w:rsidRPr="00A847B7">
              <w:rPr>
                <w:rFonts w:cstheme="minorHAnsi"/>
              </w:rPr>
              <w:t xml:space="preserve">2 686 </w:t>
            </w:r>
          </w:p>
        </w:tc>
      </w:tr>
      <w:tr w:rsidR="002E5E21" w:rsidRPr="00A847B7" w14:paraId="4DA92E18" w14:textId="77777777" w:rsidTr="00394A15">
        <w:trPr>
          <w:trHeight w:val="109"/>
        </w:trPr>
        <w:tc>
          <w:tcPr>
            <w:tcW w:w="2616" w:type="dxa"/>
          </w:tcPr>
          <w:p w14:paraId="306B78B6" w14:textId="77777777" w:rsidR="002E5E21" w:rsidRPr="00A847B7" w:rsidRDefault="002E5E21" w:rsidP="00BE75C5">
            <w:pPr>
              <w:rPr>
                <w:rFonts w:cstheme="minorHAnsi"/>
              </w:rPr>
            </w:pPr>
            <w:r w:rsidRPr="00A847B7">
              <w:rPr>
                <w:rFonts w:cstheme="minorHAnsi"/>
              </w:rPr>
              <w:t xml:space="preserve">185 </w:t>
            </w:r>
          </w:p>
        </w:tc>
        <w:tc>
          <w:tcPr>
            <w:tcW w:w="2616" w:type="dxa"/>
          </w:tcPr>
          <w:p w14:paraId="26029F62" w14:textId="77777777" w:rsidR="002E5E21" w:rsidRPr="00A847B7" w:rsidRDefault="002E5E21" w:rsidP="00BE75C5">
            <w:pPr>
              <w:rPr>
                <w:rFonts w:cstheme="minorHAnsi"/>
              </w:rPr>
            </w:pPr>
            <w:r w:rsidRPr="00A847B7">
              <w:rPr>
                <w:rFonts w:cstheme="minorHAnsi"/>
              </w:rPr>
              <w:t xml:space="preserve">2 757 </w:t>
            </w:r>
          </w:p>
        </w:tc>
      </w:tr>
      <w:tr w:rsidR="002E5E21" w:rsidRPr="00A847B7" w14:paraId="339C1FB0" w14:textId="77777777" w:rsidTr="00394A15">
        <w:trPr>
          <w:trHeight w:val="109"/>
        </w:trPr>
        <w:tc>
          <w:tcPr>
            <w:tcW w:w="2616" w:type="dxa"/>
          </w:tcPr>
          <w:p w14:paraId="6E5A3119" w14:textId="77777777" w:rsidR="002E5E21" w:rsidRPr="00A847B7" w:rsidRDefault="002E5E21" w:rsidP="00BE75C5">
            <w:pPr>
              <w:rPr>
                <w:rFonts w:cstheme="minorHAnsi"/>
              </w:rPr>
            </w:pPr>
            <w:r w:rsidRPr="00A847B7">
              <w:rPr>
                <w:rFonts w:cstheme="minorHAnsi"/>
              </w:rPr>
              <w:t xml:space="preserve">186 </w:t>
            </w:r>
          </w:p>
        </w:tc>
        <w:tc>
          <w:tcPr>
            <w:tcW w:w="2616" w:type="dxa"/>
          </w:tcPr>
          <w:p w14:paraId="151A78E1" w14:textId="77777777" w:rsidR="002E5E21" w:rsidRPr="00A847B7" w:rsidRDefault="002E5E21" w:rsidP="00BE75C5">
            <w:pPr>
              <w:rPr>
                <w:rFonts w:cstheme="minorHAnsi"/>
              </w:rPr>
            </w:pPr>
            <w:r w:rsidRPr="00A847B7">
              <w:rPr>
                <w:rFonts w:cstheme="minorHAnsi"/>
              </w:rPr>
              <w:t xml:space="preserve">2 827 </w:t>
            </w:r>
          </w:p>
        </w:tc>
      </w:tr>
      <w:tr w:rsidR="002E5E21" w:rsidRPr="00A847B7" w14:paraId="5A5850B9" w14:textId="77777777" w:rsidTr="00394A15">
        <w:trPr>
          <w:trHeight w:val="109"/>
        </w:trPr>
        <w:tc>
          <w:tcPr>
            <w:tcW w:w="2616" w:type="dxa"/>
          </w:tcPr>
          <w:p w14:paraId="07787583" w14:textId="77777777" w:rsidR="002E5E21" w:rsidRPr="00A847B7" w:rsidRDefault="002E5E21" w:rsidP="00BE75C5">
            <w:pPr>
              <w:rPr>
                <w:rFonts w:cstheme="minorHAnsi"/>
              </w:rPr>
            </w:pPr>
            <w:r w:rsidRPr="00A847B7">
              <w:rPr>
                <w:rFonts w:cstheme="minorHAnsi"/>
              </w:rPr>
              <w:t xml:space="preserve">187 </w:t>
            </w:r>
          </w:p>
        </w:tc>
        <w:tc>
          <w:tcPr>
            <w:tcW w:w="2616" w:type="dxa"/>
          </w:tcPr>
          <w:p w14:paraId="3340DC83" w14:textId="77777777" w:rsidR="002E5E21" w:rsidRPr="00A847B7" w:rsidRDefault="002E5E21" w:rsidP="00BE75C5">
            <w:pPr>
              <w:rPr>
                <w:rFonts w:cstheme="minorHAnsi"/>
              </w:rPr>
            </w:pPr>
            <w:r w:rsidRPr="00A847B7">
              <w:rPr>
                <w:rFonts w:cstheme="minorHAnsi"/>
              </w:rPr>
              <w:t xml:space="preserve">2 899 </w:t>
            </w:r>
          </w:p>
        </w:tc>
      </w:tr>
      <w:tr w:rsidR="002E5E21" w:rsidRPr="00A847B7" w14:paraId="2B0C4350" w14:textId="77777777" w:rsidTr="00394A15">
        <w:trPr>
          <w:trHeight w:val="109"/>
        </w:trPr>
        <w:tc>
          <w:tcPr>
            <w:tcW w:w="2616" w:type="dxa"/>
          </w:tcPr>
          <w:p w14:paraId="091DBFD2" w14:textId="77777777" w:rsidR="002E5E21" w:rsidRPr="00A847B7" w:rsidRDefault="002E5E21" w:rsidP="00BE75C5">
            <w:pPr>
              <w:rPr>
                <w:rFonts w:cstheme="minorHAnsi"/>
              </w:rPr>
            </w:pPr>
            <w:r w:rsidRPr="00A847B7">
              <w:rPr>
                <w:rFonts w:cstheme="minorHAnsi"/>
              </w:rPr>
              <w:t xml:space="preserve">188 </w:t>
            </w:r>
          </w:p>
        </w:tc>
        <w:tc>
          <w:tcPr>
            <w:tcW w:w="2616" w:type="dxa"/>
          </w:tcPr>
          <w:p w14:paraId="5554A35E" w14:textId="77777777" w:rsidR="002E5E21" w:rsidRPr="00A847B7" w:rsidRDefault="002E5E21" w:rsidP="00BE75C5">
            <w:pPr>
              <w:rPr>
                <w:rFonts w:cstheme="minorHAnsi"/>
              </w:rPr>
            </w:pPr>
            <w:r w:rsidRPr="00A847B7">
              <w:rPr>
                <w:rFonts w:cstheme="minorHAnsi"/>
              </w:rPr>
              <w:t xml:space="preserve">2 970 </w:t>
            </w:r>
          </w:p>
        </w:tc>
      </w:tr>
      <w:tr w:rsidR="002E5E21" w:rsidRPr="00A847B7" w14:paraId="09151331" w14:textId="77777777" w:rsidTr="00394A15">
        <w:trPr>
          <w:trHeight w:val="109"/>
        </w:trPr>
        <w:tc>
          <w:tcPr>
            <w:tcW w:w="2616" w:type="dxa"/>
          </w:tcPr>
          <w:p w14:paraId="107F18B3" w14:textId="77777777" w:rsidR="002E5E21" w:rsidRPr="00A847B7" w:rsidRDefault="002E5E21" w:rsidP="00BE75C5">
            <w:pPr>
              <w:rPr>
                <w:rFonts w:cstheme="minorHAnsi"/>
              </w:rPr>
            </w:pPr>
            <w:r w:rsidRPr="00A847B7">
              <w:rPr>
                <w:rFonts w:cstheme="minorHAnsi"/>
              </w:rPr>
              <w:t xml:space="preserve">189 </w:t>
            </w:r>
          </w:p>
        </w:tc>
        <w:tc>
          <w:tcPr>
            <w:tcW w:w="2616" w:type="dxa"/>
          </w:tcPr>
          <w:p w14:paraId="76E34D30" w14:textId="77777777" w:rsidR="002E5E21" w:rsidRPr="00A847B7" w:rsidRDefault="002E5E21" w:rsidP="00BE75C5">
            <w:pPr>
              <w:rPr>
                <w:rFonts w:cstheme="minorHAnsi"/>
              </w:rPr>
            </w:pPr>
            <w:r w:rsidRPr="00A847B7">
              <w:rPr>
                <w:rFonts w:cstheme="minorHAnsi"/>
              </w:rPr>
              <w:t xml:space="preserve">3 043 </w:t>
            </w:r>
          </w:p>
        </w:tc>
      </w:tr>
      <w:tr w:rsidR="002E5E21" w:rsidRPr="00A847B7" w14:paraId="3651F51F" w14:textId="77777777" w:rsidTr="00394A15">
        <w:trPr>
          <w:trHeight w:val="109"/>
        </w:trPr>
        <w:tc>
          <w:tcPr>
            <w:tcW w:w="2616" w:type="dxa"/>
          </w:tcPr>
          <w:p w14:paraId="088DEFE2" w14:textId="77777777" w:rsidR="002E5E21" w:rsidRPr="00A847B7" w:rsidRDefault="002E5E21" w:rsidP="00BE75C5">
            <w:pPr>
              <w:rPr>
                <w:rFonts w:cstheme="minorHAnsi"/>
              </w:rPr>
            </w:pPr>
            <w:r w:rsidRPr="00A847B7">
              <w:rPr>
                <w:rFonts w:cstheme="minorHAnsi"/>
              </w:rPr>
              <w:lastRenderedPageBreak/>
              <w:t xml:space="preserve">190 </w:t>
            </w:r>
          </w:p>
        </w:tc>
        <w:tc>
          <w:tcPr>
            <w:tcW w:w="2616" w:type="dxa"/>
          </w:tcPr>
          <w:p w14:paraId="4838639A" w14:textId="77777777" w:rsidR="002E5E21" w:rsidRPr="00A847B7" w:rsidRDefault="002E5E21" w:rsidP="00BE75C5">
            <w:pPr>
              <w:rPr>
                <w:rFonts w:cstheme="minorHAnsi"/>
              </w:rPr>
            </w:pPr>
            <w:r w:rsidRPr="00A847B7">
              <w:rPr>
                <w:rFonts w:cstheme="minorHAnsi"/>
              </w:rPr>
              <w:t xml:space="preserve">3 116 </w:t>
            </w:r>
          </w:p>
        </w:tc>
      </w:tr>
      <w:tr w:rsidR="002E5E21" w:rsidRPr="00A847B7" w14:paraId="2D2B07BB" w14:textId="77777777" w:rsidTr="00394A15">
        <w:trPr>
          <w:trHeight w:val="109"/>
        </w:trPr>
        <w:tc>
          <w:tcPr>
            <w:tcW w:w="2616" w:type="dxa"/>
          </w:tcPr>
          <w:p w14:paraId="01356881" w14:textId="77777777" w:rsidR="002E5E21" w:rsidRPr="00A847B7" w:rsidRDefault="002E5E21" w:rsidP="00BE75C5">
            <w:pPr>
              <w:rPr>
                <w:rFonts w:cstheme="minorHAnsi"/>
              </w:rPr>
            </w:pPr>
            <w:r w:rsidRPr="00A847B7">
              <w:rPr>
                <w:rFonts w:cstheme="minorHAnsi"/>
              </w:rPr>
              <w:t xml:space="preserve">191 </w:t>
            </w:r>
          </w:p>
        </w:tc>
        <w:tc>
          <w:tcPr>
            <w:tcW w:w="2616" w:type="dxa"/>
          </w:tcPr>
          <w:p w14:paraId="78F6BFDA" w14:textId="77777777" w:rsidR="002E5E21" w:rsidRPr="00A847B7" w:rsidRDefault="002E5E21" w:rsidP="00BE75C5">
            <w:pPr>
              <w:rPr>
                <w:rFonts w:cstheme="minorHAnsi"/>
              </w:rPr>
            </w:pPr>
            <w:r w:rsidRPr="00A847B7">
              <w:rPr>
                <w:rFonts w:cstheme="minorHAnsi"/>
              </w:rPr>
              <w:t xml:space="preserve">3 190 </w:t>
            </w:r>
          </w:p>
        </w:tc>
      </w:tr>
      <w:tr w:rsidR="002E5E21" w:rsidRPr="00A847B7" w14:paraId="322A04B6" w14:textId="77777777" w:rsidTr="00394A15">
        <w:trPr>
          <w:trHeight w:val="109"/>
        </w:trPr>
        <w:tc>
          <w:tcPr>
            <w:tcW w:w="2616" w:type="dxa"/>
          </w:tcPr>
          <w:p w14:paraId="66D467C6" w14:textId="77777777" w:rsidR="002E5E21" w:rsidRPr="00A847B7" w:rsidRDefault="002E5E21" w:rsidP="00BE75C5">
            <w:pPr>
              <w:rPr>
                <w:rFonts w:cstheme="minorHAnsi"/>
              </w:rPr>
            </w:pPr>
            <w:r w:rsidRPr="00A847B7">
              <w:rPr>
                <w:rFonts w:cstheme="minorHAnsi"/>
              </w:rPr>
              <w:t xml:space="preserve">192 </w:t>
            </w:r>
          </w:p>
        </w:tc>
        <w:tc>
          <w:tcPr>
            <w:tcW w:w="2616" w:type="dxa"/>
          </w:tcPr>
          <w:p w14:paraId="7D9E04C5" w14:textId="77777777" w:rsidR="002E5E21" w:rsidRPr="00A847B7" w:rsidRDefault="002E5E21" w:rsidP="00BE75C5">
            <w:pPr>
              <w:rPr>
                <w:rFonts w:cstheme="minorHAnsi"/>
              </w:rPr>
            </w:pPr>
            <w:r w:rsidRPr="00A847B7">
              <w:rPr>
                <w:rFonts w:cstheme="minorHAnsi"/>
              </w:rPr>
              <w:t xml:space="preserve">3 264 </w:t>
            </w:r>
          </w:p>
        </w:tc>
      </w:tr>
      <w:tr w:rsidR="002E5E21" w:rsidRPr="00A847B7" w14:paraId="054C2BF2" w14:textId="77777777" w:rsidTr="00394A15">
        <w:trPr>
          <w:trHeight w:val="109"/>
        </w:trPr>
        <w:tc>
          <w:tcPr>
            <w:tcW w:w="2616" w:type="dxa"/>
          </w:tcPr>
          <w:p w14:paraId="1103796F" w14:textId="77777777" w:rsidR="002E5E21" w:rsidRPr="00A847B7" w:rsidRDefault="002E5E21" w:rsidP="00BE75C5">
            <w:pPr>
              <w:rPr>
                <w:rFonts w:cstheme="minorHAnsi"/>
              </w:rPr>
            </w:pPr>
            <w:r w:rsidRPr="00A847B7">
              <w:rPr>
                <w:rFonts w:cstheme="minorHAnsi"/>
              </w:rPr>
              <w:t xml:space="preserve">193 </w:t>
            </w:r>
          </w:p>
        </w:tc>
        <w:tc>
          <w:tcPr>
            <w:tcW w:w="2616" w:type="dxa"/>
          </w:tcPr>
          <w:p w14:paraId="4D565D75" w14:textId="77777777" w:rsidR="002E5E21" w:rsidRPr="00A847B7" w:rsidRDefault="002E5E21" w:rsidP="00BE75C5">
            <w:pPr>
              <w:rPr>
                <w:rFonts w:cstheme="minorHAnsi"/>
              </w:rPr>
            </w:pPr>
            <w:r w:rsidRPr="00A847B7">
              <w:rPr>
                <w:rFonts w:cstheme="minorHAnsi"/>
              </w:rPr>
              <w:t xml:space="preserve">3 300 </w:t>
            </w:r>
          </w:p>
        </w:tc>
      </w:tr>
      <w:tr w:rsidR="002E5E21" w:rsidRPr="00A847B7" w14:paraId="667155F0" w14:textId="77777777" w:rsidTr="00394A15">
        <w:trPr>
          <w:trHeight w:val="109"/>
        </w:trPr>
        <w:tc>
          <w:tcPr>
            <w:tcW w:w="2616" w:type="dxa"/>
          </w:tcPr>
          <w:p w14:paraId="563E9F9B" w14:textId="77777777" w:rsidR="002E5E21" w:rsidRPr="00A847B7" w:rsidRDefault="002E5E21" w:rsidP="00BE75C5">
            <w:pPr>
              <w:rPr>
                <w:rFonts w:cstheme="minorHAnsi"/>
              </w:rPr>
            </w:pPr>
            <w:r w:rsidRPr="00A847B7">
              <w:rPr>
                <w:rFonts w:cstheme="minorHAnsi"/>
              </w:rPr>
              <w:t xml:space="preserve">194 </w:t>
            </w:r>
          </w:p>
        </w:tc>
        <w:tc>
          <w:tcPr>
            <w:tcW w:w="2616" w:type="dxa"/>
          </w:tcPr>
          <w:p w14:paraId="3B7DDC18" w14:textId="77777777" w:rsidR="002E5E21" w:rsidRPr="00A847B7" w:rsidRDefault="002E5E21" w:rsidP="00BE75C5">
            <w:pPr>
              <w:rPr>
                <w:rFonts w:cstheme="minorHAnsi"/>
              </w:rPr>
            </w:pPr>
            <w:r w:rsidRPr="00A847B7">
              <w:rPr>
                <w:rFonts w:cstheme="minorHAnsi"/>
              </w:rPr>
              <w:t xml:space="preserve">3 337 </w:t>
            </w:r>
          </w:p>
        </w:tc>
      </w:tr>
      <w:tr w:rsidR="00E36173" w:rsidRPr="00A847B7" w14:paraId="6E5182AD" w14:textId="77777777" w:rsidTr="00394A15">
        <w:trPr>
          <w:trHeight w:val="109"/>
        </w:trPr>
        <w:tc>
          <w:tcPr>
            <w:tcW w:w="2616" w:type="dxa"/>
          </w:tcPr>
          <w:p w14:paraId="4079819D" w14:textId="77777777" w:rsidR="00E36173" w:rsidRPr="00A847B7" w:rsidRDefault="00E36173" w:rsidP="00BE75C5">
            <w:pPr>
              <w:rPr>
                <w:rFonts w:cstheme="minorHAnsi"/>
              </w:rPr>
            </w:pPr>
            <w:r w:rsidRPr="00A847B7">
              <w:rPr>
                <w:rFonts w:cstheme="minorHAnsi"/>
              </w:rPr>
              <w:t xml:space="preserve">195 </w:t>
            </w:r>
          </w:p>
        </w:tc>
        <w:tc>
          <w:tcPr>
            <w:tcW w:w="2616" w:type="dxa"/>
          </w:tcPr>
          <w:p w14:paraId="106E30C4" w14:textId="77777777" w:rsidR="00E36173" w:rsidRPr="00A847B7" w:rsidRDefault="00E36173" w:rsidP="00BE75C5">
            <w:pPr>
              <w:rPr>
                <w:rFonts w:cstheme="minorHAnsi"/>
              </w:rPr>
            </w:pPr>
            <w:r w:rsidRPr="00A847B7">
              <w:rPr>
                <w:rFonts w:cstheme="minorHAnsi"/>
              </w:rPr>
              <w:t xml:space="preserve">3 374 </w:t>
            </w:r>
          </w:p>
        </w:tc>
      </w:tr>
      <w:tr w:rsidR="00E36173" w:rsidRPr="00A847B7" w14:paraId="094C78BE" w14:textId="77777777" w:rsidTr="00394A15">
        <w:trPr>
          <w:trHeight w:val="109"/>
        </w:trPr>
        <w:tc>
          <w:tcPr>
            <w:tcW w:w="2616" w:type="dxa"/>
          </w:tcPr>
          <w:p w14:paraId="480F1EE2" w14:textId="77777777" w:rsidR="00E36173" w:rsidRPr="00A847B7" w:rsidRDefault="00E36173" w:rsidP="00BE75C5">
            <w:pPr>
              <w:rPr>
                <w:rFonts w:cstheme="minorHAnsi"/>
              </w:rPr>
            </w:pPr>
            <w:r w:rsidRPr="00A847B7">
              <w:rPr>
                <w:rFonts w:cstheme="minorHAnsi"/>
              </w:rPr>
              <w:t xml:space="preserve">196 </w:t>
            </w:r>
          </w:p>
        </w:tc>
        <w:tc>
          <w:tcPr>
            <w:tcW w:w="2616" w:type="dxa"/>
          </w:tcPr>
          <w:p w14:paraId="07209DA5" w14:textId="77777777" w:rsidR="00E36173" w:rsidRPr="00A847B7" w:rsidRDefault="00E36173" w:rsidP="00BE75C5">
            <w:pPr>
              <w:rPr>
                <w:rFonts w:cstheme="minorHAnsi"/>
              </w:rPr>
            </w:pPr>
            <w:r w:rsidRPr="00A847B7">
              <w:rPr>
                <w:rFonts w:cstheme="minorHAnsi"/>
              </w:rPr>
              <w:t xml:space="preserve">3 410 </w:t>
            </w:r>
          </w:p>
        </w:tc>
      </w:tr>
      <w:tr w:rsidR="00E36173" w:rsidRPr="00A847B7" w14:paraId="459DD9FA" w14:textId="77777777" w:rsidTr="00394A15">
        <w:trPr>
          <w:trHeight w:val="109"/>
        </w:trPr>
        <w:tc>
          <w:tcPr>
            <w:tcW w:w="2616" w:type="dxa"/>
          </w:tcPr>
          <w:p w14:paraId="55C0D488" w14:textId="77777777" w:rsidR="00E36173" w:rsidRPr="00A847B7" w:rsidRDefault="00E36173" w:rsidP="00BE75C5">
            <w:pPr>
              <w:rPr>
                <w:rFonts w:cstheme="minorHAnsi"/>
              </w:rPr>
            </w:pPr>
            <w:r w:rsidRPr="00A847B7">
              <w:rPr>
                <w:rFonts w:cstheme="minorHAnsi"/>
              </w:rPr>
              <w:t xml:space="preserve">197 </w:t>
            </w:r>
          </w:p>
        </w:tc>
        <w:tc>
          <w:tcPr>
            <w:tcW w:w="2616" w:type="dxa"/>
          </w:tcPr>
          <w:p w14:paraId="61A6587F" w14:textId="77777777" w:rsidR="00E36173" w:rsidRPr="00A847B7" w:rsidRDefault="00E36173" w:rsidP="00BE75C5">
            <w:pPr>
              <w:rPr>
                <w:rFonts w:cstheme="minorHAnsi"/>
              </w:rPr>
            </w:pPr>
            <w:r w:rsidRPr="00A847B7">
              <w:rPr>
                <w:rFonts w:cstheme="minorHAnsi"/>
              </w:rPr>
              <w:t xml:space="preserve">3 448 </w:t>
            </w:r>
          </w:p>
        </w:tc>
      </w:tr>
      <w:tr w:rsidR="00E36173" w:rsidRPr="00A847B7" w14:paraId="659BCD7B" w14:textId="77777777" w:rsidTr="00394A15">
        <w:trPr>
          <w:trHeight w:val="109"/>
        </w:trPr>
        <w:tc>
          <w:tcPr>
            <w:tcW w:w="2616" w:type="dxa"/>
          </w:tcPr>
          <w:p w14:paraId="53C01D7E" w14:textId="77777777" w:rsidR="00E36173" w:rsidRPr="00A847B7" w:rsidRDefault="00E36173" w:rsidP="00BE75C5">
            <w:pPr>
              <w:rPr>
                <w:rFonts w:cstheme="minorHAnsi"/>
              </w:rPr>
            </w:pPr>
            <w:r w:rsidRPr="00A847B7">
              <w:rPr>
                <w:rFonts w:cstheme="minorHAnsi"/>
              </w:rPr>
              <w:t xml:space="preserve">198 </w:t>
            </w:r>
          </w:p>
        </w:tc>
        <w:tc>
          <w:tcPr>
            <w:tcW w:w="2616" w:type="dxa"/>
          </w:tcPr>
          <w:p w14:paraId="0C38442B" w14:textId="77777777" w:rsidR="00E36173" w:rsidRPr="00A847B7" w:rsidRDefault="00E36173" w:rsidP="00BE75C5">
            <w:pPr>
              <w:rPr>
                <w:rFonts w:cstheme="minorHAnsi"/>
              </w:rPr>
            </w:pPr>
            <w:r w:rsidRPr="00A847B7">
              <w:rPr>
                <w:rFonts w:cstheme="minorHAnsi"/>
              </w:rPr>
              <w:t xml:space="preserve">3 485 </w:t>
            </w:r>
          </w:p>
        </w:tc>
      </w:tr>
      <w:tr w:rsidR="00E36173" w:rsidRPr="00A847B7" w14:paraId="303A71A9" w14:textId="77777777" w:rsidTr="00394A15">
        <w:trPr>
          <w:trHeight w:val="109"/>
        </w:trPr>
        <w:tc>
          <w:tcPr>
            <w:tcW w:w="2616" w:type="dxa"/>
          </w:tcPr>
          <w:p w14:paraId="2526D9CD" w14:textId="77777777" w:rsidR="00E36173" w:rsidRPr="00A847B7" w:rsidRDefault="00E36173" w:rsidP="00BE75C5">
            <w:pPr>
              <w:rPr>
                <w:rFonts w:cstheme="minorHAnsi"/>
              </w:rPr>
            </w:pPr>
            <w:r w:rsidRPr="00A847B7">
              <w:rPr>
                <w:rFonts w:cstheme="minorHAnsi"/>
              </w:rPr>
              <w:t xml:space="preserve">199 </w:t>
            </w:r>
          </w:p>
        </w:tc>
        <w:tc>
          <w:tcPr>
            <w:tcW w:w="2616" w:type="dxa"/>
          </w:tcPr>
          <w:p w14:paraId="5E7E5973" w14:textId="77777777" w:rsidR="00E36173" w:rsidRPr="00A847B7" w:rsidRDefault="00E36173" w:rsidP="00BE75C5">
            <w:pPr>
              <w:rPr>
                <w:rFonts w:cstheme="minorHAnsi"/>
              </w:rPr>
            </w:pPr>
            <w:r w:rsidRPr="00A847B7">
              <w:rPr>
                <w:rFonts w:cstheme="minorHAnsi"/>
              </w:rPr>
              <w:t xml:space="preserve">3 522 </w:t>
            </w:r>
          </w:p>
        </w:tc>
      </w:tr>
      <w:tr w:rsidR="00E36173" w:rsidRPr="00A847B7" w14:paraId="68DC33BE" w14:textId="77777777" w:rsidTr="00394A15">
        <w:trPr>
          <w:trHeight w:val="109"/>
        </w:trPr>
        <w:tc>
          <w:tcPr>
            <w:tcW w:w="2616" w:type="dxa"/>
          </w:tcPr>
          <w:p w14:paraId="4D2734EA" w14:textId="77777777" w:rsidR="00E36173" w:rsidRPr="00A847B7" w:rsidRDefault="00E36173" w:rsidP="00BE75C5">
            <w:pPr>
              <w:rPr>
                <w:rFonts w:cstheme="minorHAnsi"/>
              </w:rPr>
            </w:pPr>
            <w:r w:rsidRPr="00A847B7">
              <w:rPr>
                <w:rFonts w:cstheme="minorHAnsi"/>
              </w:rPr>
              <w:t xml:space="preserve">200 </w:t>
            </w:r>
          </w:p>
        </w:tc>
        <w:tc>
          <w:tcPr>
            <w:tcW w:w="2616" w:type="dxa"/>
          </w:tcPr>
          <w:p w14:paraId="7425CAA6" w14:textId="77777777" w:rsidR="00E36173" w:rsidRPr="00A847B7" w:rsidRDefault="00E36173" w:rsidP="00BE75C5">
            <w:pPr>
              <w:rPr>
                <w:rFonts w:cstheme="minorHAnsi"/>
              </w:rPr>
            </w:pPr>
            <w:r w:rsidRPr="00A847B7">
              <w:rPr>
                <w:rFonts w:cstheme="minorHAnsi"/>
              </w:rPr>
              <w:t xml:space="preserve">3 580 </w:t>
            </w:r>
          </w:p>
        </w:tc>
      </w:tr>
      <w:tr w:rsidR="00E36173" w:rsidRPr="00A847B7" w14:paraId="326933FA" w14:textId="77777777" w:rsidTr="00394A15">
        <w:trPr>
          <w:trHeight w:val="109"/>
        </w:trPr>
        <w:tc>
          <w:tcPr>
            <w:tcW w:w="2616" w:type="dxa"/>
          </w:tcPr>
          <w:p w14:paraId="62BA0086" w14:textId="77777777" w:rsidR="00E36173" w:rsidRPr="00A847B7" w:rsidRDefault="00E36173" w:rsidP="00BE75C5">
            <w:pPr>
              <w:rPr>
                <w:rFonts w:cstheme="minorHAnsi"/>
              </w:rPr>
            </w:pPr>
            <w:r w:rsidRPr="00A847B7">
              <w:rPr>
                <w:rFonts w:cstheme="minorHAnsi"/>
              </w:rPr>
              <w:t xml:space="preserve">201 </w:t>
            </w:r>
          </w:p>
        </w:tc>
        <w:tc>
          <w:tcPr>
            <w:tcW w:w="2616" w:type="dxa"/>
          </w:tcPr>
          <w:p w14:paraId="14B3023A" w14:textId="77777777" w:rsidR="00E36173" w:rsidRPr="00A847B7" w:rsidRDefault="00E36173" w:rsidP="00BE75C5">
            <w:pPr>
              <w:rPr>
                <w:rFonts w:cstheme="minorHAnsi"/>
              </w:rPr>
            </w:pPr>
            <w:r w:rsidRPr="00A847B7">
              <w:rPr>
                <w:rFonts w:cstheme="minorHAnsi"/>
              </w:rPr>
              <w:t xml:space="preserve">3 618 </w:t>
            </w:r>
          </w:p>
        </w:tc>
      </w:tr>
      <w:tr w:rsidR="00E36173" w:rsidRPr="00A847B7" w14:paraId="5EBDCE53" w14:textId="77777777" w:rsidTr="00394A15">
        <w:trPr>
          <w:trHeight w:val="109"/>
        </w:trPr>
        <w:tc>
          <w:tcPr>
            <w:tcW w:w="2616" w:type="dxa"/>
          </w:tcPr>
          <w:p w14:paraId="08FBCD8C" w14:textId="77777777" w:rsidR="00E36173" w:rsidRPr="00A847B7" w:rsidRDefault="00E36173" w:rsidP="00BE75C5">
            <w:pPr>
              <w:rPr>
                <w:rFonts w:cstheme="minorHAnsi"/>
              </w:rPr>
            </w:pPr>
            <w:r w:rsidRPr="00A847B7">
              <w:rPr>
                <w:rFonts w:cstheme="minorHAnsi"/>
              </w:rPr>
              <w:t xml:space="preserve">202 </w:t>
            </w:r>
          </w:p>
        </w:tc>
        <w:tc>
          <w:tcPr>
            <w:tcW w:w="2616" w:type="dxa"/>
          </w:tcPr>
          <w:p w14:paraId="3F093187" w14:textId="77777777" w:rsidR="00E36173" w:rsidRPr="00A847B7" w:rsidRDefault="00E36173" w:rsidP="00BE75C5">
            <w:pPr>
              <w:rPr>
                <w:rFonts w:cstheme="minorHAnsi"/>
              </w:rPr>
            </w:pPr>
            <w:r w:rsidRPr="00A847B7">
              <w:rPr>
                <w:rFonts w:cstheme="minorHAnsi"/>
              </w:rPr>
              <w:t xml:space="preserve">3 676 </w:t>
            </w:r>
          </w:p>
        </w:tc>
      </w:tr>
      <w:tr w:rsidR="00E36173" w:rsidRPr="00A847B7" w14:paraId="70D37017" w14:textId="77777777" w:rsidTr="00394A15">
        <w:trPr>
          <w:trHeight w:val="109"/>
        </w:trPr>
        <w:tc>
          <w:tcPr>
            <w:tcW w:w="2616" w:type="dxa"/>
          </w:tcPr>
          <w:p w14:paraId="32A12E87" w14:textId="77777777" w:rsidR="00E36173" w:rsidRPr="00A847B7" w:rsidRDefault="00E36173" w:rsidP="00BE75C5">
            <w:pPr>
              <w:rPr>
                <w:rFonts w:cstheme="minorHAnsi"/>
              </w:rPr>
            </w:pPr>
            <w:r w:rsidRPr="00A847B7">
              <w:rPr>
                <w:rFonts w:cstheme="minorHAnsi"/>
              </w:rPr>
              <w:t xml:space="preserve">203 </w:t>
            </w:r>
          </w:p>
        </w:tc>
        <w:tc>
          <w:tcPr>
            <w:tcW w:w="2616" w:type="dxa"/>
          </w:tcPr>
          <w:p w14:paraId="6C82CBDB" w14:textId="77777777" w:rsidR="00E36173" w:rsidRPr="00A847B7" w:rsidRDefault="00E36173" w:rsidP="00BE75C5">
            <w:pPr>
              <w:rPr>
                <w:rFonts w:cstheme="minorHAnsi"/>
              </w:rPr>
            </w:pPr>
            <w:r w:rsidRPr="00A847B7">
              <w:rPr>
                <w:rFonts w:cstheme="minorHAnsi"/>
              </w:rPr>
              <w:t xml:space="preserve">3 735 </w:t>
            </w:r>
          </w:p>
        </w:tc>
      </w:tr>
      <w:tr w:rsidR="00E36173" w:rsidRPr="00A847B7" w14:paraId="187118D7" w14:textId="77777777" w:rsidTr="00394A15">
        <w:trPr>
          <w:trHeight w:val="109"/>
        </w:trPr>
        <w:tc>
          <w:tcPr>
            <w:tcW w:w="2616" w:type="dxa"/>
          </w:tcPr>
          <w:p w14:paraId="7A8012F8" w14:textId="77777777" w:rsidR="00E36173" w:rsidRPr="00A847B7" w:rsidRDefault="00E36173" w:rsidP="00BE75C5">
            <w:pPr>
              <w:rPr>
                <w:rFonts w:cstheme="minorHAnsi"/>
              </w:rPr>
            </w:pPr>
            <w:r w:rsidRPr="00A847B7">
              <w:rPr>
                <w:rFonts w:cstheme="minorHAnsi"/>
              </w:rPr>
              <w:t xml:space="preserve">204 </w:t>
            </w:r>
          </w:p>
        </w:tc>
        <w:tc>
          <w:tcPr>
            <w:tcW w:w="2616" w:type="dxa"/>
          </w:tcPr>
          <w:p w14:paraId="1E64B499" w14:textId="77777777" w:rsidR="00E36173" w:rsidRPr="00A847B7" w:rsidRDefault="00E36173" w:rsidP="00BE75C5">
            <w:pPr>
              <w:rPr>
                <w:rFonts w:cstheme="minorHAnsi"/>
              </w:rPr>
            </w:pPr>
            <w:r w:rsidRPr="00A847B7">
              <w:rPr>
                <w:rFonts w:cstheme="minorHAnsi"/>
              </w:rPr>
              <w:t xml:space="preserve">3 774 </w:t>
            </w:r>
          </w:p>
        </w:tc>
      </w:tr>
      <w:tr w:rsidR="00E36173" w:rsidRPr="00A847B7" w14:paraId="6265C26C" w14:textId="77777777" w:rsidTr="00394A15">
        <w:trPr>
          <w:trHeight w:val="109"/>
        </w:trPr>
        <w:tc>
          <w:tcPr>
            <w:tcW w:w="2616" w:type="dxa"/>
          </w:tcPr>
          <w:p w14:paraId="45D2BFFB" w14:textId="77777777" w:rsidR="00E36173" w:rsidRPr="00A847B7" w:rsidRDefault="00E36173" w:rsidP="00BE75C5">
            <w:pPr>
              <w:rPr>
                <w:rFonts w:cstheme="minorHAnsi"/>
              </w:rPr>
            </w:pPr>
            <w:r w:rsidRPr="00A847B7">
              <w:rPr>
                <w:rFonts w:cstheme="minorHAnsi"/>
              </w:rPr>
              <w:t xml:space="preserve">205 </w:t>
            </w:r>
          </w:p>
        </w:tc>
        <w:tc>
          <w:tcPr>
            <w:tcW w:w="2616" w:type="dxa"/>
          </w:tcPr>
          <w:p w14:paraId="411BCBC9" w14:textId="77777777" w:rsidR="00E36173" w:rsidRPr="00A847B7" w:rsidRDefault="00E36173" w:rsidP="00BE75C5">
            <w:pPr>
              <w:rPr>
                <w:rFonts w:cstheme="minorHAnsi"/>
              </w:rPr>
            </w:pPr>
            <w:r w:rsidRPr="00A847B7">
              <w:rPr>
                <w:rFonts w:cstheme="minorHAnsi"/>
              </w:rPr>
              <w:t xml:space="preserve">3 813 </w:t>
            </w:r>
          </w:p>
        </w:tc>
      </w:tr>
      <w:tr w:rsidR="00E36173" w:rsidRPr="00A847B7" w14:paraId="6529DFA3" w14:textId="77777777" w:rsidTr="00394A15">
        <w:trPr>
          <w:trHeight w:val="109"/>
        </w:trPr>
        <w:tc>
          <w:tcPr>
            <w:tcW w:w="2616" w:type="dxa"/>
          </w:tcPr>
          <w:p w14:paraId="74E0925B" w14:textId="77777777" w:rsidR="00E36173" w:rsidRPr="00A847B7" w:rsidRDefault="00E36173" w:rsidP="00BE75C5">
            <w:pPr>
              <w:rPr>
                <w:rFonts w:cstheme="minorHAnsi"/>
              </w:rPr>
            </w:pPr>
            <w:r w:rsidRPr="00A847B7">
              <w:rPr>
                <w:rFonts w:cstheme="minorHAnsi"/>
              </w:rPr>
              <w:t xml:space="preserve">206 </w:t>
            </w:r>
          </w:p>
        </w:tc>
        <w:tc>
          <w:tcPr>
            <w:tcW w:w="2616" w:type="dxa"/>
          </w:tcPr>
          <w:p w14:paraId="665BA731" w14:textId="77777777" w:rsidR="00E36173" w:rsidRPr="00A847B7" w:rsidRDefault="00E36173" w:rsidP="00BE75C5">
            <w:pPr>
              <w:rPr>
                <w:rFonts w:cstheme="minorHAnsi"/>
              </w:rPr>
            </w:pPr>
            <w:r w:rsidRPr="00A847B7">
              <w:rPr>
                <w:rFonts w:cstheme="minorHAnsi"/>
              </w:rPr>
              <w:t xml:space="preserve">3 852 </w:t>
            </w:r>
          </w:p>
        </w:tc>
      </w:tr>
      <w:tr w:rsidR="00E36173" w:rsidRPr="00A847B7" w14:paraId="137732EB" w14:textId="77777777" w:rsidTr="00394A15">
        <w:trPr>
          <w:trHeight w:val="109"/>
        </w:trPr>
        <w:tc>
          <w:tcPr>
            <w:tcW w:w="2616" w:type="dxa"/>
          </w:tcPr>
          <w:p w14:paraId="12754C14" w14:textId="77777777" w:rsidR="00E36173" w:rsidRPr="00A847B7" w:rsidRDefault="00E36173" w:rsidP="00BE75C5">
            <w:pPr>
              <w:rPr>
                <w:rFonts w:cstheme="minorHAnsi"/>
              </w:rPr>
            </w:pPr>
            <w:r w:rsidRPr="00A847B7">
              <w:rPr>
                <w:rFonts w:cstheme="minorHAnsi"/>
              </w:rPr>
              <w:t xml:space="preserve">207 </w:t>
            </w:r>
          </w:p>
        </w:tc>
        <w:tc>
          <w:tcPr>
            <w:tcW w:w="2616" w:type="dxa"/>
          </w:tcPr>
          <w:p w14:paraId="38F46944" w14:textId="77777777" w:rsidR="00E36173" w:rsidRPr="00A847B7" w:rsidRDefault="00E36173" w:rsidP="00BE75C5">
            <w:pPr>
              <w:rPr>
                <w:rFonts w:cstheme="minorHAnsi"/>
              </w:rPr>
            </w:pPr>
            <w:r w:rsidRPr="00A847B7">
              <w:rPr>
                <w:rFonts w:cstheme="minorHAnsi"/>
              </w:rPr>
              <w:t xml:space="preserve">3 892 </w:t>
            </w:r>
          </w:p>
        </w:tc>
      </w:tr>
      <w:tr w:rsidR="00E36173" w:rsidRPr="00A847B7" w14:paraId="1CA0DA71" w14:textId="77777777" w:rsidTr="00394A15">
        <w:trPr>
          <w:trHeight w:val="109"/>
        </w:trPr>
        <w:tc>
          <w:tcPr>
            <w:tcW w:w="2616" w:type="dxa"/>
          </w:tcPr>
          <w:p w14:paraId="5EE91359" w14:textId="77777777" w:rsidR="00E36173" w:rsidRPr="00A847B7" w:rsidRDefault="00E36173" w:rsidP="00BE75C5">
            <w:pPr>
              <w:rPr>
                <w:rFonts w:cstheme="minorHAnsi"/>
              </w:rPr>
            </w:pPr>
            <w:r w:rsidRPr="00A847B7">
              <w:rPr>
                <w:rFonts w:cstheme="minorHAnsi"/>
              </w:rPr>
              <w:t xml:space="preserve">208 </w:t>
            </w:r>
          </w:p>
        </w:tc>
        <w:tc>
          <w:tcPr>
            <w:tcW w:w="2616" w:type="dxa"/>
          </w:tcPr>
          <w:p w14:paraId="2E981D17" w14:textId="77777777" w:rsidR="00E36173" w:rsidRPr="00A847B7" w:rsidRDefault="00E36173" w:rsidP="00BE75C5">
            <w:pPr>
              <w:rPr>
                <w:rFonts w:cstheme="minorHAnsi"/>
              </w:rPr>
            </w:pPr>
            <w:r w:rsidRPr="00A847B7">
              <w:rPr>
                <w:rFonts w:cstheme="minorHAnsi"/>
              </w:rPr>
              <w:t xml:space="preserve">3 952 </w:t>
            </w:r>
          </w:p>
        </w:tc>
      </w:tr>
      <w:tr w:rsidR="00E36173" w:rsidRPr="00A847B7" w14:paraId="02F463C6" w14:textId="77777777" w:rsidTr="00394A15">
        <w:trPr>
          <w:trHeight w:val="109"/>
        </w:trPr>
        <w:tc>
          <w:tcPr>
            <w:tcW w:w="2616" w:type="dxa"/>
          </w:tcPr>
          <w:p w14:paraId="61E8E7C8" w14:textId="77777777" w:rsidR="00E36173" w:rsidRPr="00A847B7" w:rsidRDefault="00E36173" w:rsidP="00BE75C5">
            <w:pPr>
              <w:rPr>
                <w:rFonts w:cstheme="minorHAnsi"/>
              </w:rPr>
            </w:pPr>
            <w:r w:rsidRPr="00A847B7">
              <w:rPr>
                <w:rFonts w:cstheme="minorHAnsi"/>
              </w:rPr>
              <w:t xml:space="preserve">209 </w:t>
            </w:r>
          </w:p>
        </w:tc>
        <w:tc>
          <w:tcPr>
            <w:tcW w:w="2616" w:type="dxa"/>
          </w:tcPr>
          <w:p w14:paraId="3F10CF7A" w14:textId="77777777" w:rsidR="00E36173" w:rsidRPr="00A847B7" w:rsidRDefault="00E36173" w:rsidP="00BE75C5">
            <w:pPr>
              <w:rPr>
                <w:rFonts w:cstheme="minorHAnsi"/>
              </w:rPr>
            </w:pPr>
            <w:r w:rsidRPr="00A847B7">
              <w:rPr>
                <w:rFonts w:cstheme="minorHAnsi"/>
              </w:rPr>
              <w:t xml:space="preserve">3 992 </w:t>
            </w:r>
          </w:p>
        </w:tc>
      </w:tr>
      <w:tr w:rsidR="00E36173" w:rsidRPr="00A847B7" w14:paraId="67671C04" w14:textId="77777777" w:rsidTr="00394A15">
        <w:trPr>
          <w:trHeight w:val="109"/>
        </w:trPr>
        <w:tc>
          <w:tcPr>
            <w:tcW w:w="2616" w:type="dxa"/>
          </w:tcPr>
          <w:p w14:paraId="74A45E58" w14:textId="77777777" w:rsidR="00E36173" w:rsidRPr="00A847B7" w:rsidRDefault="00E36173" w:rsidP="00BE75C5">
            <w:pPr>
              <w:rPr>
                <w:rFonts w:cstheme="minorHAnsi"/>
              </w:rPr>
            </w:pPr>
            <w:r w:rsidRPr="00A847B7">
              <w:rPr>
                <w:rFonts w:cstheme="minorHAnsi"/>
              </w:rPr>
              <w:t xml:space="preserve">210 </w:t>
            </w:r>
          </w:p>
        </w:tc>
        <w:tc>
          <w:tcPr>
            <w:tcW w:w="2616" w:type="dxa"/>
          </w:tcPr>
          <w:p w14:paraId="60C457BF" w14:textId="77777777" w:rsidR="00E36173" w:rsidRPr="00A847B7" w:rsidRDefault="00E36173" w:rsidP="00BE75C5">
            <w:pPr>
              <w:rPr>
                <w:rFonts w:cstheme="minorHAnsi"/>
              </w:rPr>
            </w:pPr>
            <w:r w:rsidRPr="00A847B7">
              <w:rPr>
                <w:rFonts w:cstheme="minorHAnsi"/>
              </w:rPr>
              <w:t xml:space="preserve">4 032 </w:t>
            </w:r>
          </w:p>
        </w:tc>
      </w:tr>
      <w:tr w:rsidR="00E36173" w:rsidRPr="00A847B7" w14:paraId="1DCC85E6" w14:textId="77777777" w:rsidTr="00394A15">
        <w:trPr>
          <w:trHeight w:val="109"/>
        </w:trPr>
        <w:tc>
          <w:tcPr>
            <w:tcW w:w="2616" w:type="dxa"/>
          </w:tcPr>
          <w:p w14:paraId="79AAB94A" w14:textId="77777777" w:rsidR="00E36173" w:rsidRPr="00A847B7" w:rsidRDefault="00E36173" w:rsidP="00BE75C5">
            <w:pPr>
              <w:rPr>
                <w:rFonts w:cstheme="minorHAnsi"/>
              </w:rPr>
            </w:pPr>
            <w:r w:rsidRPr="00A847B7">
              <w:rPr>
                <w:rFonts w:cstheme="minorHAnsi"/>
              </w:rPr>
              <w:t xml:space="preserve">211 </w:t>
            </w:r>
          </w:p>
        </w:tc>
        <w:tc>
          <w:tcPr>
            <w:tcW w:w="2616" w:type="dxa"/>
          </w:tcPr>
          <w:p w14:paraId="2593450B" w14:textId="77777777" w:rsidR="00E36173" w:rsidRPr="00A847B7" w:rsidRDefault="00E36173" w:rsidP="00BE75C5">
            <w:pPr>
              <w:rPr>
                <w:rFonts w:cstheme="minorHAnsi"/>
              </w:rPr>
            </w:pPr>
            <w:r w:rsidRPr="00A847B7">
              <w:rPr>
                <w:rFonts w:cstheme="minorHAnsi"/>
              </w:rPr>
              <w:t xml:space="preserve">4 072 </w:t>
            </w:r>
          </w:p>
        </w:tc>
      </w:tr>
      <w:tr w:rsidR="00E36173" w:rsidRPr="00A847B7" w14:paraId="432F822D" w14:textId="77777777" w:rsidTr="00394A15">
        <w:trPr>
          <w:trHeight w:val="109"/>
        </w:trPr>
        <w:tc>
          <w:tcPr>
            <w:tcW w:w="2616" w:type="dxa"/>
          </w:tcPr>
          <w:p w14:paraId="4A39864C" w14:textId="77777777" w:rsidR="00E36173" w:rsidRPr="00A847B7" w:rsidRDefault="00E36173" w:rsidP="00BE75C5">
            <w:pPr>
              <w:rPr>
                <w:rFonts w:cstheme="minorHAnsi"/>
              </w:rPr>
            </w:pPr>
            <w:r w:rsidRPr="00A847B7">
              <w:rPr>
                <w:rFonts w:cstheme="minorHAnsi"/>
              </w:rPr>
              <w:t xml:space="preserve">212 </w:t>
            </w:r>
          </w:p>
        </w:tc>
        <w:tc>
          <w:tcPr>
            <w:tcW w:w="2616" w:type="dxa"/>
          </w:tcPr>
          <w:p w14:paraId="1BE1DEDD" w14:textId="77777777" w:rsidR="00E36173" w:rsidRPr="00A847B7" w:rsidRDefault="00E36173" w:rsidP="00BE75C5">
            <w:pPr>
              <w:rPr>
                <w:rFonts w:cstheme="minorHAnsi"/>
              </w:rPr>
            </w:pPr>
            <w:r w:rsidRPr="00A847B7">
              <w:rPr>
                <w:rFonts w:cstheme="minorHAnsi"/>
              </w:rPr>
              <w:t xml:space="preserve">4 113 </w:t>
            </w:r>
          </w:p>
        </w:tc>
      </w:tr>
      <w:tr w:rsidR="00E36173" w:rsidRPr="00A847B7" w14:paraId="5FD37697" w14:textId="77777777" w:rsidTr="00394A15">
        <w:trPr>
          <w:trHeight w:val="109"/>
        </w:trPr>
        <w:tc>
          <w:tcPr>
            <w:tcW w:w="2616" w:type="dxa"/>
          </w:tcPr>
          <w:p w14:paraId="10A1D38A" w14:textId="77777777" w:rsidR="00E36173" w:rsidRPr="00A847B7" w:rsidRDefault="00E36173" w:rsidP="00BE75C5">
            <w:pPr>
              <w:rPr>
                <w:rFonts w:cstheme="minorHAnsi"/>
              </w:rPr>
            </w:pPr>
            <w:r w:rsidRPr="00A847B7">
              <w:rPr>
                <w:rFonts w:cstheme="minorHAnsi"/>
              </w:rPr>
              <w:lastRenderedPageBreak/>
              <w:t xml:space="preserve">213 </w:t>
            </w:r>
          </w:p>
        </w:tc>
        <w:tc>
          <w:tcPr>
            <w:tcW w:w="2616" w:type="dxa"/>
          </w:tcPr>
          <w:p w14:paraId="2B3D0AC8" w14:textId="77777777" w:rsidR="00E36173" w:rsidRPr="00A847B7" w:rsidRDefault="00E36173" w:rsidP="00BE75C5">
            <w:pPr>
              <w:rPr>
                <w:rFonts w:cstheme="minorHAnsi"/>
              </w:rPr>
            </w:pPr>
            <w:r w:rsidRPr="00A847B7">
              <w:rPr>
                <w:rFonts w:cstheme="minorHAnsi"/>
              </w:rPr>
              <w:t xml:space="preserve">4 175 </w:t>
            </w:r>
          </w:p>
        </w:tc>
      </w:tr>
      <w:tr w:rsidR="00E36173" w:rsidRPr="00A847B7" w14:paraId="3D577FC2" w14:textId="77777777" w:rsidTr="00394A15">
        <w:trPr>
          <w:trHeight w:val="109"/>
        </w:trPr>
        <w:tc>
          <w:tcPr>
            <w:tcW w:w="2616" w:type="dxa"/>
          </w:tcPr>
          <w:p w14:paraId="4E797A30" w14:textId="77777777" w:rsidR="00E36173" w:rsidRPr="00A847B7" w:rsidRDefault="00E36173" w:rsidP="00BE75C5">
            <w:pPr>
              <w:rPr>
                <w:rFonts w:cstheme="minorHAnsi"/>
              </w:rPr>
            </w:pPr>
            <w:r w:rsidRPr="00A847B7">
              <w:rPr>
                <w:rFonts w:cstheme="minorHAnsi"/>
              </w:rPr>
              <w:t xml:space="preserve">214 </w:t>
            </w:r>
          </w:p>
        </w:tc>
        <w:tc>
          <w:tcPr>
            <w:tcW w:w="2616" w:type="dxa"/>
          </w:tcPr>
          <w:p w14:paraId="25515C87" w14:textId="77777777" w:rsidR="00E36173" w:rsidRPr="00A847B7" w:rsidRDefault="00E36173" w:rsidP="00BE75C5">
            <w:pPr>
              <w:rPr>
                <w:rFonts w:cstheme="minorHAnsi"/>
              </w:rPr>
            </w:pPr>
            <w:r w:rsidRPr="00A847B7">
              <w:rPr>
                <w:rFonts w:cstheme="minorHAnsi"/>
              </w:rPr>
              <w:t xml:space="preserve">4 216 </w:t>
            </w:r>
          </w:p>
        </w:tc>
      </w:tr>
      <w:tr w:rsidR="00E36173" w:rsidRPr="00A847B7" w14:paraId="06609CFA" w14:textId="77777777" w:rsidTr="00394A15">
        <w:trPr>
          <w:trHeight w:val="109"/>
        </w:trPr>
        <w:tc>
          <w:tcPr>
            <w:tcW w:w="2616" w:type="dxa"/>
          </w:tcPr>
          <w:p w14:paraId="60CD11B6" w14:textId="77777777" w:rsidR="00E36173" w:rsidRPr="00A847B7" w:rsidRDefault="00E36173" w:rsidP="00BE75C5">
            <w:pPr>
              <w:rPr>
                <w:rFonts w:cstheme="minorHAnsi"/>
              </w:rPr>
            </w:pPr>
            <w:r w:rsidRPr="00A847B7">
              <w:rPr>
                <w:rFonts w:cstheme="minorHAnsi"/>
              </w:rPr>
              <w:t xml:space="preserve">215 </w:t>
            </w:r>
          </w:p>
        </w:tc>
        <w:tc>
          <w:tcPr>
            <w:tcW w:w="2616" w:type="dxa"/>
          </w:tcPr>
          <w:p w14:paraId="362D63F6" w14:textId="77777777" w:rsidR="00E36173" w:rsidRPr="00A847B7" w:rsidRDefault="00E36173" w:rsidP="00BE75C5">
            <w:pPr>
              <w:rPr>
                <w:rFonts w:cstheme="minorHAnsi"/>
              </w:rPr>
            </w:pPr>
            <w:r w:rsidRPr="00A847B7">
              <w:rPr>
                <w:rFonts w:cstheme="minorHAnsi"/>
              </w:rPr>
              <w:t xml:space="preserve">4 257 </w:t>
            </w:r>
          </w:p>
        </w:tc>
      </w:tr>
      <w:tr w:rsidR="00E36173" w:rsidRPr="00A847B7" w14:paraId="1948FC00" w14:textId="77777777" w:rsidTr="00394A15">
        <w:trPr>
          <w:trHeight w:val="109"/>
        </w:trPr>
        <w:tc>
          <w:tcPr>
            <w:tcW w:w="2616" w:type="dxa"/>
          </w:tcPr>
          <w:p w14:paraId="4372D6AC" w14:textId="77777777" w:rsidR="00E36173" w:rsidRPr="00A847B7" w:rsidRDefault="00E36173" w:rsidP="00BE75C5">
            <w:pPr>
              <w:rPr>
                <w:rFonts w:cstheme="minorHAnsi"/>
              </w:rPr>
            </w:pPr>
            <w:r w:rsidRPr="00A847B7">
              <w:rPr>
                <w:rFonts w:cstheme="minorHAnsi"/>
              </w:rPr>
              <w:t xml:space="preserve">216 </w:t>
            </w:r>
          </w:p>
        </w:tc>
        <w:tc>
          <w:tcPr>
            <w:tcW w:w="2616" w:type="dxa"/>
          </w:tcPr>
          <w:p w14:paraId="27A252A3" w14:textId="77777777" w:rsidR="00E36173" w:rsidRPr="00A847B7" w:rsidRDefault="00E36173" w:rsidP="00BE75C5">
            <w:pPr>
              <w:rPr>
                <w:rFonts w:cstheme="minorHAnsi"/>
              </w:rPr>
            </w:pPr>
            <w:r w:rsidRPr="00A847B7">
              <w:rPr>
                <w:rFonts w:cstheme="minorHAnsi"/>
              </w:rPr>
              <w:t xml:space="preserve">4 298 </w:t>
            </w:r>
          </w:p>
        </w:tc>
      </w:tr>
      <w:tr w:rsidR="00E36173" w:rsidRPr="00A847B7" w14:paraId="01B377E6" w14:textId="77777777" w:rsidTr="00394A15">
        <w:trPr>
          <w:trHeight w:val="109"/>
        </w:trPr>
        <w:tc>
          <w:tcPr>
            <w:tcW w:w="2616" w:type="dxa"/>
          </w:tcPr>
          <w:p w14:paraId="1FF85C1A" w14:textId="77777777" w:rsidR="00E36173" w:rsidRPr="00A847B7" w:rsidRDefault="00E36173" w:rsidP="00BE75C5">
            <w:pPr>
              <w:rPr>
                <w:rFonts w:cstheme="minorHAnsi"/>
              </w:rPr>
            </w:pPr>
            <w:r w:rsidRPr="00A847B7">
              <w:rPr>
                <w:rFonts w:cstheme="minorHAnsi"/>
              </w:rPr>
              <w:t xml:space="preserve">217 </w:t>
            </w:r>
          </w:p>
        </w:tc>
        <w:tc>
          <w:tcPr>
            <w:tcW w:w="2616" w:type="dxa"/>
          </w:tcPr>
          <w:p w14:paraId="15F20B98" w14:textId="77777777" w:rsidR="00E36173" w:rsidRPr="00A847B7" w:rsidRDefault="00E36173" w:rsidP="00BE75C5">
            <w:pPr>
              <w:rPr>
                <w:rFonts w:cstheme="minorHAnsi"/>
              </w:rPr>
            </w:pPr>
            <w:r w:rsidRPr="00A847B7">
              <w:rPr>
                <w:rFonts w:cstheme="minorHAnsi"/>
              </w:rPr>
              <w:t xml:space="preserve">4 340 </w:t>
            </w:r>
          </w:p>
        </w:tc>
      </w:tr>
      <w:tr w:rsidR="00E36173" w:rsidRPr="00A847B7" w14:paraId="6C503E36" w14:textId="77777777" w:rsidTr="00394A15">
        <w:trPr>
          <w:trHeight w:val="109"/>
        </w:trPr>
        <w:tc>
          <w:tcPr>
            <w:tcW w:w="2616" w:type="dxa"/>
          </w:tcPr>
          <w:p w14:paraId="5D0B7670" w14:textId="77777777" w:rsidR="00E36173" w:rsidRPr="00A847B7" w:rsidRDefault="00E36173" w:rsidP="00BE75C5">
            <w:pPr>
              <w:rPr>
                <w:rFonts w:cstheme="minorHAnsi"/>
              </w:rPr>
            </w:pPr>
            <w:r w:rsidRPr="00A847B7">
              <w:rPr>
                <w:rFonts w:cstheme="minorHAnsi"/>
              </w:rPr>
              <w:t xml:space="preserve">218 </w:t>
            </w:r>
          </w:p>
        </w:tc>
        <w:tc>
          <w:tcPr>
            <w:tcW w:w="2616" w:type="dxa"/>
          </w:tcPr>
          <w:p w14:paraId="1BCB9643" w14:textId="77777777" w:rsidR="00E36173" w:rsidRPr="00A847B7" w:rsidRDefault="00E36173" w:rsidP="00BE75C5">
            <w:pPr>
              <w:rPr>
                <w:rFonts w:cstheme="minorHAnsi"/>
              </w:rPr>
            </w:pPr>
            <w:r w:rsidRPr="00A847B7">
              <w:rPr>
                <w:rFonts w:cstheme="minorHAnsi"/>
              </w:rPr>
              <w:t xml:space="preserve">4 404 </w:t>
            </w:r>
          </w:p>
        </w:tc>
      </w:tr>
      <w:tr w:rsidR="00E36173" w:rsidRPr="00A847B7" w14:paraId="254C74EA" w14:textId="77777777" w:rsidTr="00394A15">
        <w:trPr>
          <w:trHeight w:val="109"/>
        </w:trPr>
        <w:tc>
          <w:tcPr>
            <w:tcW w:w="2616" w:type="dxa"/>
          </w:tcPr>
          <w:p w14:paraId="5D6F8E75" w14:textId="77777777" w:rsidR="00E36173" w:rsidRPr="00A847B7" w:rsidRDefault="00E36173" w:rsidP="00BE75C5">
            <w:pPr>
              <w:rPr>
                <w:rFonts w:cstheme="minorHAnsi"/>
              </w:rPr>
            </w:pPr>
            <w:r w:rsidRPr="00A847B7">
              <w:rPr>
                <w:rFonts w:cstheme="minorHAnsi"/>
              </w:rPr>
              <w:t xml:space="preserve">219 </w:t>
            </w:r>
          </w:p>
        </w:tc>
        <w:tc>
          <w:tcPr>
            <w:tcW w:w="2616" w:type="dxa"/>
          </w:tcPr>
          <w:p w14:paraId="1BB90DA0" w14:textId="77777777" w:rsidR="00E36173" w:rsidRPr="00A847B7" w:rsidRDefault="00E36173" w:rsidP="00BE75C5">
            <w:pPr>
              <w:rPr>
                <w:rFonts w:cstheme="minorHAnsi"/>
              </w:rPr>
            </w:pPr>
            <w:r w:rsidRPr="00A847B7">
              <w:rPr>
                <w:rFonts w:cstheme="minorHAnsi"/>
              </w:rPr>
              <w:t xml:space="preserve">4 446 </w:t>
            </w:r>
          </w:p>
        </w:tc>
      </w:tr>
      <w:tr w:rsidR="00E36173" w:rsidRPr="00A847B7" w14:paraId="7FB16355" w14:textId="77777777" w:rsidTr="00394A15">
        <w:trPr>
          <w:trHeight w:val="109"/>
        </w:trPr>
        <w:tc>
          <w:tcPr>
            <w:tcW w:w="2616" w:type="dxa"/>
          </w:tcPr>
          <w:p w14:paraId="012DFAEC" w14:textId="77777777" w:rsidR="00E36173" w:rsidRPr="00A847B7" w:rsidRDefault="00E36173" w:rsidP="00BE75C5">
            <w:pPr>
              <w:rPr>
                <w:rFonts w:cstheme="minorHAnsi"/>
              </w:rPr>
            </w:pPr>
            <w:r w:rsidRPr="00A847B7">
              <w:rPr>
                <w:rFonts w:cstheme="minorHAnsi"/>
              </w:rPr>
              <w:t xml:space="preserve">220 </w:t>
            </w:r>
          </w:p>
        </w:tc>
        <w:tc>
          <w:tcPr>
            <w:tcW w:w="2616" w:type="dxa"/>
          </w:tcPr>
          <w:p w14:paraId="5BFFCEE7" w14:textId="77777777" w:rsidR="00E36173" w:rsidRPr="00A847B7" w:rsidRDefault="00E36173" w:rsidP="00BE75C5">
            <w:pPr>
              <w:rPr>
                <w:rFonts w:cstheme="minorHAnsi"/>
              </w:rPr>
            </w:pPr>
            <w:r w:rsidRPr="00A847B7">
              <w:rPr>
                <w:rFonts w:cstheme="minorHAnsi"/>
              </w:rPr>
              <w:t xml:space="preserve">4 488 </w:t>
            </w:r>
          </w:p>
        </w:tc>
      </w:tr>
      <w:tr w:rsidR="00E36173" w:rsidRPr="00A847B7" w14:paraId="263BB3EE" w14:textId="77777777" w:rsidTr="00394A15">
        <w:trPr>
          <w:trHeight w:val="109"/>
        </w:trPr>
        <w:tc>
          <w:tcPr>
            <w:tcW w:w="2616" w:type="dxa"/>
          </w:tcPr>
          <w:p w14:paraId="533CC35E" w14:textId="77777777" w:rsidR="00E36173" w:rsidRPr="00A847B7" w:rsidRDefault="00E36173" w:rsidP="00BE75C5">
            <w:pPr>
              <w:rPr>
                <w:rFonts w:cstheme="minorHAnsi"/>
              </w:rPr>
            </w:pPr>
            <w:r w:rsidRPr="00A847B7">
              <w:rPr>
                <w:rFonts w:cstheme="minorHAnsi"/>
              </w:rPr>
              <w:t xml:space="preserve">221 </w:t>
            </w:r>
          </w:p>
        </w:tc>
        <w:tc>
          <w:tcPr>
            <w:tcW w:w="2616" w:type="dxa"/>
          </w:tcPr>
          <w:p w14:paraId="5D1FC0FE" w14:textId="77777777" w:rsidR="00E36173" w:rsidRPr="00A847B7" w:rsidRDefault="00E36173" w:rsidP="00BE75C5">
            <w:pPr>
              <w:rPr>
                <w:rFonts w:cstheme="minorHAnsi"/>
              </w:rPr>
            </w:pPr>
            <w:r w:rsidRPr="00A847B7">
              <w:rPr>
                <w:rFonts w:cstheme="minorHAnsi"/>
              </w:rPr>
              <w:t xml:space="preserve">4 531 </w:t>
            </w:r>
          </w:p>
        </w:tc>
      </w:tr>
      <w:tr w:rsidR="00E36173" w:rsidRPr="00A847B7" w14:paraId="743240BA" w14:textId="77777777" w:rsidTr="00394A15">
        <w:trPr>
          <w:trHeight w:val="109"/>
        </w:trPr>
        <w:tc>
          <w:tcPr>
            <w:tcW w:w="2616" w:type="dxa"/>
          </w:tcPr>
          <w:p w14:paraId="5B727B44" w14:textId="77777777" w:rsidR="00E36173" w:rsidRPr="00A847B7" w:rsidRDefault="00E36173" w:rsidP="00BE75C5">
            <w:pPr>
              <w:rPr>
                <w:rFonts w:cstheme="minorHAnsi"/>
              </w:rPr>
            </w:pPr>
            <w:r w:rsidRPr="00A847B7">
              <w:rPr>
                <w:rFonts w:cstheme="minorHAnsi"/>
              </w:rPr>
              <w:t xml:space="preserve">222 </w:t>
            </w:r>
          </w:p>
        </w:tc>
        <w:tc>
          <w:tcPr>
            <w:tcW w:w="2616" w:type="dxa"/>
          </w:tcPr>
          <w:p w14:paraId="51EFB652" w14:textId="77777777" w:rsidR="00E36173" w:rsidRPr="00A847B7" w:rsidRDefault="00E36173" w:rsidP="00BE75C5">
            <w:pPr>
              <w:rPr>
                <w:rFonts w:cstheme="minorHAnsi"/>
              </w:rPr>
            </w:pPr>
            <w:r w:rsidRPr="00A847B7">
              <w:rPr>
                <w:rFonts w:cstheme="minorHAnsi"/>
              </w:rPr>
              <w:t xml:space="preserve">4 573 </w:t>
            </w:r>
          </w:p>
        </w:tc>
      </w:tr>
      <w:tr w:rsidR="00E36173" w:rsidRPr="00A847B7" w14:paraId="5A93490D" w14:textId="77777777" w:rsidTr="00394A15">
        <w:trPr>
          <w:trHeight w:val="109"/>
        </w:trPr>
        <w:tc>
          <w:tcPr>
            <w:tcW w:w="2616" w:type="dxa"/>
          </w:tcPr>
          <w:p w14:paraId="46EA10B6" w14:textId="77777777" w:rsidR="00E36173" w:rsidRPr="00A847B7" w:rsidRDefault="00E36173" w:rsidP="00BE75C5">
            <w:pPr>
              <w:rPr>
                <w:rFonts w:cstheme="minorHAnsi"/>
              </w:rPr>
            </w:pPr>
            <w:r w:rsidRPr="00A847B7">
              <w:rPr>
                <w:rFonts w:cstheme="minorHAnsi"/>
              </w:rPr>
              <w:t xml:space="preserve">223 </w:t>
            </w:r>
          </w:p>
        </w:tc>
        <w:tc>
          <w:tcPr>
            <w:tcW w:w="2616" w:type="dxa"/>
          </w:tcPr>
          <w:p w14:paraId="1C8FFAC0" w14:textId="77777777" w:rsidR="00E36173" w:rsidRPr="00A847B7" w:rsidRDefault="00E36173" w:rsidP="00BE75C5">
            <w:pPr>
              <w:rPr>
                <w:rFonts w:cstheme="minorHAnsi"/>
              </w:rPr>
            </w:pPr>
            <w:r w:rsidRPr="00A847B7">
              <w:rPr>
                <w:rFonts w:cstheme="minorHAnsi"/>
              </w:rPr>
              <w:t xml:space="preserve">4 638 </w:t>
            </w:r>
          </w:p>
        </w:tc>
      </w:tr>
      <w:tr w:rsidR="00E36173" w:rsidRPr="00A847B7" w14:paraId="06FBEDDB" w14:textId="77777777" w:rsidTr="00394A15">
        <w:trPr>
          <w:trHeight w:val="109"/>
        </w:trPr>
        <w:tc>
          <w:tcPr>
            <w:tcW w:w="2616" w:type="dxa"/>
          </w:tcPr>
          <w:p w14:paraId="5F66657E" w14:textId="77777777" w:rsidR="00E36173" w:rsidRPr="00A847B7" w:rsidRDefault="00E36173" w:rsidP="00BE75C5">
            <w:pPr>
              <w:rPr>
                <w:rFonts w:cstheme="minorHAnsi"/>
              </w:rPr>
            </w:pPr>
            <w:r w:rsidRPr="00A847B7">
              <w:rPr>
                <w:rFonts w:cstheme="minorHAnsi"/>
              </w:rPr>
              <w:t xml:space="preserve">224 </w:t>
            </w:r>
          </w:p>
        </w:tc>
        <w:tc>
          <w:tcPr>
            <w:tcW w:w="2616" w:type="dxa"/>
          </w:tcPr>
          <w:p w14:paraId="76507095" w14:textId="77777777" w:rsidR="00E36173" w:rsidRPr="00A847B7" w:rsidRDefault="00E36173" w:rsidP="00BE75C5">
            <w:pPr>
              <w:rPr>
                <w:rFonts w:cstheme="minorHAnsi"/>
              </w:rPr>
            </w:pPr>
            <w:r w:rsidRPr="00A847B7">
              <w:rPr>
                <w:rFonts w:cstheme="minorHAnsi"/>
              </w:rPr>
              <w:t xml:space="preserve">4 682 </w:t>
            </w:r>
          </w:p>
        </w:tc>
      </w:tr>
      <w:tr w:rsidR="00E36173" w:rsidRPr="00A847B7" w14:paraId="7B632651" w14:textId="77777777" w:rsidTr="00394A15">
        <w:trPr>
          <w:trHeight w:val="109"/>
        </w:trPr>
        <w:tc>
          <w:tcPr>
            <w:tcW w:w="2616" w:type="dxa"/>
          </w:tcPr>
          <w:p w14:paraId="09E0A96D" w14:textId="77777777" w:rsidR="00E36173" w:rsidRPr="00A847B7" w:rsidRDefault="00E36173" w:rsidP="00BE75C5">
            <w:pPr>
              <w:rPr>
                <w:rFonts w:cstheme="minorHAnsi"/>
              </w:rPr>
            </w:pPr>
            <w:r w:rsidRPr="00A847B7">
              <w:rPr>
                <w:rFonts w:cstheme="minorHAnsi"/>
              </w:rPr>
              <w:t xml:space="preserve">225 </w:t>
            </w:r>
          </w:p>
        </w:tc>
        <w:tc>
          <w:tcPr>
            <w:tcW w:w="2616" w:type="dxa"/>
          </w:tcPr>
          <w:p w14:paraId="0AD07D4A" w14:textId="77777777" w:rsidR="00E36173" w:rsidRPr="00A847B7" w:rsidRDefault="00E36173" w:rsidP="00BE75C5">
            <w:pPr>
              <w:rPr>
                <w:rFonts w:cstheme="minorHAnsi"/>
              </w:rPr>
            </w:pPr>
            <w:r w:rsidRPr="00A847B7">
              <w:rPr>
                <w:rFonts w:cstheme="minorHAnsi"/>
              </w:rPr>
              <w:t xml:space="preserve">4 725 </w:t>
            </w:r>
          </w:p>
        </w:tc>
      </w:tr>
      <w:tr w:rsidR="00E36173" w:rsidRPr="00A847B7" w14:paraId="2632991E" w14:textId="77777777" w:rsidTr="00394A15">
        <w:trPr>
          <w:trHeight w:val="109"/>
        </w:trPr>
        <w:tc>
          <w:tcPr>
            <w:tcW w:w="2616" w:type="dxa"/>
          </w:tcPr>
          <w:p w14:paraId="25C1F899" w14:textId="77777777" w:rsidR="00E36173" w:rsidRPr="00A847B7" w:rsidRDefault="00E36173" w:rsidP="00BE75C5">
            <w:pPr>
              <w:rPr>
                <w:rFonts w:cstheme="minorHAnsi"/>
              </w:rPr>
            </w:pPr>
            <w:r w:rsidRPr="00A847B7">
              <w:rPr>
                <w:rFonts w:cstheme="minorHAnsi"/>
              </w:rPr>
              <w:t xml:space="preserve">226 </w:t>
            </w:r>
          </w:p>
        </w:tc>
        <w:tc>
          <w:tcPr>
            <w:tcW w:w="2616" w:type="dxa"/>
          </w:tcPr>
          <w:p w14:paraId="1D6AD323" w14:textId="77777777" w:rsidR="00E36173" w:rsidRPr="00A847B7" w:rsidRDefault="00E36173" w:rsidP="00BE75C5">
            <w:pPr>
              <w:rPr>
                <w:rFonts w:cstheme="minorHAnsi"/>
              </w:rPr>
            </w:pPr>
            <w:r w:rsidRPr="00A847B7">
              <w:rPr>
                <w:rFonts w:cstheme="minorHAnsi"/>
              </w:rPr>
              <w:t xml:space="preserve">4 769 </w:t>
            </w:r>
          </w:p>
        </w:tc>
      </w:tr>
      <w:tr w:rsidR="00E36173" w:rsidRPr="00A847B7" w14:paraId="28EF315B" w14:textId="77777777" w:rsidTr="00394A15">
        <w:trPr>
          <w:trHeight w:val="109"/>
        </w:trPr>
        <w:tc>
          <w:tcPr>
            <w:tcW w:w="2616" w:type="dxa"/>
          </w:tcPr>
          <w:p w14:paraId="7E28DE99" w14:textId="77777777" w:rsidR="00E36173" w:rsidRPr="00A847B7" w:rsidRDefault="00E36173" w:rsidP="00BE75C5">
            <w:pPr>
              <w:rPr>
                <w:rFonts w:cstheme="minorHAnsi"/>
              </w:rPr>
            </w:pPr>
            <w:r w:rsidRPr="00A847B7">
              <w:rPr>
                <w:rFonts w:cstheme="minorHAnsi"/>
              </w:rPr>
              <w:t xml:space="preserve">227 </w:t>
            </w:r>
          </w:p>
        </w:tc>
        <w:tc>
          <w:tcPr>
            <w:tcW w:w="2616" w:type="dxa"/>
          </w:tcPr>
          <w:p w14:paraId="00F09776" w14:textId="77777777" w:rsidR="00E36173" w:rsidRPr="00A847B7" w:rsidRDefault="00E36173" w:rsidP="00BE75C5">
            <w:pPr>
              <w:rPr>
                <w:rFonts w:cstheme="minorHAnsi"/>
              </w:rPr>
            </w:pPr>
            <w:r w:rsidRPr="00A847B7">
              <w:rPr>
                <w:rFonts w:cstheme="minorHAnsi"/>
              </w:rPr>
              <w:t xml:space="preserve">4 812 </w:t>
            </w:r>
          </w:p>
        </w:tc>
      </w:tr>
      <w:tr w:rsidR="0034070C" w:rsidRPr="00A847B7" w14:paraId="021ADDA1" w14:textId="77777777" w:rsidTr="00394A15">
        <w:trPr>
          <w:trHeight w:val="109"/>
        </w:trPr>
        <w:tc>
          <w:tcPr>
            <w:tcW w:w="2616" w:type="dxa"/>
          </w:tcPr>
          <w:p w14:paraId="791F1CA4" w14:textId="77777777" w:rsidR="0034070C" w:rsidRPr="00A847B7" w:rsidRDefault="0034070C" w:rsidP="00BE75C5">
            <w:pPr>
              <w:rPr>
                <w:rFonts w:cstheme="minorHAnsi"/>
              </w:rPr>
            </w:pPr>
            <w:r w:rsidRPr="00A847B7">
              <w:rPr>
                <w:rFonts w:cstheme="minorHAnsi"/>
              </w:rPr>
              <w:t xml:space="preserve">228 </w:t>
            </w:r>
          </w:p>
        </w:tc>
        <w:tc>
          <w:tcPr>
            <w:tcW w:w="2616" w:type="dxa"/>
          </w:tcPr>
          <w:p w14:paraId="399AC8EC" w14:textId="77777777" w:rsidR="0034070C" w:rsidRPr="00A847B7" w:rsidRDefault="0034070C" w:rsidP="00BE75C5">
            <w:pPr>
              <w:rPr>
                <w:rFonts w:cstheme="minorHAnsi"/>
              </w:rPr>
            </w:pPr>
            <w:r w:rsidRPr="00A847B7">
              <w:rPr>
                <w:rFonts w:cstheme="minorHAnsi"/>
              </w:rPr>
              <w:t xml:space="preserve">4 880 </w:t>
            </w:r>
          </w:p>
        </w:tc>
      </w:tr>
      <w:tr w:rsidR="0034070C" w:rsidRPr="00A847B7" w14:paraId="33C76334" w14:textId="77777777" w:rsidTr="00394A15">
        <w:trPr>
          <w:trHeight w:val="109"/>
        </w:trPr>
        <w:tc>
          <w:tcPr>
            <w:tcW w:w="2616" w:type="dxa"/>
          </w:tcPr>
          <w:p w14:paraId="5BB51F6F" w14:textId="77777777" w:rsidR="0034070C" w:rsidRPr="00A847B7" w:rsidRDefault="0034070C" w:rsidP="00BE75C5">
            <w:pPr>
              <w:rPr>
                <w:rFonts w:cstheme="minorHAnsi"/>
              </w:rPr>
            </w:pPr>
            <w:r w:rsidRPr="00A847B7">
              <w:rPr>
                <w:rFonts w:cstheme="minorHAnsi"/>
              </w:rPr>
              <w:t xml:space="preserve">229 </w:t>
            </w:r>
          </w:p>
        </w:tc>
        <w:tc>
          <w:tcPr>
            <w:tcW w:w="2616" w:type="dxa"/>
          </w:tcPr>
          <w:p w14:paraId="4E83DD23" w14:textId="77777777" w:rsidR="0034070C" w:rsidRPr="00A847B7" w:rsidRDefault="0034070C" w:rsidP="00BE75C5">
            <w:pPr>
              <w:rPr>
                <w:rFonts w:cstheme="minorHAnsi"/>
              </w:rPr>
            </w:pPr>
            <w:r w:rsidRPr="00A847B7">
              <w:rPr>
                <w:rFonts w:cstheme="minorHAnsi"/>
              </w:rPr>
              <w:t xml:space="preserve">4 924 </w:t>
            </w:r>
          </w:p>
        </w:tc>
      </w:tr>
      <w:tr w:rsidR="0034070C" w:rsidRPr="00A847B7" w14:paraId="75E1F7D5" w14:textId="77777777" w:rsidTr="00394A15">
        <w:trPr>
          <w:trHeight w:val="109"/>
        </w:trPr>
        <w:tc>
          <w:tcPr>
            <w:tcW w:w="2616" w:type="dxa"/>
          </w:tcPr>
          <w:p w14:paraId="0335936B" w14:textId="77777777" w:rsidR="0034070C" w:rsidRPr="00A847B7" w:rsidRDefault="0034070C" w:rsidP="00BE75C5">
            <w:pPr>
              <w:rPr>
                <w:rFonts w:cstheme="minorHAnsi"/>
              </w:rPr>
            </w:pPr>
            <w:r w:rsidRPr="00A847B7">
              <w:rPr>
                <w:rFonts w:cstheme="minorHAnsi"/>
              </w:rPr>
              <w:t xml:space="preserve">230 </w:t>
            </w:r>
          </w:p>
        </w:tc>
        <w:tc>
          <w:tcPr>
            <w:tcW w:w="2616" w:type="dxa"/>
          </w:tcPr>
          <w:p w14:paraId="396514F6" w14:textId="77777777" w:rsidR="0034070C" w:rsidRPr="00A847B7" w:rsidRDefault="0034070C" w:rsidP="00BE75C5">
            <w:pPr>
              <w:rPr>
                <w:rFonts w:cstheme="minorHAnsi"/>
              </w:rPr>
            </w:pPr>
            <w:r w:rsidRPr="00A847B7">
              <w:rPr>
                <w:rFonts w:cstheme="minorHAnsi"/>
              </w:rPr>
              <w:t xml:space="preserve">4 968 </w:t>
            </w:r>
          </w:p>
        </w:tc>
      </w:tr>
      <w:tr w:rsidR="0034070C" w:rsidRPr="00A847B7" w14:paraId="628E6F04" w14:textId="77777777" w:rsidTr="00394A15">
        <w:trPr>
          <w:trHeight w:val="109"/>
        </w:trPr>
        <w:tc>
          <w:tcPr>
            <w:tcW w:w="2616" w:type="dxa"/>
          </w:tcPr>
          <w:p w14:paraId="78EDAEBF" w14:textId="77777777" w:rsidR="0034070C" w:rsidRPr="00A847B7" w:rsidRDefault="0034070C" w:rsidP="00BE75C5">
            <w:pPr>
              <w:rPr>
                <w:rFonts w:cstheme="minorHAnsi"/>
              </w:rPr>
            </w:pPr>
            <w:r w:rsidRPr="00A847B7">
              <w:rPr>
                <w:rFonts w:cstheme="minorHAnsi"/>
              </w:rPr>
              <w:t xml:space="preserve">231 </w:t>
            </w:r>
          </w:p>
        </w:tc>
        <w:tc>
          <w:tcPr>
            <w:tcW w:w="2616" w:type="dxa"/>
          </w:tcPr>
          <w:p w14:paraId="5155C5B4" w14:textId="77777777" w:rsidR="0034070C" w:rsidRPr="00A847B7" w:rsidRDefault="0034070C" w:rsidP="00BE75C5">
            <w:pPr>
              <w:rPr>
                <w:rFonts w:cstheme="minorHAnsi"/>
              </w:rPr>
            </w:pPr>
            <w:r w:rsidRPr="00A847B7">
              <w:rPr>
                <w:rFonts w:cstheme="minorHAnsi"/>
              </w:rPr>
              <w:t xml:space="preserve">5 036 </w:t>
            </w:r>
          </w:p>
        </w:tc>
      </w:tr>
      <w:tr w:rsidR="0034070C" w:rsidRPr="00A847B7" w14:paraId="3CD165F4" w14:textId="77777777" w:rsidTr="00394A15">
        <w:trPr>
          <w:trHeight w:val="109"/>
        </w:trPr>
        <w:tc>
          <w:tcPr>
            <w:tcW w:w="2616" w:type="dxa"/>
          </w:tcPr>
          <w:p w14:paraId="0D45EA7C" w14:textId="77777777" w:rsidR="0034070C" w:rsidRPr="00A847B7" w:rsidRDefault="0034070C" w:rsidP="00BE75C5">
            <w:pPr>
              <w:rPr>
                <w:rFonts w:cstheme="minorHAnsi"/>
              </w:rPr>
            </w:pPr>
            <w:r w:rsidRPr="00A847B7">
              <w:rPr>
                <w:rFonts w:cstheme="minorHAnsi"/>
              </w:rPr>
              <w:t xml:space="preserve">232 </w:t>
            </w:r>
          </w:p>
        </w:tc>
        <w:tc>
          <w:tcPr>
            <w:tcW w:w="2616" w:type="dxa"/>
          </w:tcPr>
          <w:p w14:paraId="4E415E74" w14:textId="77777777" w:rsidR="0034070C" w:rsidRPr="00A847B7" w:rsidRDefault="0034070C" w:rsidP="00BE75C5">
            <w:pPr>
              <w:rPr>
                <w:rFonts w:cstheme="minorHAnsi"/>
              </w:rPr>
            </w:pPr>
            <w:r w:rsidRPr="00A847B7">
              <w:rPr>
                <w:rFonts w:cstheme="minorHAnsi"/>
              </w:rPr>
              <w:t xml:space="preserve">5 081 </w:t>
            </w:r>
          </w:p>
        </w:tc>
      </w:tr>
      <w:tr w:rsidR="0034070C" w:rsidRPr="00A847B7" w14:paraId="4F7DD840" w14:textId="77777777" w:rsidTr="00394A15">
        <w:trPr>
          <w:trHeight w:val="109"/>
        </w:trPr>
        <w:tc>
          <w:tcPr>
            <w:tcW w:w="2616" w:type="dxa"/>
          </w:tcPr>
          <w:p w14:paraId="48410500" w14:textId="77777777" w:rsidR="0034070C" w:rsidRPr="00A847B7" w:rsidRDefault="0034070C" w:rsidP="00BE75C5">
            <w:pPr>
              <w:rPr>
                <w:rFonts w:cstheme="minorHAnsi"/>
              </w:rPr>
            </w:pPr>
            <w:r w:rsidRPr="00A847B7">
              <w:rPr>
                <w:rFonts w:cstheme="minorHAnsi"/>
              </w:rPr>
              <w:t xml:space="preserve">233 </w:t>
            </w:r>
          </w:p>
        </w:tc>
        <w:tc>
          <w:tcPr>
            <w:tcW w:w="2616" w:type="dxa"/>
          </w:tcPr>
          <w:p w14:paraId="0169B628" w14:textId="77777777" w:rsidR="0034070C" w:rsidRPr="00A847B7" w:rsidRDefault="0034070C" w:rsidP="00BE75C5">
            <w:pPr>
              <w:rPr>
                <w:rFonts w:cstheme="minorHAnsi"/>
              </w:rPr>
            </w:pPr>
            <w:r w:rsidRPr="00A847B7">
              <w:rPr>
                <w:rFonts w:cstheme="minorHAnsi"/>
              </w:rPr>
              <w:t xml:space="preserve">5 150 </w:t>
            </w:r>
          </w:p>
        </w:tc>
      </w:tr>
      <w:tr w:rsidR="0034070C" w:rsidRPr="00A847B7" w14:paraId="244C1E29" w14:textId="77777777" w:rsidTr="00394A15">
        <w:trPr>
          <w:trHeight w:val="109"/>
        </w:trPr>
        <w:tc>
          <w:tcPr>
            <w:tcW w:w="2616" w:type="dxa"/>
          </w:tcPr>
          <w:p w14:paraId="29DDE02D" w14:textId="77777777" w:rsidR="0034070C" w:rsidRPr="00A847B7" w:rsidRDefault="0034070C" w:rsidP="00BE75C5">
            <w:pPr>
              <w:rPr>
                <w:rFonts w:cstheme="minorHAnsi"/>
              </w:rPr>
            </w:pPr>
            <w:r w:rsidRPr="00A847B7">
              <w:rPr>
                <w:rFonts w:cstheme="minorHAnsi"/>
              </w:rPr>
              <w:t xml:space="preserve">234 </w:t>
            </w:r>
          </w:p>
        </w:tc>
        <w:tc>
          <w:tcPr>
            <w:tcW w:w="2616" w:type="dxa"/>
          </w:tcPr>
          <w:p w14:paraId="3FEDE3E2" w14:textId="77777777" w:rsidR="0034070C" w:rsidRPr="00A847B7" w:rsidRDefault="0034070C" w:rsidP="00BE75C5">
            <w:pPr>
              <w:rPr>
                <w:rFonts w:cstheme="minorHAnsi"/>
              </w:rPr>
            </w:pPr>
            <w:r w:rsidRPr="00A847B7">
              <w:rPr>
                <w:rFonts w:cstheme="minorHAnsi"/>
              </w:rPr>
              <w:t xml:space="preserve">5 218 </w:t>
            </w:r>
          </w:p>
        </w:tc>
      </w:tr>
      <w:tr w:rsidR="0034070C" w:rsidRPr="00A847B7" w14:paraId="2A3340E4" w14:textId="77777777" w:rsidTr="00394A15">
        <w:trPr>
          <w:trHeight w:val="109"/>
        </w:trPr>
        <w:tc>
          <w:tcPr>
            <w:tcW w:w="2616" w:type="dxa"/>
          </w:tcPr>
          <w:p w14:paraId="172DC232" w14:textId="77777777" w:rsidR="0034070C" w:rsidRPr="00A847B7" w:rsidRDefault="0034070C" w:rsidP="00BE75C5">
            <w:pPr>
              <w:rPr>
                <w:rFonts w:cstheme="minorHAnsi"/>
              </w:rPr>
            </w:pPr>
            <w:r w:rsidRPr="00A847B7">
              <w:rPr>
                <w:rFonts w:cstheme="minorHAnsi"/>
              </w:rPr>
              <w:t xml:space="preserve">235 </w:t>
            </w:r>
          </w:p>
        </w:tc>
        <w:tc>
          <w:tcPr>
            <w:tcW w:w="2616" w:type="dxa"/>
          </w:tcPr>
          <w:p w14:paraId="517FAD96" w14:textId="77777777" w:rsidR="0034070C" w:rsidRPr="00A847B7" w:rsidRDefault="0034070C" w:rsidP="00BE75C5">
            <w:pPr>
              <w:rPr>
                <w:rFonts w:cstheme="minorHAnsi"/>
              </w:rPr>
            </w:pPr>
            <w:r w:rsidRPr="00A847B7">
              <w:rPr>
                <w:rFonts w:cstheme="minorHAnsi"/>
              </w:rPr>
              <w:t xml:space="preserve">5 288 </w:t>
            </w:r>
          </w:p>
        </w:tc>
      </w:tr>
      <w:tr w:rsidR="0034070C" w:rsidRPr="00A847B7" w14:paraId="5A744B2E" w14:textId="77777777" w:rsidTr="00394A15">
        <w:trPr>
          <w:trHeight w:val="109"/>
        </w:trPr>
        <w:tc>
          <w:tcPr>
            <w:tcW w:w="2616" w:type="dxa"/>
          </w:tcPr>
          <w:p w14:paraId="0B4D25CD" w14:textId="77777777" w:rsidR="0034070C" w:rsidRPr="00A847B7" w:rsidRDefault="0034070C" w:rsidP="00BE75C5">
            <w:pPr>
              <w:rPr>
                <w:rFonts w:cstheme="minorHAnsi"/>
              </w:rPr>
            </w:pPr>
            <w:r w:rsidRPr="00A847B7">
              <w:rPr>
                <w:rFonts w:cstheme="minorHAnsi"/>
              </w:rPr>
              <w:lastRenderedPageBreak/>
              <w:t xml:space="preserve">236 </w:t>
            </w:r>
          </w:p>
        </w:tc>
        <w:tc>
          <w:tcPr>
            <w:tcW w:w="2616" w:type="dxa"/>
          </w:tcPr>
          <w:p w14:paraId="29AFDB14" w14:textId="77777777" w:rsidR="0034070C" w:rsidRPr="00A847B7" w:rsidRDefault="0034070C" w:rsidP="00BE75C5">
            <w:pPr>
              <w:rPr>
                <w:rFonts w:cstheme="minorHAnsi"/>
              </w:rPr>
            </w:pPr>
            <w:r w:rsidRPr="00A847B7">
              <w:rPr>
                <w:rFonts w:cstheme="minorHAnsi"/>
              </w:rPr>
              <w:t xml:space="preserve">5 334 </w:t>
            </w:r>
          </w:p>
        </w:tc>
      </w:tr>
      <w:tr w:rsidR="0034070C" w:rsidRPr="00A847B7" w14:paraId="24F86DDD" w14:textId="77777777" w:rsidTr="00394A15">
        <w:trPr>
          <w:trHeight w:val="109"/>
        </w:trPr>
        <w:tc>
          <w:tcPr>
            <w:tcW w:w="2616" w:type="dxa"/>
          </w:tcPr>
          <w:p w14:paraId="3A751767" w14:textId="77777777" w:rsidR="0034070C" w:rsidRPr="00A847B7" w:rsidRDefault="0034070C" w:rsidP="00BE75C5">
            <w:pPr>
              <w:rPr>
                <w:rFonts w:cstheme="minorHAnsi"/>
              </w:rPr>
            </w:pPr>
            <w:r w:rsidRPr="00A847B7">
              <w:rPr>
                <w:rFonts w:cstheme="minorHAnsi"/>
              </w:rPr>
              <w:t xml:space="preserve">237 </w:t>
            </w:r>
          </w:p>
        </w:tc>
        <w:tc>
          <w:tcPr>
            <w:tcW w:w="2616" w:type="dxa"/>
          </w:tcPr>
          <w:p w14:paraId="390F8F47" w14:textId="77777777" w:rsidR="0034070C" w:rsidRPr="00A847B7" w:rsidRDefault="0034070C" w:rsidP="00BE75C5">
            <w:pPr>
              <w:rPr>
                <w:rFonts w:cstheme="minorHAnsi"/>
              </w:rPr>
            </w:pPr>
            <w:r w:rsidRPr="00A847B7">
              <w:rPr>
                <w:rFonts w:cstheme="minorHAnsi"/>
              </w:rPr>
              <w:t xml:space="preserve">5 404 </w:t>
            </w:r>
          </w:p>
        </w:tc>
      </w:tr>
      <w:tr w:rsidR="0034070C" w:rsidRPr="00A847B7" w14:paraId="1A846744" w14:textId="77777777" w:rsidTr="00394A15">
        <w:trPr>
          <w:trHeight w:val="109"/>
        </w:trPr>
        <w:tc>
          <w:tcPr>
            <w:tcW w:w="2616" w:type="dxa"/>
          </w:tcPr>
          <w:p w14:paraId="699B6D4E" w14:textId="77777777" w:rsidR="0034070C" w:rsidRPr="00A847B7" w:rsidRDefault="0034070C" w:rsidP="00BE75C5">
            <w:pPr>
              <w:rPr>
                <w:rFonts w:cstheme="minorHAnsi"/>
              </w:rPr>
            </w:pPr>
            <w:r w:rsidRPr="00A847B7">
              <w:rPr>
                <w:rFonts w:cstheme="minorHAnsi"/>
              </w:rPr>
              <w:t xml:space="preserve">238 </w:t>
            </w:r>
          </w:p>
        </w:tc>
        <w:tc>
          <w:tcPr>
            <w:tcW w:w="2616" w:type="dxa"/>
          </w:tcPr>
          <w:p w14:paraId="0ABD481E" w14:textId="77777777" w:rsidR="0034070C" w:rsidRPr="00A847B7" w:rsidRDefault="0034070C" w:rsidP="00BE75C5">
            <w:pPr>
              <w:rPr>
                <w:rFonts w:cstheme="minorHAnsi"/>
              </w:rPr>
            </w:pPr>
            <w:r w:rsidRPr="00A847B7">
              <w:rPr>
                <w:rFonts w:cstheme="minorHAnsi"/>
              </w:rPr>
              <w:t xml:space="preserve">5 474 </w:t>
            </w:r>
          </w:p>
        </w:tc>
      </w:tr>
      <w:tr w:rsidR="0034070C" w:rsidRPr="00A847B7" w14:paraId="75C3E259" w14:textId="77777777" w:rsidTr="00394A15">
        <w:trPr>
          <w:trHeight w:val="109"/>
        </w:trPr>
        <w:tc>
          <w:tcPr>
            <w:tcW w:w="2616" w:type="dxa"/>
          </w:tcPr>
          <w:p w14:paraId="647A504D" w14:textId="77777777" w:rsidR="0034070C" w:rsidRPr="00A847B7" w:rsidRDefault="0034070C" w:rsidP="00BE75C5">
            <w:pPr>
              <w:rPr>
                <w:rFonts w:cstheme="minorHAnsi"/>
              </w:rPr>
            </w:pPr>
            <w:r w:rsidRPr="00A847B7">
              <w:rPr>
                <w:rFonts w:cstheme="minorHAnsi"/>
              </w:rPr>
              <w:t xml:space="preserve">239 </w:t>
            </w:r>
          </w:p>
        </w:tc>
        <w:tc>
          <w:tcPr>
            <w:tcW w:w="2616" w:type="dxa"/>
          </w:tcPr>
          <w:p w14:paraId="43678771" w14:textId="77777777" w:rsidR="0034070C" w:rsidRPr="00A847B7" w:rsidRDefault="0034070C" w:rsidP="00BE75C5">
            <w:pPr>
              <w:rPr>
                <w:rFonts w:cstheme="minorHAnsi"/>
              </w:rPr>
            </w:pPr>
            <w:r w:rsidRPr="00A847B7">
              <w:rPr>
                <w:rFonts w:cstheme="minorHAnsi"/>
              </w:rPr>
              <w:t xml:space="preserve">5 521 </w:t>
            </w:r>
          </w:p>
        </w:tc>
      </w:tr>
      <w:tr w:rsidR="0034070C" w:rsidRPr="00A847B7" w14:paraId="7201D621" w14:textId="77777777" w:rsidTr="00394A15">
        <w:trPr>
          <w:trHeight w:val="109"/>
        </w:trPr>
        <w:tc>
          <w:tcPr>
            <w:tcW w:w="2616" w:type="dxa"/>
          </w:tcPr>
          <w:p w14:paraId="76CF6A89" w14:textId="77777777" w:rsidR="0034070C" w:rsidRPr="00A847B7" w:rsidRDefault="0034070C" w:rsidP="00BE75C5">
            <w:pPr>
              <w:rPr>
                <w:rFonts w:cstheme="minorHAnsi"/>
              </w:rPr>
            </w:pPr>
            <w:r w:rsidRPr="00A847B7">
              <w:rPr>
                <w:rFonts w:cstheme="minorHAnsi"/>
              </w:rPr>
              <w:t xml:space="preserve">240 </w:t>
            </w:r>
          </w:p>
        </w:tc>
        <w:tc>
          <w:tcPr>
            <w:tcW w:w="2616" w:type="dxa"/>
          </w:tcPr>
          <w:p w14:paraId="0E3713DE" w14:textId="77777777" w:rsidR="0034070C" w:rsidRPr="00A847B7" w:rsidRDefault="0034070C" w:rsidP="00BE75C5">
            <w:pPr>
              <w:rPr>
                <w:rFonts w:cstheme="minorHAnsi"/>
              </w:rPr>
            </w:pPr>
            <w:r w:rsidRPr="00A847B7">
              <w:rPr>
                <w:rFonts w:cstheme="minorHAnsi"/>
              </w:rPr>
              <w:t xml:space="preserve">5 592 </w:t>
            </w:r>
          </w:p>
        </w:tc>
      </w:tr>
      <w:tr w:rsidR="0034070C" w:rsidRPr="00A847B7" w14:paraId="6227BEA2" w14:textId="77777777" w:rsidTr="00394A15">
        <w:trPr>
          <w:trHeight w:val="109"/>
        </w:trPr>
        <w:tc>
          <w:tcPr>
            <w:tcW w:w="2616" w:type="dxa"/>
          </w:tcPr>
          <w:p w14:paraId="4B80AFD1" w14:textId="77777777" w:rsidR="0034070C" w:rsidRPr="00A847B7" w:rsidRDefault="0034070C" w:rsidP="00BE75C5">
            <w:pPr>
              <w:rPr>
                <w:rFonts w:cstheme="minorHAnsi"/>
              </w:rPr>
            </w:pPr>
            <w:r w:rsidRPr="00A847B7">
              <w:rPr>
                <w:rFonts w:cstheme="minorHAnsi"/>
              </w:rPr>
              <w:t xml:space="preserve">241 </w:t>
            </w:r>
          </w:p>
        </w:tc>
        <w:tc>
          <w:tcPr>
            <w:tcW w:w="2616" w:type="dxa"/>
          </w:tcPr>
          <w:p w14:paraId="22E5BA45" w14:textId="77777777" w:rsidR="0034070C" w:rsidRPr="00A847B7" w:rsidRDefault="0034070C" w:rsidP="00BE75C5">
            <w:pPr>
              <w:rPr>
                <w:rFonts w:cstheme="minorHAnsi"/>
              </w:rPr>
            </w:pPr>
            <w:r w:rsidRPr="00A847B7">
              <w:rPr>
                <w:rFonts w:cstheme="minorHAnsi"/>
              </w:rPr>
              <w:t xml:space="preserve">5 664 </w:t>
            </w:r>
          </w:p>
        </w:tc>
      </w:tr>
      <w:tr w:rsidR="0034070C" w:rsidRPr="00A847B7" w14:paraId="1A736E94" w14:textId="77777777" w:rsidTr="00394A15">
        <w:trPr>
          <w:trHeight w:val="109"/>
        </w:trPr>
        <w:tc>
          <w:tcPr>
            <w:tcW w:w="2616" w:type="dxa"/>
          </w:tcPr>
          <w:p w14:paraId="29C93754" w14:textId="77777777" w:rsidR="0034070C" w:rsidRPr="00A847B7" w:rsidRDefault="0034070C" w:rsidP="00BE75C5">
            <w:pPr>
              <w:rPr>
                <w:rFonts w:cstheme="minorHAnsi"/>
              </w:rPr>
            </w:pPr>
            <w:r w:rsidRPr="00A847B7">
              <w:rPr>
                <w:rFonts w:cstheme="minorHAnsi"/>
              </w:rPr>
              <w:t xml:space="preserve">242 </w:t>
            </w:r>
          </w:p>
        </w:tc>
        <w:tc>
          <w:tcPr>
            <w:tcW w:w="2616" w:type="dxa"/>
          </w:tcPr>
          <w:p w14:paraId="275C4944" w14:textId="77777777" w:rsidR="0034070C" w:rsidRPr="00A847B7" w:rsidRDefault="0034070C" w:rsidP="00BE75C5">
            <w:pPr>
              <w:rPr>
                <w:rFonts w:cstheme="minorHAnsi"/>
              </w:rPr>
            </w:pPr>
            <w:r w:rsidRPr="00A847B7">
              <w:rPr>
                <w:rFonts w:cstheme="minorHAnsi"/>
              </w:rPr>
              <w:t xml:space="preserve">5 735 </w:t>
            </w:r>
          </w:p>
        </w:tc>
      </w:tr>
      <w:tr w:rsidR="0034070C" w:rsidRPr="00A847B7" w14:paraId="4AFAC819" w14:textId="77777777" w:rsidTr="00394A15">
        <w:trPr>
          <w:trHeight w:val="109"/>
        </w:trPr>
        <w:tc>
          <w:tcPr>
            <w:tcW w:w="2616" w:type="dxa"/>
          </w:tcPr>
          <w:p w14:paraId="5965D212" w14:textId="77777777" w:rsidR="0034070C" w:rsidRPr="00A847B7" w:rsidRDefault="0034070C" w:rsidP="00BE75C5">
            <w:pPr>
              <w:rPr>
                <w:rFonts w:cstheme="minorHAnsi"/>
              </w:rPr>
            </w:pPr>
            <w:r w:rsidRPr="00A847B7">
              <w:rPr>
                <w:rFonts w:cstheme="minorHAnsi"/>
              </w:rPr>
              <w:t xml:space="preserve">243 </w:t>
            </w:r>
          </w:p>
        </w:tc>
        <w:tc>
          <w:tcPr>
            <w:tcW w:w="2616" w:type="dxa"/>
          </w:tcPr>
          <w:p w14:paraId="3238E01F" w14:textId="77777777" w:rsidR="0034070C" w:rsidRPr="00A847B7" w:rsidRDefault="0034070C" w:rsidP="00BE75C5">
            <w:pPr>
              <w:rPr>
                <w:rFonts w:cstheme="minorHAnsi"/>
              </w:rPr>
            </w:pPr>
            <w:r w:rsidRPr="00A847B7">
              <w:rPr>
                <w:rFonts w:cstheme="minorHAnsi"/>
              </w:rPr>
              <w:t xml:space="preserve">5 783 </w:t>
            </w:r>
          </w:p>
        </w:tc>
      </w:tr>
      <w:tr w:rsidR="0034070C" w:rsidRPr="00A847B7" w14:paraId="7149B8DB" w14:textId="77777777" w:rsidTr="00394A15">
        <w:trPr>
          <w:trHeight w:val="109"/>
        </w:trPr>
        <w:tc>
          <w:tcPr>
            <w:tcW w:w="2616" w:type="dxa"/>
          </w:tcPr>
          <w:p w14:paraId="11DB41D3" w14:textId="77777777" w:rsidR="0034070C" w:rsidRPr="00A847B7" w:rsidRDefault="0034070C" w:rsidP="00BE75C5">
            <w:pPr>
              <w:rPr>
                <w:rFonts w:cstheme="minorHAnsi"/>
              </w:rPr>
            </w:pPr>
            <w:r w:rsidRPr="00A847B7">
              <w:rPr>
                <w:rFonts w:cstheme="minorHAnsi"/>
              </w:rPr>
              <w:t xml:space="preserve">244 </w:t>
            </w:r>
          </w:p>
        </w:tc>
        <w:tc>
          <w:tcPr>
            <w:tcW w:w="2616" w:type="dxa"/>
          </w:tcPr>
          <w:p w14:paraId="2378EDDB" w14:textId="77777777" w:rsidR="0034070C" w:rsidRPr="00A847B7" w:rsidRDefault="0034070C" w:rsidP="00BE75C5">
            <w:pPr>
              <w:rPr>
                <w:rFonts w:cstheme="minorHAnsi"/>
              </w:rPr>
            </w:pPr>
            <w:r w:rsidRPr="00A847B7">
              <w:rPr>
                <w:rFonts w:cstheme="minorHAnsi"/>
              </w:rPr>
              <w:t xml:space="preserve">5 856 </w:t>
            </w:r>
          </w:p>
        </w:tc>
      </w:tr>
      <w:tr w:rsidR="0034070C" w:rsidRPr="00A847B7" w14:paraId="5A37825D" w14:textId="77777777" w:rsidTr="00394A15">
        <w:trPr>
          <w:trHeight w:val="109"/>
        </w:trPr>
        <w:tc>
          <w:tcPr>
            <w:tcW w:w="2616" w:type="dxa"/>
          </w:tcPr>
          <w:p w14:paraId="3445A2A5" w14:textId="77777777" w:rsidR="0034070C" w:rsidRPr="00A847B7" w:rsidRDefault="0034070C" w:rsidP="00BE75C5">
            <w:pPr>
              <w:rPr>
                <w:rFonts w:cstheme="minorHAnsi"/>
              </w:rPr>
            </w:pPr>
            <w:r w:rsidRPr="00A847B7">
              <w:rPr>
                <w:rFonts w:cstheme="minorHAnsi"/>
              </w:rPr>
              <w:t xml:space="preserve">245 </w:t>
            </w:r>
          </w:p>
        </w:tc>
        <w:tc>
          <w:tcPr>
            <w:tcW w:w="2616" w:type="dxa"/>
          </w:tcPr>
          <w:p w14:paraId="6E7D5BCC" w14:textId="77777777" w:rsidR="0034070C" w:rsidRPr="00A847B7" w:rsidRDefault="0034070C" w:rsidP="00BE75C5">
            <w:pPr>
              <w:rPr>
                <w:rFonts w:cstheme="minorHAnsi"/>
              </w:rPr>
            </w:pPr>
            <w:r w:rsidRPr="00A847B7">
              <w:rPr>
                <w:rFonts w:cstheme="minorHAnsi"/>
              </w:rPr>
              <w:t xml:space="preserve">5 929 </w:t>
            </w:r>
          </w:p>
        </w:tc>
      </w:tr>
      <w:tr w:rsidR="0034070C" w:rsidRPr="00A847B7" w14:paraId="4EA95233" w14:textId="77777777" w:rsidTr="00394A15">
        <w:trPr>
          <w:trHeight w:val="109"/>
        </w:trPr>
        <w:tc>
          <w:tcPr>
            <w:tcW w:w="2616" w:type="dxa"/>
          </w:tcPr>
          <w:p w14:paraId="1E91214C" w14:textId="77777777" w:rsidR="0034070C" w:rsidRPr="00A847B7" w:rsidRDefault="0034070C" w:rsidP="00BE75C5">
            <w:pPr>
              <w:rPr>
                <w:rFonts w:cstheme="minorHAnsi"/>
              </w:rPr>
            </w:pPr>
            <w:r w:rsidRPr="00A847B7">
              <w:rPr>
                <w:rFonts w:cstheme="minorHAnsi"/>
              </w:rPr>
              <w:t xml:space="preserve">246 </w:t>
            </w:r>
          </w:p>
        </w:tc>
        <w:tc>
          <w:tcPr>
            <w:tcW w:w="2616" w:type="dxa"/>
          </w:tcPr>
          <w:p w14:paraId="40B72F96" w14:textId="77777777" w:rsidR="0034070C" w:rsidRPr="00A847B7" w:rsidRDefault="0034070C" w:rsidP="00BE75C5">
            <w:pPr>
              <w:rPr>
                <w:rFonts w:cstheme="minorHAnsi"/>
              </w:rPr>
            </w:pPr>
            <w:r w:rsidRPr="00A847B7">
              <w:rPr>
                <w:rFonts w:cstheme="minorHAnsi"/>
              </w:rPr>
              <w:t xml:space="preserve">6 002 </w:t>
            </w:r>
          </w:p>
        </w:tc>
      </w:tr>
      <w:tr w:rsidR="0034070C" w:rsidRPr="00A847B7" w14:paraId="3D354F15" w14:textId="77777777" w:rsidTr="00394A15">
        <w:trPr>
          <w:trHeight w:val="109"/>
        </w:trPr>
        <w:tc>
          <w:tcPr>
            <w:tcW w:w="2616" w:type="dxa"/>
          </w:tcPr>
          <w:p w14:paraId="50C35E05" w14:textId="77777777" w:rsidR="0034070C" w:rsidRPr="00A847B7" w:rsidRDefault="0034070C" w:rsidP="00BE75C5">
            <w:pPr>
              <w:rPr>
                <w:rFonts w:cstheme="minorHAnsi"/>
              </w:rPr>
            </w:pPr>
            <w:r w:rsidRPr="00A847B7">
              <w:rPr>
                <w:rFonts w:cstheme="minorHAnsi"/>
              </w:rPr>
              <w:t xml:space="preserve">247 </w:t>
            </w:r>
          </w:p>
        </w:tc>
        <w:tc>
          <w:tcPr>
            <w:tcW w:w="2616" w:type="dxa"/>
          </w:tcPr>
          <w:p w14:paraId="71FACA71" w14:textId="77777777" w:rsidR="0034070C" w:rsidRPr="00A847B7" w:rsidRDefault="0034070C" w:rsidP="00BE75C5">
            <w:pPr>
              <w:rPr>
                <w:rFonts w:cstheme="minorHAnsi"/>
              </w:rPr>
            </w:pPr>
            <w:r w:rsidRPr="00A847B7">
              <w:rPr>
                <w:rFonts w:cstheme="minorHAnsi"/>
              </w:rPr>
              <w:t xml:space="preserve">6 052 </w:t>
            </w:r>
          </w:p>
        </w:tc>
      </w:tr>
      <w:tr w:rsidR="0034070C" w:rsidRPr="00A847B7" w14:paraId="312D57C6" w14:textId="77777777" w:rsidTr="00394A15">
        <w:trPr>
          <w:trHeight w:val="109"/>
        </w:trPr>
        <w:tc>
          <w:tcPr>
            <w:tcW w:w="2616" w:type="dxa"/>
          </w:tcPr>
          <w:p w14:paraId="4127A030" w14:textId="77777777" w:rsidR="0034070C" w:rsidRPr="00A847B7" w:rsidRDefault="0034070C" w:rsidP="00BE75C5">
            <w:pPr>
              <w:rPr>
                <w:rFonts w:cstheme="minorHAnsi"/>
              </w:rPr>
            </w:pPr>
            <w:r w:rsidRPr="00A847B7">
              <w:rPr>
                <w:rFonts w:cstheme="minorHAnsi"/>
              </w:rPr>
              <w:t xml:space="preserve">248 </w:t>
            </w:r>
          </w:p>
        </w:tc>
        <w:tc>
          <w:tcPr>
            <w:tcW w:w="2616" w:type="dxa"/>
          </w:tcPr>
          <w:p w14:paraId="283916D3" w14:textId="77777777" w:rsidR="0034070C" w:rsidRPr="00A847B7" w:rsidRDefault="0034070C" w:rsidP="00BE75C5">
            <w:pPr>
              <w:rPr>
                <w:rFonts w:cstheme="minorHAnsi"/>
              </w:rPr>
            </w:pPr>
            <w:r w:rsidRPr="00A847B7">
              <w:rPr>
                <w:rFonts w:cstheme="minorHAnsi"/>
              </w:rPr>
              <w:t xml:space="preserve">6 126 </w:t>
            </w:r>
          </w:p>
        </w:tc>
      </w:tr>
      <w:tr w:rsidR="0034070C" w:rsidRPr="00A847B7" w14:paraId="1A4488EE" w14:textId="77777777" w:rsidTr="00394A15">
        <w:trPr>
          <w:trHeight w:val="109"/>
        </w:trPr>
        <w:tc>
          <w:tcPr>
            <w:tcW w:w="2616" w:type="dxa"/>
          </w:tcPr>
          <w:p w14:paraId="338D0678" w14:textId="77777777" w:rsidR="0034070C" w:rsidRPr="00A847B7" w:rsidRDefault="0034070C" w:rsidP="00BE75C5">
            <w:pPr>
              <w:rPr>
                <w:rFonts w:cstheme="minorHAnsi"/>
              </w:rPr>
            </w:pPr>
            <w:r w:rsidRPr="00A847B7">
              <w:rPr>
                <w:rFonts w:cstheme="minorHAnsi"/>
              </w:rPr>
              <w:t xml:space="preserve">249 </w:t>
            </w:r>
          </w:p>
        </w:tc>
        <w:tc>
          <w:tcPr>
            <w:tcW w:w="2616" w:type="dxa"/>
          </w:tcPr>
          <w:p w14:paraId="443E04A2" w14:textId="77777777" w:rsidR="0034070C" w:rsidRPr="00A847B7" w:rsidRDefault="0034070C" w:rsidP="00BE75C5">
            <w:pPr>
              <w:rPr>
                <w:rFonts w:cstheme="minorHAnsi"/>
              </w:rPr>
            </w:pPr>
            <w:r w:rsidRPr="00A847B7">
              <w:rPr>
                <w:rFonts w:cstheme="minorHAnsi"/>
              </w:rPr>
              <w:t xml:space="preserve">6 200 </w:t>
            </w:r>
          </w:p>
        </w:tc>
      </w:tr>
      <w:tr w:rsidR="0034070C" w:rsidRPr="00A847B7" w14:paraId="41C43B39" w14:textId="77777777" w:rsidTr="00394A15">
        <w:trPr>
          <w:trHeight w:val="109"/>
        </w:trPr>
        <w:tc>
          <w:tcPr>
            <w:tcW w:w="2616" w:type="dxa"/>
          </w:tcPr>
          <w:p w14:paraId="5245D047" w14:textId="77777777" w:rsidR="0034070C" w:rsidRPr="00A847B7" w:rsidRDefault="0034070C" w:rsidP="00BE75C5">
            <w:pPr>
              <w:rPr>
                <w:rFonts w:cstheme="minorHAnsi"/>
              </w:rPr>
            </w:pPr>
            <w:r w:rsidRPr="00A847B7">
              <w:rPr>
                <w:rFonts w:cstheme="minorHAnsi"/>
              </w:rPr>
              <w:t xml:space="preserve">250 </w:t>
            </w:r>
          </w:p>
        </w:tc>
        <w:tc>
          <w:tcPr>
            <w:tcW w:w="2616" w:type="dxa"/>
          </w:tcPr>
          <w:p w14:paraId="5B540803" w14:textId="77777777" w:rsidR="0034070C" w:rsidRPr="00A847B7" w:rsidRDefault="0034070C" w:rsidP="00BE75C5">
            <w:pPr>
              <w:rPr>
                <w:rFonts w:cstheme="minorHAnsi"/>
              </w:rPr>
            </w:pPr>
            <w:r w:rsidRPr="00A847B7">
              <w:rPr>
                <w:rFonts w:cstheme="minorHAnsi"/>
              </w:rPr>
              <w:t xml:space="preserve">6 250 </w:t>
            </w:r>
          </w:p>
        </w:tc>
      </w:tr>
      <w:tr w:rsidR="0034070C" w:rsidRPr="00A847B7" w14:paraId="45908548" w14:textId="77777777" w:rsidTr="00394A15">
        <w:trPr>
          <w:trHeight w:val="109"/>
        </w:trPr>
        <w:tc>
          <w:tcPr>
            <w:tcW w:w="2616" w:type="dxa"/>
          </w:tcPr>
          <w:p w14:paraId="2020D546" w14:textId="77777777" w:rsidR="0034070C" w:rsidRPr="00A847B7" w:rsidRDefault="0034070C" w:rsidP="00BE75C5">
            <w:pPr>
              <w:rPr>
                <w:rFonts w:cstheme="minorHAnsi"/>
              </w:rPr>
            </w:pPr>
            <w:r w:rsidRPr="00A847B7">
              <w:rPr>
                <w:rFonts w:cstheme="minorHAnsi"/>
              </w:rPr>
              <w:t xml:space="preserve">251 </w:t>
            </w:r>
          </w:p>
        </w:tc>
        <w:tc>
          <w:tcPr>
            <w:tcW w:w="2616" w:type="dxa"/>
          </w:tcPr>
          <w:p w14:paraId="26A2908F" w14:textId="77777777" w:rsidR="0034070C" w:rsidRPr="00A847B7" w:rsidRDefault="0034070C" w:rsidP="00BE75C5">
            <w:pPr>
              <w:rPr>
                <w:rFonts w:cstheme="minorHAnsi"/>
              </w:rPr>
            </w:pPr>
            <w:r w:rsidRPr="00A847B7">
              <w:rPr>
                <w:rFonts w:cstheme="minorHAnsi"/>
              </w:rPr>
              <w:t xml:space="preserve">6 325 </w:t>
            </w:r>
          </w:p>
        </w:tc>
      </w:tr>
      <w:tr w:rsidR="0034070C" w:rsidRPr="00A847B7" w14:paraId="0D72A077" w14:textId="77777777" w:rsidTr="00394A15">
        <w:trPr>
          <w:trHeight w:val="109"/>
        </w:trPr>
        <w:tc>
          <w:tcPr>
            <w:tcW w:w="2616" w:type="dxa"/>
          </w:tcPr>
          <w:p w14:paraId="5455F1FF" w14:textId="77777777" w:rsidR="0034070C" w:rsidRPr="00A847B7" w:rsidRDefault="0034070C" w:rsidP="00BE75C5">
            <w:pPr>
              <w:rPr>
                <w:rFonts w:cstheme="minorHAnsi"/>
              </w:rPr>
            </w:pPr>
            <w:r w:rsidRPr="00A847B7">
              <w:rPr>
                <w:rFonts w:cstheme="minorHAnsi"/>
              </w:rPr>
              <w:t xml:space="preserve">252 </w:t>
            </w:r>
          </w:p>
        </w:tc>
        <w:tc>
          <w:tcPr>
            <w:tcW w:w="2616" w:type="dxa"/>
          </w:tcPr>
          <w:p w14:paraId="0031B17C" w14:textId="77777777" w:rsidR="0034070C" w:rsidRPr="00A847B7" w:rsidRDefault="0034070C" w:rsidP="00BE75C5">
            <w:pPr>
              <w:rPr>
                <w:rFonts w:cstheme="minorHAnsi"/>
              </w:rPr>
            </w:pPr>
            <w:r w:rsidRPr="00A847B7">
              <w:rPr>
                <w:rFonts w:cstheme="minorHAnsi"/>
              </w:rPr>
              <w:t xml:space="preserve">6 401 </w:t>
            </w:r>
          </w:p>
        </w:tc>
      </w:tr>
      <w:tr w:rsidR="0034070C" w:rsidRPr="00A847B7" w14:paraId="0759C407" w14:textId="77777777" w:rsidTr="00394A15">
        <w:trPr>
          <w:trHeight w:val="109"/>
        </w:trPr>
        <w:tc>
          <w:tcPr>
            <w:tcW w:w="2616" w:type="dxa"/>
          </w:tcPr>
          <w:p w14:paraId="0182B47A" w14:textId="77777777" w:rsidR="0034070C" w:rsidRPr="00A847B7" w:rsidRDefault="0034070C" w:rsidP="00BE75C5">
            <w:pPr>
              <w:rPr>
                <w:rFonts w:cstheme="minorHAnsi"/>
              </w:rPr>
            </w:pPr>
            <w:r w:rsidRPr="00A847B7">
              <w:rPr>
                <w:rFonts w:cstheme="minorHAnsi"/>
              </w:rPr>
              <w:t xml:space="preserve">253 </w:t>
            </w:r>
          </w:p>
        </w:tc>
        <w:tc>
          <w:tcPr>
            <w:tcW w:w="2616" w:type="dxa"/>
          </w:tcPr>
          <w:p w14:paraId="0E52537E" w14:textId="77777777" w:rsidR="0034070C" w:rsidRPr="00A847B7" w:rsidRDefault="0034070C" w:rsidP="00BE75C5">
            <w:pPr>
              <w:rPr>
                <w:rFonts w:cstheme="minorHAnsi"/>
              </w:rPr>
            </w:pPr>
            <w:r w:rsidRPr="00A847B7">
              <w:rPr>
                <w:rFonts w:cstheme="minorHAnsi"/>
              </w:rPr>
              <w:t xml:space="preserve">6 477 </w:t>
            </w:r>
          </w:p>
        </w:tc>
      </w:tr>
      <w:tr w:rsidR="0034070C" w:rsidRPr="00A847B7" w14:paraId="1425E81B" w14:textId="77777777" w:rsidTr="00394A15">
        <w:trPr>
          <w:trHeight w:val="109"/>
        </w:trPr>
        <w:tc>
          <w:tcPr>
            <w:tcW w:w="2616" w:type="dxa"/>
          </w:tcPr>
          <w:p w14:paraId="19C1FB02" w14:textId="77777777" w:rsidR="0034070C" w:rsidRPr="00A847B7" w:rsidRDefault="0034070C" w:rsidP="00BE75C5">
            <w:pPr>
              <w:rPr>
                <w:rFonts w:cstheme="minorHAnsi"/>
              </w:rPr>
            </w:pPr>
            <w:r w:rsidRPr="00A847B7">
              <w:rPr>
                <w:rFonts w:cstheme="minorHAnsi"/>
              </w:rPr>
              <w:t xml:space="preserve">254 </w:t>
            </w:r>
          </w:p>
        </w:tc>
        <w:tc>
          <w:tcPr>
            <w:tcW w:w="2616" w:type="dxa"/>
          </w:tcPr>
          <w:p w14:paraId="41C7416E" w14:textId="77777777" w:rsidR="0034070C" w:rsidRPr="00A847B7" w:rsidRDefault="0034070C" w:rsidP="00BE75C5">
            <w:pPr>
              <w:rPr>
                <w:rFonts w:cstheme="minorHAnsi"/>
              </w:rPr>
            </w:pPr>
            <w:r w:rsidRPr="00A847B7">
              <w:rPr>
                <w:rFonts w:cstheme="minorHAnsi"/>
              </w:rPr>
              <w:t xml:space="preserve">6 528 </w:t>
            </w:r>
          </w:p>
        </w:tc>
      </w:tr>
      <w:tr w:rsidR="0034070C" w:rsidRPr="00A847B7" w14:paraId="4932CE30" w14:textId="77777777" w:rsidTr="00394A15">
        <w:trPr>
          <w:trHeight w:val="109"/>
        </w:trPr>
        <w:tc>
          <w:tcPr>
            <w:tcW w:w="2616" w:type="dxa"/>
          </w:tcPr>
          <w:p w14:paraId="0D461E97" w14:textId="77777777" w:rsidR="0034070C" w:rsidRPr="00A847B7" w:rsidRDefault="0034070C" w:rsidP="00BE75C5">
            <w:pPr>
              <w:rPr>
                <w:rFonts w:cstheme="minorHAnsi"/>
              </w:rPr>
            </w:pPr>
            <w:r w:rsidRPr="00A847B7">
              <w:rPr>
                <w:rFonts w:cstheme="minorHAnsi"/>
              </w:rPr>
              <w:t xml:space="preserve">255 </w:t>
            </w:r>
          </w:p>
        </w:tc>
        <w:tc>
          <w:tcPr>
            <w:tcW w:w="2616" w:type="dxa"/>
          </w:tcPr>
          <w:p w14:paraId="561044F8" w14:textId="77777777" w:rsidR="0034070C" w:rsidRPr="00A847B7" w:rsidRDefault="0034070C" w:rsidP="00BE75C5">
            <w:pPr>
              <w:rPr>
                <w:rFonts w:cstheme="minorHAnsi"/>
              </w:rPr>
            </w:pPr>
            <w:r w:rsidRPr="00A847B7">
              <w:rPr>
                <w:rFonts w:cstheme="minorHAnsi"/>
              </w:rPr>
              <w:t xml:space="preserve">6 605 </w:t>
            </w:r>
          </w:p>
        </w:tc>
      </w:tr>
      <w:tr w:rsidR="0034070C" w:rsidRPr="00A847B7" w14:paraId="0563977E" w14:textId="77777777" w:rsidTr="00394A15">
        <w:trPr>
          <w:trHeight w:val="109"/>
        </w:trPr>
        <w:tc>
          <w:tcPr>
            <w:tcW w:w="2616" w:type="dxa"/>
          </w:tcPr>
          <w:p w14:paraId="3D1CD716" w14:textId="77777777" w:rsidR="0034070C" w:rsidRPr="00A847B7" w:rsidRDefault="0034070C" w:rsidP="00BE75C5">
            <w:pPr>
              <w:rPr>
                <w:rFonts w:cstheme="minorHAnsi"/>
              </w:rPr>
            </w:pPr>
            <w:r w:rsidRPr="00A847B7">
              <w:rPr>
                <w:rFonts w:cstheme="minorHAnsi"/>
              </w:rPr>
              <w:t xml:space="preserve">256 </w:t>
            </w:r>
          </w:p>
        </w:tc>
        <w:tc>
          <w:tcPr>
            <w:tcW w:w="2616" w:type="dxa"/>
          </w:tcPr>
          <w:p w14:paraId="1674440E" w14:textId="77777777" w:rsidR="0034070C" w:rsidRPr="00A847B7" w:rsidRDefault="0034070C" w:rsidP="00BE75C5">
            <w:pPr>
              <w:rPr>
                <w:rFonts w:cstheme="minorHAnsi"/>
              </w:rPr>
            </w:pPr>
            <w:r w:rsidRPr="00A847B7">
              <w:rPr>
                <w:rFonts w:cstheme="minorHAnsi"/>
              </w:rPr>
              <w:t xml:space="preserve">6 682 </w:t>
            </w:r>
          </w:p>
        </w:tc>
      </w:tr>
      <w:tr w:rsidR="0034070C" w:rsidRPr="00A847B7" w14:paraId="55771C75" w14:textId="77777777" w:rsidTr="00394A15">
        <w:trPr>
          <w:trHeight w:val="109"/>
        </w:trPr>
        <w:tc>
          <w:tcPr>
            <w:tcW w:w="2616" w:type="dxa"/>
          </w:tcPr>
          <w:p w14:paraId="58B77E69" w14:textId="77777777" w:rsidR="0034070C" w:rsidRPr="00A847B7" w:rsidRDefault="0034070C" w:rsidP="00BE75C5">
            <w:pPr>
              <w:rPr>
                <w:rFonts w:cstheme="minorHAnsi"/>
              </w:rPr>
            </w:pPr>
            <w:r w:rsidRPr="00A847B7">
              <w:rPr>
                <w:rFonts w:cstheme="minorHAnsi"/>
              </w:rPr>
              <w:t xml:space="preserve">257 </w:t>
            </w:r>
          </w:p>
        </w:tc>
        <w:tc>
          <w:tcPr>
            <w:tcW w:w="2616" w:type="dxa"/>
          </w:tcPr>
          <w:p w14:paraId="1279607B" w14:textId="77777777" w:rsidR="0034070C" w:rsidRPr="00A847B7" w:rsidRDefault="0034070C" w:rsidP="00BE75C5">
            <w:pPr>
              <w:rPr>
                <w:rFonts w:cstheme="minorHAnsi"/>
              </w:rPr>
            </w:pPr>
            <w:r w:rsidRPr="00A847B7">
              <w:rPr>
                <w:rFonts w:cstheme="minorHAnsi"/>
              </w:rPr>
              <w:t xml:space="preserve">6 733 </w:t>
            </w:r>
          </w:p>
        </w:tc>
      </w:tr>
      <w:tr w:rsidR="0034070C" w:rsidRPr="00A847B7" w14:paraId="349D4593" w14:textId="77777777" w:rsidTr="00394A15">
        <w:trPr>
          <w:trHeight w:val="109"/>
        </w:trPr>
        <w:tc>
          <w:tcPr>
            <w:tcW w:w="2616" w:type="dxa"/>
          </w:tcPr>
          <w:p w14:paraId="558BA32C" w14:textId="77777777" w:rsidR="0034070C" w:rsidRPr="00A847B7" w:rsidRDefault="0034070C" w:rsidP="00BE75C5">
            <w:pPr>
              <w:rPr>
                <w:rFonts w:cstheme="minorHAnsi"/>
              </w:rPr>
            </w:pPr>
            <w:r w:rsidRPr="00A847B7">
              <w:rPr>
                <w:rFonts w:cstheme="minorHAnsi"/>
              </w:rPr>
              <w:t xml:space="preserve">258 </w:t>
            </w:r>
          </w:p>
        </w:tc>
        <w:tc>
          <w:tcPr>
            <w:tcW w:w="2616" w:type="dxa"/>
          </w:tcPr>
          <w:p w14:paraId="68FFB3B0" w14:textId="77777777" w:rsidR="0034070C" w:rsidRPr="00A847B7" w:rsidRDefault="0034070C" w:rsidP="00BE75C5">
            <w:pPr>
              <w:rPr>
                <w:rFonts w:cstheme="minorHAnsi"/>
              </w:rPr>
            </w:pPr>
            <w:r w:rsidRPr="00A847B7">
              <w:rPr>
                <w:rFonts w:cstheme="minorHAnsi"/>
              </w:rPr>
              <w:t xml:space="preserve">6 811 </w:t>
            </w:r>
          </w:p>
        </w:tc>
      </w:tr>
      <w:tr w:rsidR="0034070C" w:rsidRPr="00A847B7" w14:paraId="42F40477" w14:textId="77777777" w:rsidTr="00394A15">
        <w:trPr>
          <w:trHeight w:val="109"/>
        </w:trPr>
        <w:tc>
          <w:tcPr>
            <w:tcW w:w="2616" w:type="dxa"/>
          </w:tcPr>
          <w:p w14:paraId="1082DBB1" w14:textId="77777777" w:rsidR="0034070C" w:rsidRPr="00A847B7" w:rsidRDefault="0034070C" w:rsidP="00BE75C5">
            <w:pPr>
              <w:rPr>
                <w:rFonts w:cstheme="minorHAnsi"/>
              </w:rPr>
            </w:pPr>
            <w:r w:rsidRPr="00A847B7">
              <w:rPr>
                <w:rFonts w:cstheme="minorHAnsi"/>
              </w:rPr>
              <w:lastRenderedPageBreak/>
              <w:t xml:space="preserve">259 </w:t>
            </w:r>
          </w:p>
        </w:tc>
        <w:tc>
          <w:tcPr>
            <w:tcW w:w="2616" w:type="dxa"/>
          </w:tcPr>
          <w:p w14:paraId="0732CD20" w14:textId="77777777" w:rsidR="0034070C" w:rsidRPr="00A847B7" w:rsidRDefault="0034070C" w:rsidP="00BE75C5">
            <w:pPr>
              <w:rPr>
                <w:rFonts w:cstheme="minorHAnsi"/>
              </w:rPr>
            </w:pPr>
            <w:r w:rsidRPr="00A847B7">
              <w:rPr>
                <w:rFonts w:cstheme="minorHAnsi"/>
              </w:rPr>
              <w:t xml:space="preserve">6 889 </w:t>
            </w:r>
          </w:p>
        </w:tc>
      </w:tr>
      <w:tr w:rsidR="0034070C" w:rsidRPr="00A847B7" w14:paraId="14631591" w14:textId="77777777" w:rsidTr="00394A15">
        <w:trPr>
          <w:trHeight w:val="109"/>
        </w:trPr>
        <w:tc>
          <w:tcPr>
            <w:tcW w:w="2616" w:type="dxa"/>
          </w:tcPr>
          <w:p w14:paraId="265C19C8" w14:textId="77777777" w:rsidR="0034070C" w:rsidRPr="00A847B7" w:rsidRDefault="0034070C" w:rsidP="00BE75C5">
            <w:pPr>
              <w:rPr>
                <w:rFonts w:cstheme="minorHAnsi"/>
              </w:rPr>
            </w:pPr>
            <w:r w:rsidRPr="00A847B7">
              <w:rPr>
                <w:rFonts w:cstheme="minorHAnsi"/>
              </w:rPr>
              <w:t xml:space="preserve">260 </w:t>
            </w:r>
          </w:p>
        </w:tc>
        <w:tc>
          <w:tcPr>
            <w:tcW w:w="2616" w:type="dxa"/>
          </w:tcPr>
          <w:p w14:paraId="3655CB40" w14:textId="77777777" w:rsidR="0034070C" w:rsidRPr="00A847B7" w:rsidRDefault="0034070C" w:rsidP="00BE75C5">
            <w:pPr>
              <w:rPr>
                <w:rFonts w:cstheme="minorHAnsi"/>
              </w:rPr>
            </w:pPr>
            <w:r w:rsidRPr="00A847B7">
              <w:rPr>
                <w:rFonts w:cstheme="minorHAnsi"/>
              </w:rPr>
              <w:t xml:space="preserve">6 968 </w:t>
            </w:r>
          </w:p>
        </w:tc>
      </w:tr>
      <w:tr w:rsidR="003232B2" w:rsidRPr="00A847B7" w14:paraId="33A70957" w14:textId="77777777" w:rsidTr="00394A15">
        <w:trPr>
          <w:trHeight w:val="109"/>
        </w:trPr>
        <w:tc>
          <w:tcPr>
            <w:tcW w:w="2616" w:type="dxa"/>
          </w:tcPr>
          <w:p w14:paraId="2E4FFF62" w14:textId="77777777" w:rsidR="003232B2" w:rsidRPr="00A847B7" w:rsidRDefault="003232B2" w:rsidP="00BE75C5">
            <w:pPr>
              <w:rPr>
                <w:rFonts w:cstheme="minorHAnsi"/>
              </w:rPr>
            </w:pPr>
            <w:r w:rsidRPr="00A847B7">
              <w:rPr>
                <w:rFonts w:cstheme="minorHAnsi"/>
              </w:rPr>
              <w:t xml:space="preserve">261 </w:t>
            </w:r>
          </w:p>
        </w:tc>
        <w:tc>
          <w:tcPr>
            <w:tcW w:w="2616" w:type="dxa"/>
          </w:tcPr>
          <w:p w14:paraId="4E051297" w14:textId="77777777" w:rsidR="003232B2" w:rsidRPr="00A847B7" w:rsidRDefault="003232B2" w:rsidP="00BE75C5">
            <w:pPr>
              <w:rPr>
                <w:rFonts w:cstheme="minorHAnsi"/>
              </w:rPr>
            </w:pPr>
            <w:r w:rsidRPr="00A847B7">
              <w:rPr>
                <w:rFonts w:cstheme="minorHAnsi"/>
              </w:rPr>
              <w:t xml:space="preserve">7 047 </w:t>
            </w:r>
          </w:p>
        </w:tc>
      </w:tr>
      <w:tr w:rsidR="003232B2" w:rsidRPr="00A847B7" w14:paraId="574CCFA6" w14:textId="77777777" w:rsidTr="00394A15">
        <w:trPr>
          <w:trHeight w:val="109"/>
        </w:trPr>
        <w:tc>
          <w:tcPr>
            <w:tcW w:w="2616" w:type="dxa"/>
          </w:tcPr>
          <w:p w14:paraId="2A1E2A52" w14:textId="77777777" w:rsidR="003232B2" w:rsidRPr="00A847B7" w:rsidRDefault="003232B2" w:rsidP="00BE75C5">
            <w:pPr>
              <w:rPr>
                <w:rFonts w:cstheme="minorHAnsi"/>
              </w:rPr>
            </w:pPr>
            <w:r w:rsidRPr="00A847B7">
              <w:rPr>
                <w:rFonts w:cstheme="minorHAnsi"/>
              </w:rPr>
              <w:t xml:space="preserve">262 </w:t>
            </w:r>
          </w:p>
        </w:tc>
        <w:tc>
          <w:tcPr>
            <w:tcW w:w="2616" w:type="dxa"/>
          </w:tcPr>
          <w:p w14:paraId="624A4BDA" w14:textId="77777777" w:rsidR="003232B2" w:rsidRPr="00A847B7" w:rsidRDefault="003232B2" w:rsidP="00BE75C5">
            <w:pPr>
              <w:rPr>
                <w:rFonts w:cstheme="minorHAnsi"/>
              </w:rPr>
            </w:pPr>
            <w:r w:rsidRPr="00A847B7">
              <w:rPr>
                <w:rFonts w:cstheme="minorHAnsi"/>
              </w:rPr>
              <w:t xml:space="preserve">7 126 </w:t>
            </w:r>
          </w:p>
        </w:tc>
      </w:tr>
      <w:tr w:rsidR="003232B2" w:rsidRPr="00A847B7" w14:paraId="0273A735" w14:textId="77777777" w:rsidTr="00394A15">
        <w:trPr>
          <w:trHeight w:val="109"/>
        </w:trPr>
        <w:tc>
          <w:tcPr>
            <w:tcW w:w="2616" w:type="dxa"/>
          </w:tcPr>
          <w:p w14:paraId="38C6EAE6" w14:textId="77777777" w:rsidR="003232B2" w:rsidRPr="00A847B7" w:rsidRDefault="003232B2" w:rsidP="00BE75C5">
            <w:pPr>
              <w:rPr>
                <w:rFonts w:cstheme="minorHAnsi"/>
              </w:rPr>
            </w:pPr>
            <w:r w:rsidRPr="00A847B7">
              <w:rPr>
                <w:rFonts w:cstheme="minorHAnsi"/>
              </w:rPr>
              <w:t xml:space="preserve">263 </w:t>
            </w:r>
          </w:p>
        </w:tc>
        <w:tc>
          <w:tcPr>
            <w:tcW w:w="2616" w:type="dxa"/>
          </w:tcPr>
          <w:p w14:paraId="422E39FE" w14:textId="77777777" w:rsidR="003232B2" w:rsidRPr="00A847B7" w:rsidRDefault="003232B2" w:rsidP="00BE75C5">
            <w:pPr>
              <w:rPr>
                <w:rFonts w:cstheme="minorHAnsi"/>
              </w:rPr>
            </w:pPr>
            <w:r w:rsidRPr="00A847B7">
              <w:rPr>
                <w:rFonts w:cstheme="minorHAnsi"/>
              </w:rPr>
              <w:t xml:space="preserve">7 206 </w:t>
            </w:r>
          </w:p>
        </w:tc>
      </w:tr>
      <w:tr w:rsidR="003232B2" w:rsidRPr="00A847B7" w14:paraId="1BD6EC12" w14:textId="77777777" w:rsidTr="00394A15">
        <w:trPr>
          <w:trHeight w:val="109"/>
        </w:trPr>
        <w:tc>
          <w:tcPr>
            <w:tcW w:w="2616" w:type="dxa"/>
          </w:tcPr>
          <w:p w14:paraId="29E25F3E" w14:textId="77777777" w:rsidR="003232B2" w:rsidRPr="00A847B7" w:rsidRDefault="003232B2" w:rsidP="00BE75C5">
            <w:pPr>
              <w:rPr>
                <w:rFonts w:cstheme="minorHAnsi"/>
              </w:rPr>
            </w:pPr>
            <w:r w:rsidRPr="00A847B7">
              <w:rPr>
                <w:rFonts w:cstheme="minorHAnsi"/>
              </w:rPr>
              <w:t xml:space="preserve">264 </w:t>
            </w:r>
          </w:p>
        </w:tc>
        <w:tc>
          <w:tcPr>
            <w:tcW w:w="2616" w:type="dxa"/>
          </w:tcPr>
          <w:p w14:paraId="6C6C8FD6" w14:textId="77777777" w:rsidR="003232B2" w:rsidRPr="00A847B7" w:rsidRDefault="003232B2" w:rsidP="00BE75C5">
            <w:pPr>
              <w:rPr>
                <w:rFonts w:cstheme="minorHAnsi"/>
              </w:rPr>
            </w:pPr>
            <w:r w:rsidRPr="00A847B7">
              <w:rPr>
                <w:rFonts w:cstheme="minorHAnsi"/>
              </w:rPr>
              <w:t xml:space="preserve">7 286 </w:t>
            </w:r>
          </w:p>
        </w:tc>
      </w:tr>
      <w:tr w:rsidR="003232B2" w:rsidRPr="00A847B7" w14:paraId="7001CAE5" w14:textId="77777777" w:rsidTr="00394A15">
        <w:trPr>
          <w:trHeight w:val="109"/>
        </w:trPr>
        <w:tc>
          <w:tcPr>
            <w:tcW w:w="2616" w:type="dxa"/>
          </w:tcPr>
          <w:p w14:paraId="1F2B3499" w14:textId="77777777" w:rsidR="003232B2" w:rsidRPr="00A847B7" w:rsidRDefault="003232B2" w:rsidP="00BE75C5">
            <w:pPr>
              <w:rPr>
                <w:rFonts w:cstheme="minorHAnsi"/>
              </w:rPr>
            </w:pPr>
            <w:r w:rsidRPr="00A847B7">
              <w:rPr>
                <w:rFonts w:cstheme="minorHAnsi"/>
              </w:rPr>
              <w:t xml:space="preserve">265 </w:t>
            </w:r>
          </w:p>
        </w:tc>
        <w:tc>
          <w:tcPr>
            <w:tcW w:w="2616" w:type="dxa"/>
          </w:tcPr>
          <w:p w14:paraId="578DA50D" w14:textId="77777777" w:rsidR="003232B2" w:rsidRPr="00A847B7" w:rsidRDefault="003232B2" w:rsidP="00BE75C5">
            <w:pPr>
              <w:rPr>
                <w:rFonts w:cstheme="minorHAnsi"/>
              </w:rPr>
            </w:pPr>
            <w:r w:rsidRPr="00A847B7">
              <w:rPr>
                <w:rFonts w:cstheme="minorHAnsi"/>
              </w:rPr>
              <w:t xml:space="preserve">7 367 </w:t>
            </w:r>
          </w:p>
        </w:tc>
      </w:tr>
      <w:tr w:rsidR="003232B2" w:rsidRPr="00A847B7" w14:paraId="2B0E3382" w14:textId="77777777" w:rsidTr="00394A15">
        <w:trPr>
          <w:trHeight w:val="109"/>
        </w:trPr>
        <w:tc>
          <w:tcPr>
            <w:tcW w:w="2616" w:type="dxa"/>
          </w:tcPr>
          <w:p w14:paraId="0FD1B7F8" w14:textId="77777777" w:rsidR="003232B2" w:rsidRPr="00A847B7" w:rsidRDefault="003232B2" w:rsidP="00BE75C5">
            <w:pPr>
              <w:rPr>
                <w:rFonts w:cstheme="minorHAnsi"/>
              </w:rPr>
            </w:pPr>
            <w:r w:rsidRPr="00A847B7">
              <w:rPr>
                <w:rFonts w:cstheme="minorHAnsi"/>
              </w:rPr>
              <w:t xml:space="preserve">266 </w:t>
            </w:r>
          </w:p>
        </w:tc>
        <w:tc>
          <w:tcPr>
            <w:tcW w:w="2616" w:type="dxa"/>
          </w:tcPr>
          <w:p w14:paraId="7B8B5379" w14:textId="77777777" w:rsidR="003232B2" w:rsidRPr="00A847B7" w:rsidRDefault="003232B2" w:rsidP="00BE75C5">
            <w:pPr>
              <w:rPr>
                <w:rFonts w:cstheme="minorHAnsi"/>
              </w:rPr>
            </w:pPr>
            <w:r w:rsidRPr="00A847B7">
              <w:rPr>
                <w:rFonts w:cstheme="minorHAnsi"/>
              </w:rPr>
              <w:t xml:space="preserve">7 448 </w:t>
            </w:r>
          </w:p>
        </w:tc>
      </w:tr>
      <w:tr w:rsidR="003232B2" w:rsidRPr="00A847B7" w14:paraId="32CDFA95" w14:textId="77777777" w:rsidTr="00394A15">
        <w:trPr>
          <w:trHeight w:val="109"/>
        </w:trPr>
        <w:tc>
          <w:tcPr>
            <w:tcW w:w="2616" w:type="dxa"/>
          </w:tcPr>
          <w:p w14:paraId="5ADAC117" w14:textId="77777777" w:rsidR="003232B2" w:rsidRPr="00A847B7" w:rsidRDefault="003232B2" w:rsidP="00BE75C5">
            <w:pPr>
              <w:rPr>
                <w:rFonts w:cstheme="minorHAnsi"/>
              </w:rPr>
            </w:pPr>
            <w:r w:rsidRPr="00A847B7">
              <w:rPr>
                <w:rFonts w:cstheme="minorHAnsi"/>
              </w:rPr>
              <w:t xml:space="preserve">267 </w:t>
            </w:r>
          </w:p>
        </w:tc>
        <w:tc>
          <w:tcPr>
            <w:tcW w:w="2616" w:type="dxa"/>
          </w:tcPr>
          <w:p w14:paraId="152E7868" w14:textId="77777777" w:rsidR="003232B2" w:rsidRPr="00A847B7" w:rsidRDefault="003232B2" w:rsidP="00BE75C5">
            <w:pPr>
              <w:rPr>
                <w:rFonts w:cstheme="minorHAnsi"/>
              </w:rPr>
            </w:pPr>
            <w:r w:rsidRPr="00A847B7">
              <w:rPr>
                <w:rFonts w:cstheme="minorHAnsi"/>
              </w:rPr>
              <w:t xml:space="preserve">7 529 </w:t>
            </w:r>
          </w:p>
        </w:tc>
      </w:tr>
      <w:tr w:rsidR="003232B2" w:rsidRPr="00A847B7" w14:paraId="4856166D" w14:textId="77777777" w:rsidTr="00394A15">
        <w:trPr>
          <w:trHeight w:val="109"/>
        </w:trPr>
        <w:tc>
          <w:tcPr>
            <w:tcW w:w="2616" w:type="dxa"/>
          </w:tcPr>
          <w:p w14:paraId="231306F0" w14:textId="77777777" w:rsidR="003232B2" w:rsidRPr="00A847B7" w:rsidRDefault="003232B2" w:rsidP="00BE75C5">
            <w:pPr>
              <w:rPr>
                <w:rFonts w:cstheme="minorHAnsi"/>
              </w:rPr>
            </w:pPr>
            <w:r w:rsidRPr="00A847B7">
              <w:rPr>
                <w:rFonts w:cstheme="minorHAnsi"/>
              </w:rPr>
              <w:t xml:space="preserve">268 </w:t>
            </w:r>
          </w:p>
        </w:tc>
        <w:tc>
          <w:tcPr>
            <w:tcW w:w="2616" w:type="dxa"/>
          </w:tcPr>
          <w:p w14:paraId="2BFDF2BD" w14:textId="77777777" w:rsidR="003232B2" w:rsidRPr="00A847B7" w:rsidRDefault="003232B2" w:rsidP="00BE75C5">
            <w:pPr>
              <w:rPr>
                <w:rFonts w:cstheme="minorHAnsi"/>
              </w:rPr>
            </w:pPr>
            <w:r w:rsidRPr="00A847B7">
              <w:rPr>
                <w:rFonts w:cstheme="minorHAnsi"/>
              </w:rPr>
              <w:t xml:space="preserve">7 638 </w:t>
            </w:r>
          </w:p>
        </w:tc>
      </w:tr>
      <w:tr w:rsidR="003232B2" w:rsidRPr="00A847B7" w14:paraId="09A35BE7" w14:textId="77777777" w:rsidTr="00394A15">
        <w:trPr>
          <w:trHeight w:val="109"/>
        </w:trPr>
        <w:tc>
          <w:tcPr>
            <w:tcW w:w="2616" w:type="dxa"/>
          </w:tcPr>
          <w:p w14:paraId="29A71E4E" w14:textId="77777777" w:rsidR="003232B2" w:rsidRPr="00A847B7" w:rsidRDefault="003232B2" w:rsidP="00BE75C5">
            <w:pPr>
              <w:rPr>
                <w:rFonts w:cstheme="minorHAnsi"/>
              </w:rPr>
            </w:pPr>
            <w:r w:rsidRPr="00A847B7">
              <w:rPr>
                <w:rFonts w:cstheme="minorHAnsi"/>
              </w:rPr>
              <w:t xml:space="preserve">269 </w:t>
            </w:r>
          </w:p>
        </w:tc>
        <w:tc>
          <w:tcPr>
            <w:tcW w:w="2616" w:type="dxa"/>
          </w:tcPr>
          <w:p w14:paraId="0B424D7D" w14:textId="77777777" w:rsidR="003232B2" w:rsidRPr="00A847B7" w:rsidRDefault="003232B2" w:rsidP="00BE75C5">
            <w:pPr>
              <w:rPr>
                <w:rFonts w:cstheme="minorHAnsi"/>
              </w:rPr>
            </w:pPr>
            <w:r w:rsidRPr="00A847B7">
              <w:rPr>
                <w:rFonts w:cstheme="minorHAnsi"/>
              </w:rPr>
              <w:t xml:space="preserve">7 747 </w:t>
            </w:r>
          </w:p>
        </w:tc>
      </w:tr>
    </w:tbl>
    <w:p w14:paraId="464E5658" w14:textId="6027FDDB" w:rsidR="00694842" w:rsidRPr="00A847B7" w:rsidRDefault="00694842" w:rsidP="00810D0D">
      <w:pPr>
        <w:rPr>
          <w:rFonts w:cstheme="minorHAnsi"/>
        </w:rPr>
      </w:pPr>
    </w:p>
    <w:p w14:paraId="294A0FDD" w14:textId="61142070" w:rsidR="00810D0D" w:rsidRPr="00A847B7" w:rsidRDefault="00AC5FD5" w:rsidP="00EE0687">
      <w:pPr>
        <w:pStyle w:val="Paragraphedeliste"/>
        <w:numPr>
          <w:ilvl w:val="0"/>
          <w:numId w:val="65"/>
        </w:numPr>
        <w:rPr>
          <w:rFonts w:cstheme="minorHAnsi"/>
        </w:rPr>
      </w:pPr>
      <w:r w:rsidRPr="00A847B7">
        <w:rPr>
          <w:rFonts w:cstheme="minorHAnsi"/>
        </w:rPr>
        <w:t>lorsque les émissions sont supérieures à 269 g/km</w:t>
      </w:r>
      <w:r w:rsidR="002A2F17" w:rsidRPr="00A847B7">
        <w:rPr>
          <w:rFonts w:cstheme="minorHAnsi"/>
        </w:rPr>
        <w:t xml:space="preserve">, le tarif est égal au produit entre </w:t>
      </w:r>
      <w:r w:rsidR="00A61AD7" w:rsidRPr="00A847B7">
        <w:rPr>
          <w:rFonts w:cstheme="minorHAnsi"/>
        </w:rPr>
        <w:t>les émissions et 29 € par g/km.</w:t>
      </w:r>
    </w:p>
    <w:p w14:paraId="06929D36" w14:textId="7FA42692" w:rsidR="005F2F6D" w:rsidRPr="00A847B7" w:rsidRDefault="00A86896" w:rsidP="005F2F6D">
      <w:r w:rsidRPr="00A847B7">
        <w:t>Sont exonérés de la 1</w:t>
      </w:r>
      <w:r w:rsidRPr="00A847B7">
        <w:rPr>
          <w:vertAlign w:val="superscript"/>
        </w:rPr>
        <w:t>ère</w:t>
      </w:r>
      <w:r w:rsidRPr="00A847B7">
        <w:t xml:space="preserve"> composante de la taxe</w:t>
      </w:r>
      <w:r w:rsidR="00741B47" w:rsidRPr="00A847B7">
        <w:t>, pendant une période de 12 trimestres, décomptée à partir du 1</w:t>
      </w:r>
      <w:r w:rsidR="00741B47" w:rsidRPr="00A847B7">
        <w:rPr>
          <w:vertAlign w:val="superscript"/>
        </w:rPr>
        <w:t>er</w:t>
      </w:r>
      <w:r w:rsidR="00741B47" w:rsidRPr="00A847B7">
        <w:t xml:space="preserve"> jour du 1</w:t>
      </w:r>
      <w:r w:rsidR="00741B47" w:rsidRPr="00A847B7">
        <w:rPr>
          <w:vertAlign w:val="superscript"/>
        </w:rPr>
        <w:t>er</w:t>
      </w:r>
      <w:r w:rsidR="00741B47" w:rsidRPr="00A847B7">
        <w:t xml:space="preserve"> trimestre en cours à la date de 1</w:t>
      </w:r>
      <w:r w:rsidR="00741B47" w:rsidRPr="00A847B7">
        <w:rPr>
          <w:vertAlign w:val="superscript"/>
        </w:rPr>
        <w:t>ère</w:t>
      </w:r>
      <w:r w:rsidR="00741B47" w:rsidRPr="00A847B7">
        <w:t xml:space="preserve"> mise en circulation du véhicule, ceux dont les émission</w:t>
      </w:r>
      <w:r w:rsidR="004011EB" w:rsidRPr="00A847B7">
        <w:t>s</w:t>
      </w:r>
      <w:r w:rsidR="006F2BF5" w:rsidRPr="00A847B7">
        <w:t xml:space="preserve"> de </w:t>
      </w:r>
      <w:r w:rsidR="00E008ED" w:rsidRPr="00A847B7">
        <w:t>dioxyde de carbone sont inférieures ou égales :</w:t>
      </w:r>
    </w:p>
    <w:p w14:paraId="07E488D1" w14:textId="5DB4BF94" w:rsidR="00E008ED" w:rsidRPr="00A847B7" w:rsidRDefault="00C56E36" w:rsidP="00EE0687">
      <w:pPr>
        <w:pStyle w:val="Paragraphedeliste"/>
        <w:numPr>
          <w:ilvl w:val="0"/>
          <w:numId w:val="65"/>
        </w:numPr>
      </w:pPr>
      <w:r w:rsidRPr="00A847B7">
        <w:t>pour les véhicules relevant du nouveau dispositif d’immatriculation</w:t>
      </w:r>
      <w:r w:rsidR="008D4B3C" w:rsidRPr="00A847B7">
        <w:t xml:space="preserve"> : </w:t>
      </w:r>
      <w:r w:rsidRPr="00A847B7">
        <w:t>à 120 g/km</w:t>
      </w:r>
      <w:r w:rsidR="008D4B3C" w:rsidRPr="00A847B7">
        <w:t> ;</w:t>
      </w:r>
    </w:p>
    <w:p w14:paraId="2000C56E" w14:textId="02F5EF8C" w:rsidR="00F96309" w:rsidRPr="00A847B7" w:rsidRDefault="008D4B3C" w:rsidP="00EE0687">
      <w:pPr>
        <w:pStyle w:val="Paragraphedeliste"/>
        <w:numPr>
          <w:ilvl w:val="0"/>
          <w:numId w:val="65"/>
        </w:numPr>
      </w:pPr>
      <w:r w:rsidRPr="00A847B7">
        <w:t xml:space="preserve">pour les autres véhicules : à </w:t>
      </w:r>
      <w:r w:rsidR="00F82979" w:rsidRPr="00A847B7">
        <w:t>100 g/km</w:t>
      </w:r>
      <w:r w:rsidR="00F96309" w:rsidRPr="00A847B7">
        <w:t>.</w:t>
      </w:r>
    </w:p>
    <w:p w14:paraId="2A62612E" w14:textId="6B5B3DA2" w:rsidR="00F96309" w:rsidRPr="00A847B7" w:rsidRDefault="00F96309" w:rsidP="00F96309">
      <w:r w:rsidRPr="00A847B7">
        <w:t xml:space="preserve">Cette exonération s’applique dès lors que les véhicules en question combinent : </w:t>
      </w:r>
    </w:p>
    <w:p w14:paraId="00E27455" w14:textId="279EBD59" w:rsidR="00F96309" w:rsidRPr="00A847B7" w:rsidRDefault="00F96309" w:rsidP="00EE0687">
      <w:pPr>
        <w:pStyle w:val="Paragraphedeliste"/>
        <w:numPr>
          <w:ilvl w:val="0"/>
          <w:numId w:val="66"/>
        </w:numPr>
      </w:pPr>
      <w:r w:rsidRPr="00A847B7">
        <w:t>soit, d’une part, l’électricité ou l’hydrogène</w:t>
      </w:r>
      <w:r w:rsidR="00F142F6" w:rsidRPr="00A847B7">
        <w:t xml:space="preserve"> et, d’autre part, le gaz naturel</w:t>
      </w:r>
      <w:r w:rsidR="00CA4F22" w:rsidRPr="00A847B7">
        <w:t>, le gaz de pétrole liquéfié, l’essence ou le superéthanol E85 ;</w:t>
      </w:r>
    </w:p>
    <w:p w14:paraId="2458B2E4" w14:textId="5D171CEC" w:rsidR="00CA4F22" w:rsidRPr="00A847B7" w:rsidRDefault="00A04455" w:rsidP="00EE0687">
      <w:pPr>
        <w:pStyle w:val="Paragraphedeliste"/>
        <w:numPr>
          <w:ilvl w:val="0"/>
          <w:numId w:val="66"/>
        </w:numPr>
      </w:pPr>
      <w:r w:rsidRPr="00A847B7">
        <w:t>soit, d’une part, le ga</w:t>
      </w:r>
      <w:r w:rsidR="002B6283" w:rsidRPr="00A847B7">
        <w:t>z naturel ou le gaz de pétrole liquéfié et, d’autre part, l’essence ou le superéthanol E85.</w:t>
      </w:r>
    </w:p>
    <w:p w14:paraId="6A4624E2" w14:textId="79D15B4C" w:rsidR="00021CF3" w:rsidRPr="00021CF3" w:rsidRDefault="00DF7FE9" w:rsidP="00021CF3">
      <w:r>
        <w:t>Notez</w:t>
      </w:r>
      <w:r w:rsidR="00580698" w:rsidRPr="00A847B7">
        <w:t xml:space="preserve"> que la seconde composante </w:t>
      </w:r>
      <w:r w:rsidR="00103F91" w:rsidRPr="00A847B7">
        <w:t>de la TVS</w:t>
      </w:r>
      <w:r w:rsidR="00D07AC2" w:rsidRPr="00A847B7">
        <w:t xml:space="preserve"> ne s’applique pas aux véhicules dont la source d’énergie est exclusivement l’électricité, l’hydrogène ou une combinaison des 2.</w:t>
      </w:r>
    </w:p>
    <w:p w14:paraId="33507A25" w14:textId="16517FD7" w:rsidR="002B6283" w:rsidRPr="00A847B7" w:rsidRDefault="002B6283" w:rsidP="002B6283"/>
    <w:p w14:paraId="5C481766" w14:textId="35EC31A9" w:rsidR="00361A7A" w:rsidRPr="00A847B7" w:rsidRDefault="00361A7A" w:rsidP="00361A7A">
      <w:pPr>
        <w:pStyle w:val="Titre3"/>
      </w:pPr>
      <w:bookmarkStart w:id="157" w:name="_Toc60781068"/>
      <w:r w:rsidRPr="00A847B7">
        <w:t xml:space="preserve">Slide </w:t>
      </w:r>
      <w:r w:rsidR="00931184">
        <w:t>106</w:t>
      </w:r>
      <w:r w:rsidRPr="00A847B7">
        <w:t xml:space="preserve"> : </w:t>
      </w:r>
      <w:r w:rsidR="00C70917" w:rsidRPr="00A847B7">
        <w:t>Réaménagement des taxes sur les véhicules en 2022</w:t>
      </w:r>
      <w:bookmarkEnd w:id="157"/>
    </w:p>
    <w:p w14:paraId="4D970CE0" w14:textId="38FFC630" w:rsidR="00AE2B67" w:rsidRPr="00A847B7" w:rsidRDefault="000C668C" w:rsidP="000C668C">
      <w:r w:rsidRPr="004F587E">
        <w:rPr>
          <w:u w:val="single"/>
        </w:rPr>
        <w:t xml:space="preserve">Source </w:t>
      </w:r>
      <w:r w:rsidRPr="00A847B7">
        <w:t>:</w:t>
      </w:r>
      <w:r w:rsidR="00AE2B67" w:rsidRPr="00A847B7">
        <w:t xml:space="preserve"> Loi de Finances pour 2021, </w:t>
      </w:r>
      <w:r w:rsidR="00BB63F6" w:rsidRPr="00BB63F6">
        <w:t>article 55</w:t>
      </w:r>
    </w:p>
    <w:p w14:paraId="7CB17631" w14:textId="602AD820" w:rsidR="00361A7A" w:rsidRPr="00A847B7" w:rsidRDefault="00535593" w:rsidP="00361A7A">
      <w:pPr>
        <w:spacing w:beforeAutospacing="1" w:after="100" w:afterAutospacing="1"/>
        <w:rPr>
          <w:rFonts w:cstheme="minorHAnsi"/>
        </w:rPr>
      </w:pPr>
      <w:r w:rsidRPr="00A847B7">
        <w:rPr>
          <w:rFonts w:cstheme="minorHAnsi"/>
        </w:rPr>
        <w:lastRenderedPageBreak/>
        <w:t>A compter de 2022, les taxes sur les véhicules feront l’objet d’un réaménagement. Ainsi, la taxe sur les véhicules de société</w:t>
      </w:r>
      <w:r w:rsidR="001B7A86" w:rsidRPr="00A847B7">
        <w:rPr>
          <w:rFonts w:cstheme="minorHAnsi"/>
        </w:rPr>
        <w:t xml:space="preserve"> (TVS)</w:t>
      </w:r>
      <w:r w:rsidRPr="00A847B7">
        <w:rPr>
          <w:rFonts w:cstheme="minorHAnsi"/>
        </w:rPr>
        <w:t xml:space="preserve"> de même que la taxe à l’essieu dans sa version actuelle seront supprimées.</w:t>
      </w:r>
    </w:p>
    <w:p w14:paraId="5BD149AC" w14:textId="315BD5F7" w:rsidR="00B51DF0" w:rsidRPr="00A847B7" w:rsidRDefault="007306A2" w:rsidP="00361A7A">
      <w:pPr>
        <w:spacing w:beforeAutospacing="1" w:after="100" w:afterAutospacing="1"/>
        <w:rPr>
          <w:rFonts w:cstheme="minorHAnsi"/>
        </w:rPr>
      </w:pPr>
      <w:r w:rsidRPr="00A847B7">
        <w:rPr>
          <w:rFonts w:cstheme="minorHAnsi"/>
        </w:rPr>
        <w:t>A la place, 3 nouvelles taxe</w:t>
      </w:r>
      <w:r w:rsidR="008417AE" w:rsidRPr="00A847B7">
        <w:rPr>
          <w:rFonts w:cstheme="minorHAnsi"/>
        </w:rPr>
        <w:t>s seront créées</w:t>
      </w:r>
      <w:r w:rsidR="00355745" w:rsidRPr="00A847B7">
        <w:rPr>
          <w:rFonts w:cstheme="minorHAnsi"/>
        </w:rPr>
        <w:t xml:space="preserve"> concernant les véhicules utilisés en France pour les besoins de la réalisation d’activité économique</w:t>
      </w:r>
      <w:r w:rsidR="008417AE" w:rsidRPr="00A847B7">
        <w:rPr>
          <w:rFonts w:cstheme="minorHAnsi"/>
        </w:rPr>
        <w:t> :</w:t>
      </w:r>
    </w:p>
    <w:p w14:paraId="35941087" w14:textId="0642481B" w:rsidR="001B7A86" w:rsidRPr="00A847B7" w:rsidRDefault="00D573A4" w:rsidP="00EE0687">
      <w:pPr>
        <w:pStyle w:val="Paragraphedeliste"/>
        <w:numPr>
          <w:ilvl w:val="0"/>
          <w:numId w:val="105"/>
        </w:numPr>
        <w:spacing w:beforeAutospacing="1" w:after="100" w:afterAutospacing="1"/>
        <w:rPr>
          <w:rFonts w:cstheme="minorHAnsi"/>
        </w:rPr>
      </w:pPr>
      <w:r w:rsidRPr="00A847B7">
        <w:rPr>
          <w:rFonts w:cstheme="minorHAnsi"/>
        </w:rPr>
        <w:t xml:space="preserve">pour les véhicules de tourisme, </w:t>
      </w:r>
      <w:r w:rsidR="008417AE" w:rsidRPr="00A847B7">
        <w:rPr>
          <w:rFonts w:cstheme="minorHAnsi"/>
        </w:rPr>
        <w:t xml:space="preserve">en remplacement de la </w:t>
      </w:r>
      <w:r w:rsidR="001B7A86" w:rsidRPr="00A847B7">
        <w:rPr>
          <w:rFonts w:cstheme="minorHAnsi"/>
        </w:rPr>
        <w:t>TVS</w:t>
      </w:r>
      <w:r w:rsidRPr="00A847B7">
        <w:rPr>
          <w:rFonts w:cstheme="minorHAnsi"/>
        </w:rPr>
        <w:t> :</w:t>
      </w:r>
    </w:p>
    <w:p w14:paraId="37D4E2CA" w14:textId="302A4D31" w:rsidR="00D573A4" w:rsidRPr="00A847B7" w:rsidRDefault="00632ACE" w:rsidP="00EE0687">
      <w:pPr>
        <w:pStyle w:val="Paragraphedeliste"/>
        <w:numPr>
          <w:ilvl w:val="1"/>
          <w:numId w:val="105"/>
        </w:numPr>
        <w:spacing w:beforeAutospacing="1" w:after="100" w:afterAutospacing="1"/>
        <w:rPr>
          <w:rFonts w:cstheme="minorHAnsi"/>
        </w:rPr>
      </w:pPr>
      <w:r w:rsidRPr="00A847B7">
        <w:rPr>
          <w:rFonts w:cstheme="minorHAnsi"/>
        </w:rPr>
        <w:t>la taxe annuelle sur les émissions de dioxyde de carbone ;</w:t>
      </w:r>
    </w:p>
    <w:p w14:paraId="61E01595" w14:textId="0AA8A563" w:rsidR="00632ACE" w:rsidRPr="00A847B7" w:rsidRDefault="00632ACE" w:rsidP="00EE0687">
      <w:pPr>
        <w:pStyle w:val="Paragraphedeliste"/>
        <w:numPr>
          <w:ilvl w:val="1"/>
          <w:numId w:val="105"/>
        </w:numPr>
        <w:spacing w:beforeAutospacing="1" w:after="100" w:afterAutospacing="1"/>
        <w:rPr>
          <w:rFonts w:cstheme="minorHAnsi"/>
        </w:rPr>
      </w:pPr>
      <w:r w:rsidRPr="00A847B7">
        <w:rPr>
          <w:rFonts w:cstheme="minorHAnsi"/>
        </w:rPr>
        <w:t xml:space="preserve">la taxe annuelle relative aux émissions de polluants </w:t>
      </w:r>
      <w:r w:rsidR="00134D82" w:rsidRPr="00A847B7">
        <w:rPr>
          <w:rFonts w:cstheme="minorHAnsi"/>
        </w:rPr>
        <w:t>at</w:t>
      </w:r>
      <w:r w:rsidR="00800277" w:rsidRPr="00A847B7">
        <w:rPr>
          <w:rFonts w:cstheme="minorHAnsi"/>
        </w:rPr>
        <w:t>mosphériques ;</w:t>
      </w:r>
    </w:p>
    <w:p w14:paraId="02DD7008" w14:textId="584DA0C8" w:rsidR="00800277" w:rsidRPr="00A847B7" w:rsidRDefault="00800277" w:rsidP="00EE0687">
      <w:pPr>
        <w:pStyle w:val="Paragraphedeliste"/>
        <w:numPr>
          <w:ilvl w:val="0"/>
          <w:numId w:val="105"/>
        </w:numPr>
        <w:spacing w:beforeAutospacing="1" w:after="100" w:afterAutospacing="1"/>
        <w:rPr>
          <w:rFonts w:cstheme="minorHAnsi"/>
        </w:rPr>
      </w:pPr>
      <w:r w:rsidRPr="00A847B7">
        <w:rPr>
          <w:rFonts w:cstheme="minorHAnsi"/>
        </w:rPr>
        <w:t>pour les véhicules lourds de transport de marchandises : une taxe annuelle à l’essieu.</w:t>
      </w:r>
    </w:p>
    <w:p w14:paraId="71E855C6" w14:textId="38EDEF2A" w:rsidR="00D67728" w:rsidRPr="00A847B7" w:rsidRDefault="00D67728" w:rsidP="00800277">
      <w:pPr>
        <w:spacing w:beforeAutospacing="1" w:after="100" w:afterAutospacing="1"/>
        <w:rPr>
          <w:rFonts w:cstheme="minorHAnsi"/>
        </w:rPr>
      </w:pPr>
      <w:r w:rsidRPr="00A847B7">
        <w:rPr>
          <w:rFonts w:cstheme="minorHAnsi"/>
        </w:rPr>
        <w:t>Ces taxes ne s</w:t>
      </w:r>
      <w:r w:rsidR="006E1BD1">
        <w:rPr>
          <w:rFonts w:cstheme="minorHAnsi"/>
        </w:rPr>
        <w:t>er</w:t>
      </w:r>
      <w:r w:rsidRPr="00A847B7">
        <w:rPr>
          <w:rFonts w:cstheme="minorHAnsi"/>
        </w:rPr>
        <w:t>ont pas déductibles de l’impôt sur les sociétés.</w:t>
      </w:r>
    </w:p>
    <w:p w14:paraId="27CA9414" w14:textId="167CC118" w:rsidR="00D10041" w:rsidRPr="00CB7D77" w:rsidRDefault="00DA1C42" w:rsidP="00EE0687">
      <w:pPr>
        <w:pStyle w:val="Paragraphedeliste"/>
        <w:numPr>
          <w:ilvl w:val="0"/>
          <w:numId w:val="86"/>
        </w:numPr>
        <w:spacing w:beforeAutospacing="1" w:after="100" w:afterAutospacing="1"/>
        <w:rPr>
          <w:rFonts w:cstheme="minorHAnsi"/>
        </w:rPr>
      </w:pPr>
      <w:r w:rsidRPr="00A847B7">
        <w:rPr>
          <w:rFonts w:cstheme="minorHAnsi"/>
          <w:b/>
          <w:bCs/>
          <w:i/>
          <w:iCs/>
          <w:u w:val="single"/>
        </w:rPr>
        <w:t>Règles communes de fonctionnement aux 3 nouvelles taxes</w:t>
      </w:r>
    </w:p>
    <w:p w14:paraId="4B08763B" w14:textId="77777777" w:rsidR="00CB7D77" w:rsidRPr="00A847B7" w:rsidRDefault="00CB7D77" w:rsidP="00CB7D77">
      <w:pPr>
        <w:pStyle w:val="Paragraphedeliste"/>
        <w:spacing w:beforeAutospacing="1" w:after="100" w:afterAutospacing="1"/>
        <w:rPr>
          <w:rFonts w:cstheme="minorHAnsi"/>
        </w:rPr>
      </w:pPr>
    </w:p>
    <w:p w14:paraId="6C7F3DA2" w14:textId="3EDD96F8" w:rsidR="00A14CB1" w:rsidRPr="00A847B7" w:rsidRDefault="00A14CB1" w:rsidP="00EE0687">
      <w:pPr>
        <w:pStyle w:val="Paragraphedeliste"/>
        <w:numPr>
          <w:ilvl w:val="0"/>
          <w:numId w:val="108"/>
        </w:numPr>
        <w:spacing w:beforeAutospacing="1" w:after="100" w:afterAutospacing="1"/>
        <w:rPr>
          <w:rFonts w:cstheme="minorHAnsi"/>
        </w:rPr>
      </w:pPr>
      <w:r w:rsidRPr="00A847B7">
        <w:rPr>
          <w:rFonts w:cstheme="minorHAnsi"/>
          <w:b/>
          <w:bCs/>
        </w:rPr>
        <w:t>Fait générateur</w:t>
      </w:r>
    </w:p>
    <w:p w14:paraId="044F05A7" w14:textId="16D64BA6" w:rsidR="000C7BA9" w:rsidRPr="00A847B7" w:rsidRDefault="00274BB1" w:rsidP="00DA1C42">
      <w:pPr>
        <w:spacing w:beforeAutospacing="1" w:after="100" w:afterAutospacing="1"/>
        <w:rPr>
          <w:rFonts w:cstheme="minorHAnsi"/>
        </w:rPr>
      </w:pPr>
      <w:r w:rsidRPr="00A847B7">
        <w:rPr>
          <w:rFonts w:cstheme="minorHAnsi"/>
        </w:rPr>
        <w:t>Le fait générateur de ces 3 taxes est constitué par l’utilisation du véhicule en France pour les besoins de la réalisation d’activités économiques</w:t>
      </w:r>
      <w:r w:rsidR="0065477F" w:rsidRPr="00A847B7">
        <w:rPr>
          <w:rFonts w:cstheme="minorHAnsi"/>
        </w:rPr>
        <w:t xml:space="preserve">. </w:t>
      </w:r>
    </w:p>
    <w:p w14:paraId="3620E178" w14:textId="0130D11E" w:rsidR="0065477F" w:rsidRPr="00A847B7" w:rsidRDefault="0065477F" w:rsidP="00DA1C42">
      <w:pPr>
        <w:spacing w:beforeAutospacing="1" w:after="100" w:afterAutospacing="1"/>
        <w:rPr>
          <w:rFonts w:cstheme="minorHAnsi"/>
        </w:rPr>
      </w:pPr>
      <w:r w:rsidRPr="00A847B7">
        <w:rPr>
          <w:rFonts w:cstheme="minorHAnsi"/>
        </w:rPr>
        <w:t>Dans ce cadre, les véhicules concernés sont</w:t>
      </w:r>
      <w:r w:rsidR="00FF009C" w:rsidRPr="00A847B7">
        <w:rPr>
          <w:rFonts w:cstheme="minorHAnsi"/>
        </w:rPr>
        <w:t xml:space="preserve"> </w:t>
      </w:r>
      <w:r w:rsidRPr="00A847B7">
        <w:rPr>
          <w:rFonts w:cstheme="minorHAnsi"/>
        </w:rPr>
        <w:t>:</w:t>
      </w:r>
    </w:p>
    <w:p w14:paraId="224106EC" w14:textId="4A0C2124" w:rsidR="0065477F" w:rsidRPr="00A847B7" w:rsidRDefault="00F04D47" w:rsidP="00EE0687">
      <w:pPr>
        <w:pStyle w:val="Paragraphedeliste"/>
        <w:numPr>
          <w:ilvl w:val="0"/>
          <w:numId w:val="106"/>
        </w:numPr>
        <w:spacing w:beforeAutospacing="1" w:after="100" w:afterAutospacing="1"/>
        <w:rPr>
          <w:rFonts w:cstheme="minorHAnsi"/>
        </w:rPr>
      </w:pPr>
      <w:r w:rsidRPr="00A847B7">
        <w:rPr>
          <w:rFonts w:cstheme="minorHAnsi"/>
        </w:rPr>
        <w:t>c</w:t>
      </w:r>
      <w:r w:rsidR="00FF009C" w:rsidRPr="00A847B7">
        <w:rPr>
          <w:rFonts w:cstheme="minorHAnsi"/>
        </w:rPr>
        <w:t xml:space="preserve">eux </w:t>
      </w:r>
      <w:r w:rsidR="00A05737" w:rsidRPr="00A847B7">
        <w:rPr>
          <w:rFonts w:cstheme="minorHAnsi"/>
        </w:rPr>
        <w:t>qui sont immatriculés en France, ou temporairement autorisés à la circulation en France, et qui sont détenus par une entreprise ou font l’objet d’une formule locative de longue durée au bénéfice d’une entreprise ;</w:t>
      </w:r>
    </w:p>
    <w:p w14:paraId="02DB43E8" w14:textId="791404FA" w:rsidR="00A05737" w:rsidRPr="00A847B7" w:rsidRDefault="00F04D47" w:rsidP="00EE0687">
      <w:pPr>
        <w:pStyle w:val="Paragraphedeliste"/>
        <w:numPr>
          <w:ilvl w:val="0"/>
          <w:numId w:val="106"/>
        </w:numPr>
        <w:spacing w:beforeAutospacing="1" w:after="100" w:afterAutospacing="1"/>
        <w:rPr>
          <w:rFonts w:cstheme="minorHAnsi"/>
        </w:rPr>
      </w:pPr>
      <w:r w:rsidRPr="00A847B7">
        <w:rPr>
          <w:rFonts w:cstheme="minorHAnsi"/>
        </w:rPr>
        <w:t>o</w:t>
      </w:r>
      <w:r w:rsidR="00A05737" w:rsidRPr="00A847B7">
        <w:rPr>
          <w:rFonts w:cstheme="minorHAnsi"/>
        </w:rPr>
        <w:t>u</w:t>
      </w:r>
      <w:r w:rsidR="00FF009C" w:rsidRPr="00A847B7">
        <w:rPr>
          <w:rFonts w:cstheme="minorHAnsi"/>
        </w:rPr>
        <w:t xml:space="preserve"> ceux</w:t>
      </w:r>
      <w:r w:rsidR="00A05737" w:rsidRPr="00A847B7">
        <w:rPr>
          <w:rFonts w:cstheme="minorHAnsi"/>
        </w:rPr>
        <w:t xml:space="preserve"> qui circulent sur les voies ouvertes à la circulation publique du territoire national et qu’une entreprise prend à sa charge, totalement ou partiellement, les frais engagés par une personne physique pour son acquisition ou son utilisation, quelle que soit la forme de cette prise en charge</w:t>
      </w:r>
      <w:r w:rsidR="00FF009C" w:rsidRPr="00A847B7">
        <w:rPr>
          <w:rFonts w:cstheme="minorHAnsi"/>
        </w:rPr>
        <w:t> ;</w:t>
      </w:r>
    </w:p>
    <w:p w14:paraId="3069D08C" w14:textId="76D06AE9" w:rsidR="00FF009C" w:rsidRPr="00A847B7" w:rsidRDefault="00FF009C" w:rsidP="00EE0687">
      <w:pPr>
        <w:pStyle w:val="Paragraphedeliste"/>
        <w:numPr>
          <w:ilvl w:val="0"/>
          <w:numId w:val="106"/>
        </w:numPr>
        <w:spacing w:beforeAutospacing="1" w:after="100" w:afterAutospacing="1"/>
        <w:rPr>
          <w:rFonts w:cstheme="minorHAnsi"/>
        </w:rPr>
      </w:pPr>
      <w:r w:rsidRPr="00A847B7">
        <w:rPr>
          <w:rFonts w:cstheme="minorHAnsi"/>
        </w:rPr>
        <w:t xml:space="preserve">dans les autres cas, </w:t>
      </w:r>
      <w:r w:rsidR="00F04D47" w:rsidRPr="00A847B7">
        <w:rPr>
          <w:rFonts w:cstheme="minorHAnsi"/>
        </w:rPr>
        <w:t xml:space="preserve">ceux </w:t>
      </w:r>
      <w:r w:rsidRPr="00A847B7">
        <w:rPr>
          <w:rFonts w:cstheme="minorHAnsi"/>
        </w:rPr>
        <w:t>qui circulent sur les voies ouvertes à la circulation publique du territoire national pour les besoins de la réalisation d’une activité économique</w:t>
      </w:r>
      <w:r w:rsidR="00792DD8" w:rsidRPr="00A847B7">
        <w:rPr>
          <w:rFonts w:cstheme="minorHAnsi"/>
        </w:rPr>
        <w:t>.</w:t>
      </w:r>
    </w:p>
    <w:p w14:paraId="1D54B06E" w14:textId="26019F82" w:rsidR="00D10041" w:rsidRPr="00A847B7" w:rsidRDefault="00792DD8" w:rsidP="00361A7A">
      <w:pPr>
        <w:spacing w:beforeAutospacing="1" w:after="100" w:afterAutospacing="1"/>
        <w:rPr>
          <w:rFonts w:cstheme="minorHAnsi"/>
        </w:rPr>
      </w:pPr>
      <w:r w:rsidRPr="00A847B7">
        <w:rPr>
          <w:rFonts w:cstheme="minorHAnsi"/>
        </w:rPr>
        <w:t xml:space="preserve">A l’inverse, ne sont pas réputés être utilisés pour les besoins de la réalisation d’activités économiques : </w:t>
      </w:r>
    </w:p>
    <w:p w14:paraId="275101D0" w14:textId="1581C57A" w:rsidR="00792DD8" w:rsidRPr="00A847B7" w:rsidRDefault="00792DD8" w:rsidP="00EE0687">
      <w:pPr>
        <w:pStyle w:val="Paragraphedeliste"/>
        <w:numPr>
          <w:ilvl w:val="0"/>
          <w:numId w:val="107"/>
        </w:numPr>
        <w:spacing w:beforeAutospacing="1" w:after="100" w:afterAutospacing="1"/>
        <w:rPr>
          <w:rFonts w:cstheme="minorHAnsi"/>
        </w:rPr>
      </w:pPr>
      <w:r w:rsidRPr="00A847B7">
        <w:rPr>
          <w:rFonts w:cstheme="minorHAnsi"/>
        </w:rPr>
        <w:t>les véhicules qui ne sont pas autorisés à la circulation ainsi que ceux qui, à la demande des pouvoirs publics, sont immobilisés ou mis en fourrière</w:t>
      </w:r>
      <w:r w:rsidR="006A4690" w:rsidRPr="00A847B7">
        <w:rPr>
          <w:rFonts w:cstheme="minorHAnsi"/>
        </w:rPr>
        <w:t> ;</w:t>
      </w:r>
    </w:p>
    <w:p w14:paraId="2E818AD9" w14:textId="416E08C8" w:rsidR="006A4690" w:rsidRPr="00A847B7" w:rsidRDefault="006A4690" w:rsidP="00EE0687">
      <w:pPr>
        <w:pStyle w:val="Paragraphedeliste"/>
        <w:numPr>
          <w:ilvl w:val="0"/>
          <w:numId w:val="107"/>
        </w:numPr>
        <w:spacing w:beforeAutospacing="1" w:after="100" w:afterAutospacing="1"/>
        <w:rPr>
          <w:rFonts w:cstheme="minorHAnsi"/>
        </w:rPr>
      </w:pPr>
      <w:r w:rsidRPr="00A847B7">
        <w:rPr>
          <w:rFonts w:cstheme="minorHAnsi"/>
        </w:rPr>
        <w:t>les véhicules qui répondent aux 2 conditions cumulatives suivantes :</w:t>
      </w:r>
    </w:p>
    <w:p w14:paraId="3553C8BC" w14:textId="0F7EE828" w:rsidR="006A4690" w:rsidRPr="00A847B7" w:rsidRDefault="006A4690" w:rsidP="00EE0687">
      <w:pPr>
        <w:pStyle w:val="Paragraphedeliste"/>
        <w:numPr>
          <w:ilvl w:val="1"/>
          <w:numId w:val="107"/>
        </w:numPr>
        <w:spacing w:beforeAutospacing="1" w:after="100" w:afterAutospacing="1"/>
        <w:rPr>
          <w:rFonts w:cstheme="minorHAnsi"/>
        </w:rPr>
      </w:pPr>
      <w:r w:rsidRPr="00A847B7">
        <w:rPr>
          <w:rFonts w:cstheme="minorHAnsi"/>
        </w:rPr>
        <w:t>ils sont autorisés à circuler sur la base d’un certificat d’immatriculation délivré spécifiquement pour les besoins de la construction, de la commercialisation, de la réparation ou du contrôle technique automobiles</w:t>
      </w:r>
      <w:r w:rsidR="00E722FA" w:rsidRPr="00A847B7">
        <w:rPr>
          <w:rFonts w:cstheme="minorHAnsi"/>
        </w:rPr>
        <w:t> ;</w:t>
      </w:r>
    </w:p>
    <w:p w14:paraId="733A54F8" w14:textId="7467DE17" w:rsidR="00A05737" w:rsidRPr="00A847B7" w:rsidRDefault="00E722FA" w:rsidP="00EE0687">
      <w:pPr>
        <w:pStyle w:val="Paragraphedeliste"/>
        <w:numPr>
          <w:ilvl w:val="1"/>
          <w:numId w:val="107"/>
        </w:numPr>
        <w:spacing w:beforeAutospacing="1" w:after="100" w:afterAutospacing="1"/>
        <w:rPr>
          <w:rFonts w:cstheme="minorHAnsi"/>
        </w:rPr>
      </w:pPr>
      <w:r w:rsidRPr="00A847B7">
        <w:rPr>
          <w:rFonts w:cstheme="minorHAnsi"/>
        </w:rPr>
        <w:t>ils ne réalisent effectivement aucune opération de transport autre que celle strictement nécessaire pour les besoins de la construction, de la commercialisation, de la réparation ou du contrôle technique automobiles.</w:t>
      </w:r>
    </w:p>
    <w:p w14:paraId="4FBFFBEF" w14:textId="77777777" w:rsidR="00584377" w:rsidRPr="00A847B7" w:rsidRDefault="00584377" w:rsidP="00584377">
      <w:pPr>
        <w:pStyle w:val="Paragraphedeliste"/>
        <w:spacing w:beforeAutospacing="1" w:after="100" w:afterAutospacing="1"/>
        <w:ind w:left="1440"/>
        <w:rPr>
          <w:rFonts w:cstheme="minorHAnsi"/>
        </w:rPr>
      </w:pPr>
    </w:p>
    <w:p w14:paraId="3B3FAD27" w14:textId="738D1848" w:rsidR="00E722FA" w:rsidRPr="00A847B7" w:rsidRDefault="00A14CB1" w:rsidP="00EE0687">
      <w:pPr>
        <w:pStyle w:val="Paragraphedeliste"/>
        <w:numPr>
          <w:ilvl w:val="0"/>
          <w:numId w:val="109"/>
        </w:numPr>
        <w:spacing w:beforeAutospacing="1" w:after="100" w:afterAutospacing="1"/>
        <w:rPr>
          <w:rFonts w:cstheme="minorHAnsi"/>
        </w:rPr>
      </w:pPr>
      <w:r w:rsidRPr="00A847B7">
        <w:rPr>
          <w:rFonts w:cstheme="minorHAnsi"/>
          <w:b/>
          <w:bCs/>
        </w:rPr>
        <w:t>Redevable</w:t>
      </w:r>
    </w:p>
    <w:p w14:paraId="06E9831D" w14:textId="20AA24EC" w:rsidR="00A14CB1" w:rsidRPr="00A847B7" w:rsidRDefault="00A14CB1" w:rsidP="00A14CB1">
      <w:pPr>
        <w:spacing w:beforeAutospacing="1" w:after="100" w:afterAutospacing="1"/>
        <w:rPr>
          <w:rFonts w:cstheme="minorHAnsi"/>
        </w:rPr>
      </w:pPr>
      <w:r w:rsidRPr="00A847B7">
        <w:rPr>
          <w:rFonts w:cstheme="minorHAnsi"/>
        </w:rPr>
        <w:t>La personne tenue au paiement de la taxe (</w:t>
      </w:r>
      <w:r w:rsidR="00E61BC5" w:rsidRPr="00A847B7">
        <w:rPr>
          <w:rFonts w:cstheme="minorHAnsi"/>
        </w:rPr>
        <w:t>donc</w:t>
      </w:r>
      <w:r w:rsidRPr="00A847B7">
        <w:rPr>
          <w:rFonts w:cstheme="minorHAnsi"/>
        </w:rPr>
        <w:t xml:space="preserve"> le redevable)</w:t>
      </w:r>
      <w:r w:rsidR="00B7228D" w:rsidRPr="00A847B7">
        <w:rPr>
          <w:rFonts w:cstheme="minorHAnsi"/>
        </w:rPr>
        <w:t xml:space="preserve"> est l’utilisateur du véhicule</w:t>
      </w:r>
      <w:r w:rsidR="00E61BC5" w:rsidRPr="00A847B7">
        <w:rPr>
          <w:rFonts w:cstheme="minorHAnsi"/>
        </w:rPr>
        <w:t>, c’est-à-dire :</w:t>
      </w:r>
    </w:p>
    <w:p w14:paraId="6AFCEA96" w14:textId="77777777" w:rsidR="00937F2D" w:rsidRDefault="00E61BC5" w:rsidP="00EE0687">
      <w:pPr>
        <w:pStyle w:val="Paragraphedeliste"/>
        <w:numPr>
          <w:ilvl w:val="0"/>
          <w:numId w:val="316"/>
        </w:numPr>
        <w:spacing w:beforeAutospacing="1" w:after="100" w:afterAutospacing="1"/>
        <w:rPr>
          <w:rFonts w:cstheme="minorHAnsi"/>
        </w:rPr>
      </w:pPr>
      <w:r w:rsidRPr="00937F2D">
        <w:rPr>
          <w:rFonts w:cstheme="minorHAnsi"/>
        </w:rPr>
        <w:t>le propriétaire</w:t>
      </w:r>
      <w:r w:rsidR="009A0CB4" w:rsidRPr="00937F2D">
        <w:rPr>
          <w:rFonts w:cstheme="minorHAnsi"/>
        </w:rPr>
        <w:t xml:space="preserve">, sauf dans les 3 </w:t>
      </w:r>
      <w:r w:rsidR="007A51E8" w:rsidRPr="00937F2D">
        <w:rPr>
          <w:rFonts w:cstheme="minorHAnsi"/>
        </w:rPr>
        <w:t>cas</w:t>
      </w:r>
      <w:r w:rsidR="009A0CB4" w:rsidRPr="00937F2D">
        <w:rPr>
          <w:rFonts w:cstheme="minorHAnsi"/>
        </w:rPr>
        <w:t xml:space="preserve"> suivants</w:t>
      </w:r>
      <w:r w:rsidR="000A557B" w:rsidRPr="00937F2D">
        <w:rPr>
          <w:rFonts w:cstheme="minorHAnsi"/>
        </w:rPr>
        <w:t> ;</w:t>
      </w:r>
    </w:p>
    <w:p w14:paraId="59740793" w14:textId="77777777" w:rsidR="00937F2D" w:rsidRDefault="000B2DD4" w:rsidP="00EE0687">
      <w:pPr>
        <w:pStyle w:val="Paragraphedeliste"/>
        <w:numPr>
          <w:ilvl w:val="0"/>
          <w:numId w:val="316"/>
        </w:numPr>
        <w:spacing w:beforeAutospacing="1" w:after="100" w:afterAutospacing="1"/>
        <w:rPr>
          <w:rFonts w:cstheme="minorHAnsi"/>
        </w:rPr>
      </w:pPr>
      <w:r w:rsidRPr="00937F2D">
        <w:rPr>
          <w:rFonts w:cstheme="minorHAnsi"/>
        </w:rPr>
        <w:lastRenderedPageBreak/>
        <w:t>le locataire, lorsque le véhicule fait l’objet d’une formule locative de longue durée</w:t>
      </w:r>
      <w:r w:rsidR="007A51E8" w:rsidRPr="00937F2D">
        <w:rPr>
          <w:rFonts w:cstheme="minorHAnsi"/>
        </w:rPr>
        <w:t>, sauf dans les 2 cas suivants ;</w:t>
      </w:r>
    </w:p>
    <w:p w14:paraId="403F324E" w14:textId="49C5A231" w:rsidR="00CB7D77" w:rsidRDefault="007A51E8" w:rsidP="00EE0687">
      <w:pPr>
        <w:pStyle w:val="Paragraphedeliste"/>
        <w:numPr>
          <w:ilvl w:val="0"/>
          <w:numId w:val="316"/>
        </w:numPr>
        <w:spacing w:beforeAutospacing="1" w:after="100" w:afterAutospacing="1"/>
        <w:rPr>
          <w:rFonts w:cstheme="minorHAnsi"/>
        </w:rPr>
      </w:pPr>
      <w:r w:rsidRPr="00937F2D">
        <w:rPr>
          <w:rFonts w:cstheme="minorHAnsi"/>
        </w:rPr>
        <w:t>pour les véhicules de tourisme, la personne qui dispose du véhicule autrement que dans le cadre d’une formule locative de longue durée, sauf dans le cas suivant ;</w:t>
      </w:r>
      <w:r w:rsidR="00FB6015" w:rsidRPr="00937F2D">
        <w:rPr>
          <w:rFonts w:cstheme="minorHAnsi"/>
        </w:rPr>
        <w:t xml:space="preserve">pour les véhicules qui circulent sur les voies ouvertes à la circulation publique du territoire national et </w:t>
      </w:r>
      <w:r w:rsidR="001B6A9F" w:rsidRPr="00937F2D">
        <w:rPr>
          <w:rFonts w:cstheme="minorHAnsi"/>
        </w:rPr>
        <w:t xml:space="preserve">pour lesquels </w:t>
      </w:r>
      <w:r w:rsidR="00FB6015" w:rsidRPr="00937F2D">
        <w:rPr>
          <w:rFonts w:cstheme="minorHAnsi"/>
        </w:rPr>
        <w:t xml:space="preserve">une entreprise prend à sa charge, totalement ou partiellement, les frais engagés par une personne physique pour son acquisition ou son utilisation, quelle que soit la forme de cette prise en charge, l’entreprise </w:t>
      </w:r>
      <w:r w:rsidR="001B6A9F" w:rsidRPr="00937F2D">
        <w:rPr>
          <w:rFonts w:cstheme="minorHAnsi"/>
        </w:rPr>
        <w:t>en question.</w:t>
      </w:r>
    </w:p>
    <w:p w14:paraId="3DEC08CB" w14:textId="77777777" w:rsidR="00937F2D" w:rsidRPr="00937F2D" w:rsidRDefault="00937F2D" w:rsidP="00937F2D">
      <w:pPr>
        <w:pStyle w:val="Paragraphedeliste"/>
        <w:spacing w:beforeAutospacing="1" w:after="100" w:afterAutospacing="1"/>
        <w:ind w:left="1428"/>
        <w:rPr>
          <w:rFonts w:cstheme="minorHAnsi"/>
        </w:rPr>
      </w:pPr>
    </w:p>
    <w:p w14:paraId="38BEB98A" w14:textId="5FA20A64" w:rsidR="001B6A9F" w:rsidRPr="00A847B7" w:rsidRDefault="001B6A9F" w:rsidP="00EE0687">
      <w:pPr>
        <w:pStyle w:val="Paragraphedeliste"/>
        <w:numPr>
          <w:ilvl w:val="0"/>
          <w:numId w:val="109"/>
        </w:numPr>
        <w:spacing w:beforeAutospacing="1" w:after="100" w:afterAutospacing="1"/>
        <w:rPr>
          <w:rFonts w:cstheme="minorHAnsi"/>
        </w:rPr>
      </w:pPr>
      <w:r w:rsidRPr="00A847B7">
        <w:rPr>
          <w:rFonts w:cstheme="minorHAnsi"/>
          <w:b/>
          <w:bCs/>
        </w:rPr>
        <w:t xml:space="preserve">Exigibilité </w:t>
      </w:r>
      <w:r w:rsidR="006A2AD3" w:rsidRPr="00A847B7">
        <w:rPr>
          <w:rFonts w:cstheme="minorHAnsi"/>
          <w:b/>
          <w:bCs/>
        </w:rPr>
        <w:t>des taxes</w:t>
      </w:r>
    </w:p>
    <w:p w14:paraId="60043234" w14:textId="7057517B" w:rsidR="001B6A9F" w:rsidRPr="00A847B7" w:rsidRDefault="00A60FEE" w:rsidP="001B6A9F">
      <w:pPr>
        <w:spacing w:beforeAutospacing="1" w:after="100" w:afterAutospacing="1"/>
        <w:rPr>
          <w:rFonts w:cstheme="minorHAnsi"/>
        </w:rPr>
      </w:pPr>
      <w:r w:rsidRPr="00A847B7">
        <w:rPr>
          <w:rFonts w:cstheme="minorHAnsi"/>
        </w:rPr>
        <w:t xml:space="preserve">Les 3 taxes sont exigibles lors de l’intervention du fait générateur. </w:t>
      </w:r>
    </w:p>
    <w:p w14:paraId="60DDDD9C" w14:textId="39F74B9E" w:rsidR="00A60FEE" w:rsidRPr="00A847B7" w:rsidRDefault="006A2AD3" w:rsidP="00EE0687">
      <w:pPr>
        <w:pStyle w:val="Paragraphedeliste"/>
        <w:numPr>
          <w:ilvl w:val="0"/>
          <w:numId w:val="110"/>
        </w:numPr>
        <w:spacing w:beforeAutospacing="1" w:after="100" w:afterAutospacing="1"/>
        <w:rPr>
          <w:rFonts w:cstheme="minorHAnsi"/>
        </w:rPr>
      </w:pPr>
      <w:r w:rsidRPr="00A847B7">
        <w:rPr>
          <w:rFonts w:cstheme="minorHAnsi"/>
          <w:b/>
          <w:bCs/>
        </w:rPr>
        <w:t xml:space="preserve">Calcul des taxes </w:t>
      </w:r>
    </w:p>
    <w:p w14:paraId="5F1CC723" w14:textId="6B06E788" w:rsidR="006A2AD3" w:rsidRPr="00A847B7" w:rsidRDefault="00CB1C3F" w:rsidP="006A2AD3">
      <w:pPr>
        <w:spacing w:beforeAutospacing="1" w:after="100" w:afterAutospacing="1"/>
        <w:rPr>
          <w:rFonts w:cstheme="minorHAnsi"/>
        </w:rPr>
      </w:pPr>
      <w:r w:rsidRPr="00A847B7">
        <w:rPr>
          <w:rFonts w:cstheme="minorHAnsi"/>
        </w:rPr>
        <w:t>Pour chaque véhicule, le montant des taxes est égal au produit entre, d’une part, la proportion annuelle d’utilisation</w:t>
      </w:r>
      <w:r w:rsidR="00D83534" w:rsidRPr="00A847B7">
        <w:rPr>
          <w:rFonts w:cstheme="minorHAnsi"/>
        </w:rPr>
        <w:t xml:space="preserve"> et un tarif propre à chacune des taxes en question.</w:t>
      </w:r>
    </w:p>
    <w:p w14:paraId="45394827" w14:textId="1E8E9527" w:rsidR="006A2AD3" w:rsidRPr="00A847B7" w:rsidRDefault="00F863EC" w:rsidP="001B6A9F">
      <w:pPr>
        <w:spacing w:beforeAutospacing="1" w:after="100" w:afterAutospacing="1"/>
        <w:rPr>
          <w:rFonts w:cstheme="minorHAnsi"/>
        </w:rPr>
      </w:pPr>
      <w:r w:rsidRPr="00A847B7">
        <w:rPr>
          <w:rFonts w:cstheme="minorHAnsi"/>
        </w:rPr>
        <w:t>La proportion annuelle d’utilisation du véhicule est égale au quotient entre le nombre de jours où le redevable est utilisateur du véhicule, et le nombre de jours de l’année.</w:t>
      </w:r>
    </w:p>
    <w:p w14:paraId="5EFCCCDC" w14:textId="52A525B8" w:rsidR="00F863EC" w:rsidRPr="00A847B7" w:rsidRDefault="00F863EC" w:rsidP="00F863EC">
      <w:pPr>
        <w:spacing w:beforeAutospacing="1" w:after="100" w:afterAutospacing="1"/>
        <w:rPr>
          <w:rFonts w:cstheme="minorHAnsi"/>
        </w:rPr>
      </w:pPr>
      <w:r w:rsidRPr="00A847B7">
        <w:rPr>
          <w:rFonts w:cstheme="minorHAnsi"/>
        </w:rPr>
        <w:t xml:space="preserve">Le montant cumulé de la taxe annuelle sur les émissions de dioxyde de carbone et de la taxe annuelle relative aux émissions de polluants atmosphériques exigibles </w:t>
      </w:r>
      <w:r w:rsidR="007726FF" w:rsidRPr="00A847B7">
        <w:rPr>
          <w:rFonts w:cstheme="minorHAnsi"/>
        </w:rPr>
        <w:t>pour les véhicules qui circulent sur les voies ouvertes à la circulation publique du territoire national et pour lesquels une entreprise prend à sa charge, totalement ou partiellement, les frais engagés par une personne physique pour son acquisition ou son utilisation, quelle que soit la forme de cette prise en charge, fait l’objet d’un abattement de 15 000 €.</w:t>
      </w:r>
    </w:p>
    <w:p w14:paraId="59BD4B70" w14:textId="507B040C" w:rsidR="00F863EC" w:rsidRPr="00A847B7" w:rsidRDefault="00586B2F" w:rsidP="001B6A9F">
      <w:pPr>
        <w:spacing w:beforeAutospacing="1" w:after="100" w:afterAutospacing="1"/>
        <w:rPr>
          <w:rFonts w:cstheme="minorHAnsi"/>
        </w:rPr>
      </w:pPr>
      <w:r w:rsidRPr="00A847B7">
        <w:rPr>
          <w:rFonts w:cstheme="minorHAnsi"/>
        </w:rPr>
        <w:t xml:space="preserve">Notez que, le cas échéant, le changement d’utilisateur est pris en compte </w:t>
      </w:r>
      <w:r w:rsidR="00DD1CC5" w:rsidRPr="00A847B7">
        <w:rPr>
          <w:rFonts w:cstheme="minorHAnsi"/>
        </w:rPr>
        <w:t>à compter du jour où il intervient.</w:t>
      </w:r>
    </w:p>
    <w:p w14:paraId="4A96248E" w14:textId="52188A39" w:rsidR="00DF0A5C" w:rsidRPr="00A847B7" w:rsidRDefault="00C51500" w:rsidP="00DF0A5C">
      <w:pPr>
        <w:spacing w:beforeAutospacing="1" w:after="100" w:afterAutospacing="1"/>
        <w:rPr>
          <w:rFonts w:cstheme="minorHAnsi"/>
        </w:rPr>
      </w:pPr>
      <w:r w:rsidRPr="00A847B7">
        <w:rPr>
          <w:rFonts w:cstheme="minorHAnsi"/>
        </w:rPr>
        <w:t>Pour les véhicules qui circulent sur les voies ouvertes à la circulation publique du territoire national et pour lesquels une entreprise prend à sa charge</w:t>
      </w:r>
      <w:r w:rsidR="00BE6ACE" w:rsidRPr="00A847B7">
        <w:rPr>
          <w:rFonts w:cstheme="minorHAnsi"/>
        </w:rPr>
        <w:t xml:space="preserve"> </w:t>
      </w:r>
      <w:r w:rsidRPr="00A847B7">
        <w:rPr>
          <w:rFonts w:cstheme="minorHAnsi"/>
        </w:rPr>
        <w:t>les frais engagés pour son acquisition ou son</w:t>
      </w:r>
      <w:r w:rsidR="00BE6ACE" w:rsidRPr="00A847B7">
        <w:rPr>
          <w:rFonts w:cstheme="minorHAnsi"/>
        </w:rPr>
        <w:t xml:space="preserve"> utilisation, </w:t>
      </w:r>
      <w:r w:rsidR="007015FF" w:rsidRPr="00A847B7">
        <w:rPr>
          <w:rFonts w:cstheme="minorHAnsi"/>
        </w:rPr>
        <w:t xml:space="preserve">lorsque cette prise en charge est déterminée en fonction de la distance parcourue par le véhicule pour les déplacements professionnels, </w:t>
      </w:r>
      <w:r w:rsidR="00AB3B92" w:rsidRPr="00A847B7">
        <w:rPr>
          <w:rFonts w:cstheme="minorHAnsi"/>
        </w:rPr>
        <w:t>la proportion annuelle d’utilisation du véhicule est multipliée par un pourcentage déterminé en fonction de cette distance, exprimée en kilomètres sur une année, à partir du barème suivant :</w:t>
      </w:r>
    </w:p>
    <w:tbl>
      <w:tblPr>
        <w:tblW w:w="0" w:type="auto"/>
        <w:tblInd w:w="2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769"/>
        <w:gridCol w:w="1303"/>
      </w:tblGrid>
      <w:tr w:rsidR="006E2605" w:rsidRPr="00A847B7" w14:paraId="7ED9902C" w14:textId="77777777" w:rsidTr="006E2605">
        <w:tc>
          <w:tcPr>
            <w:tcW w:w="0" w:type="auto"/>
            <w:shd w:val="clear" w:color="auto" w:fill="297FD5" w:themeFill="accent3"/>
            <w:tcMar>
              <w:top w:w="30" w:type="dxa"/>
              <w:left w:w="75" w:type="dxa"/>
              <w:bottom w:w="30" w:type="dxa"/>
              <w:right w:w="75" w:type="dxa"/>
            </w:tcMar>
            <w:hideMark/>
          </w:tcPr>
          <w:p w14:paraId="4665E1A9" w14:textId="6F399DA7" w:rsidR="006E2605" w:rsidRPr="00A847B7" w:rsidRDefault="006E2605" w:rsidP="006E2605">
            <w:pPr>
              <w:spacing w:beforeAutospacing="1" w:after="100" w:afterAutospacing="1"/>
              <w:jc w:val="center"/>
              <w:rPr>
                <w:rFonts w:cstheme="minorHAnsi"/>
                <w:b/>
                <w:bCs/>
                <w:color w:val="FFFFFF" w:themeColor="background1"/>
                <w:sz w:val="22"/>
                <w:szCs w:val="22"/>
              </w:rPr>
            </w:pPr>
            <w:r w:rsidRPr="00A847B7">
              <w:rPr>
                <w:rFonts w:cstheme="minorHAnsi"/>
                <w:b/>
                <w:bCs/>
                <w:color w:val="FFFFFF" w:themeColor="background1"/>
                <w:sz w:val="22"/>
                <w:szCs w:val="22"/>
              </w:rPr>
              <w:t>Distance annuelle parcourue</w:t>
            </w:r>
            <w:r w:rsidRPr="00A847B7">
              <w:rPr>
                <w:rFonts w:cstheme="minorHAnsi"/>
                <w:b/>
                <w:bCs/>
                <w:color w:val="FFFFFF" w:themeColor="background1"/>
                <w:sz w:val="22"/>
                <w:szCs w:val="22"/>
              </w:rPr>
              <w:br/>
              <w:t>(en kilomètres)</w:t>
            </w:r>
          </w:p>
        </w:tc>
        <w:tc>
          <w:tcPr>
            <w:tcW w:w="0" w:type="auto"/>
            <w:shd w:val="clear" w:color="auto" w:fill="297FD5" w:themeFill="accent3"/>
            <w:tcMar>
              <w:top w:w="30" w:type="dxa"/>
              <w:left w:w="75" w:type="dxa"/>
              <w:bottom w:w="30" w:type="dxa"/>
              <w:right w:w="75" w:type="dxa"/>
            </w:tcMar>
            <w:hideMark/>
          </w:tcPr>
          <w:p w14:paraId="4D8EEAFB" w14:textId="77777777" w:rsidR="006E2605" w:rsidRPr="00A847B7" w:rsidRDefault="006E2605" w:rsidP="006E2605">
            <w:pPr>
              <w:spacing w:beforeAutospacing="1" w:after="100" w:afterAutospacing="1"/>
              <w:jc w:val="center"/>
              <w:rPr>
                <w:rFonts w:cstheme="minorHAnsi"/>
                <w:b/>
                <w:bCs/>
                <w:color w:val="FFFFFF" w:themeColor="background1"/>
                <w:sz w:val="22"/>
                <w:szCs w:val="22"/>
              </w:rPr>
            </w:pPr>
            <w:r w:rsidRPr="00A847B7">
              <w:rPr>
                <w:rFonts w:cstheme="minorHAnsi"/>
                <w:b/>
                <w:bCs/>
                <w:color w:val="FFFFFF" w:themeColor="background1"/>
                <w:sz w:val="22"/>
                <w:szCs w:val="22"/>
              </w:rPr>
              <w:t>Pourcentage</w:t>
            </w:r>
          </w:p>
        </w:tc>
      </w:tr>
      <w:tr w:rsidR="006E2605" w:rsidRPr="00A847B7" w14:paraId="51BEC561" w14:textId="77777777" w:rsidTr="006E2605">
        <w:tc>
          <w:tcPr>
            <w:tcW w:w="0" w:type="auto"/>
            <w:shd w:val="clear" w:color="auto" w:fill="FFFFFF"/>
            <w:tcMar>
              <w:top w:w="30" w:type="dxa"/>
              <w:left w:w="75" w:type="dxa"/>
              <w:bottom w:w="30" w:type="dxa"/>
              <w:right w:w="75" w:type="dxa"/>
            </w:tcMar>
            <w:hideMark/>
          </w:tcPr>
          <w:p w14:paraId="7B7CE4E3" w14:textId="2448E95C" w:rsidR="006E2605" w:rsidRPr="00A847B7" w:rsidRDefault="006E2605" w:rsidP="006E2605">
            <w:pPr>
              <w:spacing w:beforeAutospacing="1" w:after="100" w:afterAutospacing="1"/>
              <w:rPr>
                <w:rFonts w:cstheme="minorHAnsi"/>
              </w:rPr>
            </w:pPr>
            <w:r w:rsidRPr="00A847B7">
              <w:rPr>
                <w:rFonts w:cstheme="minorHAnsi"/>
              </w:rPr>
              <w:t>De 0 à 15 000</w:t>
            </w:r>
          </w:p>
        </w:tc>
        <w:tc>
          <w:tcPr>
            <w:tcW w:w="0" w:type="auto"/>
            <w:shd w:val="clear" w:color="auto" w:fill="FFFFFF"/>
            <w:tcMar>
              <w:top w:w="30" w:type="dxa"/>
              <w:left w:w="75" w:type="dxa"/>
              <w:bottom w:w="30" w:type="dxa"/>
              <w:right w:w="75" w:type="dxa"/>
            </w:tcMar>
            <w:hideMark/>
          </w:tcPr>
          <w:p w14:paraId="0165D0E1" w14:textId="11FD28CD" w:rsidR="006E2605" w:rsidRPr="00A847B7" w:rsidRDefault="006E2605" w:rsidP="006E2605">
            <w:pPr>
              <w:spacing w:beforeAutospacing="1" w:after="100" w:afterAutospacing="1"/>
              <w:rPr>
                <w:rFonts w:cstheme="minorHAnsi"/>
              </w:rPr>
            </w:pPr>
            <w:r w:rsidRPr="00A847B7">
              <w:rPr>
                <w:rFonts w:cstheme="minorHAnsi"/>
              </w:rPr>
              <w:t>0 %</w:t>
            </w:r>
          </w:p>
        </w:tc>
      </w:tr>
      <w:tr w:rsidR="006E2605" w:rsidRPr="00A847B7" w14:paraId="243B42D0" w14:textId="77777777" w:rsidTr="006E2605">
        <w:tc>
          <w:tcPr>
            <w:tcW w:w="0" w:type="auto"/>
            <w:shd w:val="clear" w:color="auto" w:fill="FFFFFF"/>
            <w:tcMar>
              <w:top w:w="30" w:type="dxa"/>
              <w:left w:w="75" w:type="dxa"/>
              <w:bottom w:w="30" w:type="dxa"/>
              <w:right w:w="75" w:type="dxa"/>
            </w:tcMar>
            <w:hideMark/>
          </w:tcPr>
          <w:p w14:paraId="1EA6EF36" w14:textId="45131932" w:rsidR="006E2605" w:rsidRPr="00A847B7" w:rsidRDefault="006E2605" w:rsidP="006E2605">
            <w:pPr>
              <w:spacing w:beforeAutospacing="1" w:after="100" w:afterAutospacing="1"/>
              <w:rPr>
                <w:rFonts w:cstheme="minorHAnsi"/>
              </w:rPr>
            </w:pPr>
            <w:r w:rsidRPr="00A847B7">
              <w:rPr>
                <w:rFonts w:cstheme="minorHAnsi"/>
              </w:rPr>
              <w:t>De 15 001 à 25 000</w:t>
            </w:r>
          </w:p>
        </w:tc>
        <w:tc>
          <w:tcPr>
            <w:tcW w:w="0" w:type="auto"/>
            <w:shd w:val="clear" w:color="auto" w:fill="FFFFFF"/>
            <w:tcMar>
              <w:top w:w="30" w:type="dxa"/>
              <w:left w:w="75" w:type="dxa"/>
              <w:bottom w:w="30" w:type="dxa"/>
              <w:right w:w="75" w:type="dxa"/>
            </w:tcMar>
          </w:tcPr>
          <w:p w14:paraId="05339D59" w14:textId="058B1E81" w:rsidR="006E2605" w:rsidRPr="00A847B7" w:rsidRDefault="006E2605" w:rsidP="006E2605">
            <w:pPr>
              <w:spacing w:beforeAutospacing="1" w:after="100" w:afterAutospacing="1"/>
              <w:rPr>
                <w:rFonts w:cstheme="minorHAnsi"/>
              </w:rPr>
            </w:pPr>
            <w:r w:rsidRPr="00A847B7">
              <w:rPr>
                <w:rFonts w:cstheme="minorHAnsi"/>
              </w:rPr>
              <w:t>25 %</w:t>
            </w:r>
          </w:p>
        </w:tc>
      </w:tr>
      <w:tr w:rsidR="006E2605" w:rsidRPr="00A847B7" w14:paraId="11F9770C" w14:textId="77777777" w:rsidTr="006E2605">
        <w:tc>
          <w:tcPr>
            <w:tcW w:w="0" w:type="auto"/>
            <w:shd w:val="clear" w:color="auto" w:fill="FFFFFF"/>
            <w:tcMar>
              <w:top w:w="30" w:type="dxa"/>
              <w:left w:w="75" w:type="dxa"/>
              <w:bottom w:w="30" w:type="dxa"/>
              <w:right w:w="75" w:type="dxa"/>
            </w:tcMar>
            <w:hideMark/>
          </w:tcPr>
          <w:p w14:paraId="107EF00B" w14:textId="39B6E323" w:rsidR="006E2605" w:rsidRPr="00A847B7" w:rsidRDefault="006E2605" w:rsidP="006E2605">
            <w:pPr>
              <w:spacing w:beforeAutospacing="1" w:after="100" w:afterAutospacing="1"/>
              <w:rPr>
                <w:rFonts w:cstheme="minorHAnsi"/>
              </w:rPr>
            </w:pPr>
            <w:r w:rsidRPr="00A847B7">
              <w:rPr>
                <w:rFonts w:cstheme="minorHAnsi"/>
              </w:rPr>
              <w:t>De 25 001 à 35 000</w:t>
            </w:r>
          </w:p>
        </w:tc>
        <w:tc>
          <w:tcPr>
            <w:tcW w:w="0" w:type="auto"/>
            <w:shd w:val="clear" w:color="auto" w:fill="FFFFFF"/>
            <w:tcMar>
              <w:top w:w="30" w:type="dxa"/>
              <w:left w:w="75" w:type="dxa"/>
              <w:bottom w:w="30" w:type="dxa"/>
              <w:right w:w="75" w:type="dxa"/>
            </w:tcMar>
          </w:tcPr>
          <w:p w14:paraId="70CB9E99" w14:textId="107E5F5B" w:rsidR="006E2605" w:rsidRPr="00A847B7" w:rsidRDefault="006E2605" w:rsidP="006E2605">
            <w:pPr>
              <w:spacing w:beforeAutospacing="1" w:after="100" w:afterAutospacing="1"/>
              <w:rPr>
                <w:rFonts w:cstheme="minorHAnsi"/>
              </w:rPr>
            </w:pPr>
            <w:r w:rsidRPr="00A847B7">
              <w:rPr>
                <w:rFonts w:cstheme="minorHAnsi"/>
              </w:rPr>
              <w:t>50 %</w:t>
            </w:r>
          </w:p>
        </w:tc>
      </w:tr>
      <w:tr w:rsidR="006E2605" w:rsidRPr="00A847B7" w14:paraId="7C1E709E" w14:textId="77777777" w:rsidTr="006E2605">
        <w:tc>
          <w:tcPr>
            <w:tcW w:w="0" w:type="auto"/>
            <w:shd w:val="clear" w:color="auto" w:fill="FFFFFF"/>
            <w:tcMar>
              <w:top w:w="30" w:type="dxa"/>
              <w:left w:w="75" w:type="dxa"/>
              <w:bottom w:w="30" w:type="dxa"/>
              <w:right w:w="75" w:type="dxa"/>
            </w:tcMar>
            <w:hideMark/>
          </w:tcPr>
          <w:p w14:paraId="2A58CC25" w14:textId="6F55ABFD" w:rsidR="006E2605" w:rsidRPr="00A847B7" w:rsidRDefault="006E2605" w:rsidP="006E2605">
            <w:pPr>
              <w:spacing w:beforeAutospacing="1" w:after="100" w:afterAutospacing="1"/>
              <w:rPr>
                <w:rFonts w:cstheme="minorHAnsi"/>
              </w:rPr>
            </w:pPr>
            <w:r w:rsidRPr="00A847B7">
              <w:rPr>
                <w:rFonts w:cstheme="minorHAnsi"/>
              </w:rPr>
              <w:t>De 35 001 à 45 000</w:t>
            </w:r>
          </w:p>
        </w:tc>
        <w:tc>
          <w:tcPr>
            <w:tcW w:w="0" w:type="auto"/>
            <w:shd w:val="clear" w:color="auto" w:fill="FFFFFF"/>
            <w:tcMar>
              <w:top w:w="30" w:type="dxa"/>
              <w:left w:w="75" w:type="dxa"/>
              <w:bottom w:w="30" w:type="dxa"/>
              <w:right w:w="75" w:type="dxa"/>
            </w:tcMar>
          </w:tcPr>
          <w:p w14:paraId="2B9C778B" w14:textId="39DE6EE2" w:rsidR="006E2605" w:rsidRPr="00A847B7" w:rsidRDefault="006E2605" w:rsidP="006E2605">
            <w:pPr>
              <w:spacing w:beforeAutospacing="1" w:after="100" w:afterAutospacing="1"/>
              <w:rPr>
                <w:rFonts w:cstheme="minorHAnsi"/>
              </w:rPr>
            </w:pPr>
            <w:r w:rsidRPr="00A847B7">
              <w:rPr>
                <w:rFonts w:cstheme="minorHAnsi"/>
              </w:rPr>
              <w:t>75 %</w:t>
            </w:r>
          </w:p>
        </w:tc>
      </w:tr>
      <w:tr w:rsidR="006E2605" w:rsidRPr="00A847B7" w14:paraId="7D9167FA" w14:textId="77777777" w:rsidTr="006E2605">
        <w:tc>
          <w:tcPr>
            <w:tcW w:w="0" w:type="auto"/>
            <w:shd w:val="clear" w:color="auto" w:fill="FFFFFF"/>
            <w:tcMar>
              <w:top w:w="30" w:type="dxa"/>
              <w:left w:w="75" w:type="dxa"/>
              <w:bottom w:w="30" w:type="dxa"/>
              <w:right w:w="75" w:type="dxa"/>
            </w:tcMar>
            <w:hideMark/>
          </w:tcPr>
          <w:p w14:paraId="36D347A6" w14:textId="1DEC4766" w:rsidR="006E2605" w:rsidRPr="00A847B7" w:rsidRDefault="006E2605" w:rsidP="006E2605">
            <w:pPr>
              <w:spacing w:beforeAutospacing="1" w:after="100" w:afterAutospacing="1"/>
              <w:rPr>
                <w:rFonts w:cstheme="minorHAnsi"/>
              </w:rPr>
            </w:pPr>
            <w:r w:rsidRPr="00A847B7">
              <w:rPr>
                <w:rFonts w:cstheme="minorHAnsi"/>
              </w:rPr>
              <w:t>Supérieur</w:t>
            </w:r>
            <w:r w:rsidR="000B4F99">
              <w:rPr>
                <w:rFonts w:cstheme="minorHAnsi"/>
              </w:rPr>
              <w:t>e</w:t>
            </w:r>
            <w:r w:rsidRPr="00A847B7">
              <w:rPr>
                <w:rFonts w:cstheme="minorHAnsi"/>
              </w:rPr>
              <w:t xml:space="preserve"> à 45 000</w:t>
            </w:r>
          </w:p>
        </w:tc>
        <w:tc>
          <w:tcPr>
            <w:tcW w:w="0" w:type="auto"/>
            <w:shd w:val="clear" w:color="auto" w:fill="FFFFFF"/>
            <w:tcMar>
              <w:top w:w="30" w:type="dxa"/>
              <w:left w:w="75" w:type="dxa"/>
              <w:bottom w:w="30" w:type="dxa"/>
              <w:right w:w="75" w:type="dxa"/>
            </w:tcMar>
          </w:tcPr>
          <w:p w14:paraId="627074A8" w14:textId="5909AD10" w:rsidR="006E2605" w:rsidRPr="00A847B7" w:rsidRDefault="006E2605" w:rsidP="006E2605">
            <w:pPr>
              <w:spacing w:beforeAutospacing="1" w:after="100" w:afterAutospacing="1"/>
              <w:rPr>
                <w:rFonts w:cstheme="minorHAnsi"/>
              </w:rPr>
            </w:pPr>
            <w:r w:rsidRPr="00A847B7">
              <w:rPr>
                <w:rFonts w:cstheme="minorHAnsi"/>
              </w:rPr>
              <w:t>100 %</w:t>
            </w:r>
          </w:p>
        </w:tc>
      </w:tr>
    </w:tbl>
    <w:p w14:paraId="21B87E88" w14:textId="6542682C" w:rsidR="00DF0A5C" w:rsidRPr="00A847B7" w:rsidRDefault="00067A71" w:rsidP="00DF0A5C">
      <w:pPr>
        <w:spacing w:beforeAutospacing="1" w:after="100" w:afterAutospacing="1"/>
        <w:rPr>
          <w:rFonts w:cstheme="minorHAnsi"/>
        </w:rPr>
      </w:pPr>
      <w:r w:rsidRPr="00A847B7">
        <w:rPr>
          <w:rFonts w:cstheme="minorHAnsi"/>
        </w:rPr>
        <w:t>Si une même personne physique recourt à plusieurs véhicules au cours d’une même année, successivement, le pourcentage en question est déterminé, pour chaque véhicule, à partir de la somme des distances relatives à tous ces véhicules.</w:t>
      </w:r>
    </w:p>
    <w:p w14:paraId="3FA33CE5" w14:textId="6F094133" w:rsidR="00067A71" w:rsidRPr="00A847B7" w:rsidRDefault="006F4B83" w:rsidP="00DF0A5C">
      <w:pPr>
        <w:spacing w:beforeAutospacing="1" w:after="100" w:afterAutospacing="1"/>
        <w:rPr>
          <w:rFonts w:cstheme="minorHAnsi"/>
        </w:rPr>
      </w:pPr>
      <w:r w:rsidRPr="00A847B7">
        <w:rPr>
          <w:rFonts w:cstheme="minorHAnsi"/>
        </w:rPr>
        <w:lastRenderedPageBreak/>
        <w:t>Enfin, notez que pour chaque véhicule, les tarifs de chaque taxe</w:t>
      </w:r>
      <w:r w:rsidR="001E71FF" w:rsidRPr="00A847B7">
        <w:rPr>
          <w:rFonts w:cstheme="minorHAnsi"/>
        </w:rPr>
        <w:t xml:space="preserve"> sont fixés en fonction de ses caractéristiques techniques</w:t>
      </w:r>
      <w:r w:rsidR="00FB4033" w:rsidRPr="00A847B7">
        <w:rPr>
          <w:rFonts w:cstheme="minorHAnsi"/>
        </w:rPr>
        <w:t xml:space="preserve"> à la date d’utilisation.</w:t>
      </w:r>
    </w:p>
    <w:p w14:paraId="51173D9C" w14:textId="0520D56C" w:rsidR="00FB4033" w:rsidRPr="00A847B7" w:rsidRDefault="00FB4033" w:rsidP="00EE0687">
      <w:pPr>
        <w:pStyle w:val="Paragraphedeliste"/>
        <w:numPr>
          <w:ilvl w:val="0"/>
          <w:numId w:val="110"/>
        </w:numPr>
        <w:spacing w:beforeAutospacing="1" w:after="100" w:afterAutospacing="1"/>
        <w:rPr>
          <w:rFonts w:cstheme="minorHAnsi"/>
        </w:rPr>
      </w:pPr>
      <w:r w:rsidRPr="00A847B7">
        <w:rPr>
          <w:rFonts w:cstheme="minorHAnsi"/>
          <w:b/>
          <w:bCs/>
        </w:rPr>
        <w:t>Déclaration</w:t>
      </w:r>
    </w:p>
    <w:p w14:paraId="57A836E5" w14:textId="308DD662" w:rsidR="00FB4033" w:rsidRPr="00A847B7" w:rsidRDefault="00D816FA" w:rsidP="00FB4033">
      <w:pPr>
        <w:spacing w:beforeAutospacing="1" w:after="100" w:afterAutospacing="1"/>
        <w:rPr>
          <w:rFonts w:cstheme="minorHAnsi"/>
        </w:rPr>
      </w:pPr>
      <w:r w:rsidRPr="00A847B7">
        <w:rPr>
          <w:rFonts w:cstheme="minorHAnsi"/>
        </w:rPr>
        <w:t xml:space="preserve">Ces </w:t>
      </w:r>
      <w:r w:rsidR="005E2C2C" w:rsidRPr="00A847B7">
        <w:rPr>
          <w:rFonts w:cstheme="minorHAnsi"/>
        </w:rPr>
        <w:t>3 nouvelles taxes sont déclarées et payées dans les conditions suivantes :</w:t>
      </w:r>
    </w:p>
    <w:p w14:paraId="4C66463E" w14:textId="5F7C6809" w:rsidR="005E2C2C" w:rsidRPr="00937F2D" w:rsidRDefault="005E2C2C" w:rsidP="00EE0687">
      <w:pPr>
        <w:pStyle w:val="Paragraphedeliste"/>
        <w:numPr>
          <w:ilvl w:val="0"/>
          <w:numId w:val="317"/>
        </w:numPr>
        <w:spacing w:beforeAutospacing="1" w:after="100" w:afterAutospacing="1"/>
        <w:rPr>
          <w:rFonts w:cstheme="minorHAnsi"/>
        </w:rPr>
      </w:pPr>
      <w:r w:rsidRPr="00937F2D">
        <w:rPr>
          <w:rFonts w:cstheme="minorHAnsi"/>
        </w:rPr>
        <w:t>pour les redevables de la TVA soumis au régime normal d’imposition</w:t>
      </w:r>
      <w:r w:rsidR="001806F4" w:rsidRPr="00937F2D">
        <w:rPr>
          <w:rFonts w:cstheme="minorHAnsi"/>
        </w:rPr>
        <w:t>, sur l’annexe à la déclaration de TVA déposée au titre du mois de décembre ou du 4</w:t>
      </w:r>
      <w:r w:rsidR="001806F4" w:rsidRPr="00937F2D">
        <w:rPr>
          <w:rFonts w:cstheme="minorHAnsi"/>
          <w:vertAlign w:val="superscript"/>
        </w:rPr>
        <w:t>ème</w:t>
      </w:r>
      <w:r w:rsidR="001806F4" w:rsidRPr="00937F2D">
        <w:rPr>
          <w:rFonts w:cstheme="minorHAnsi"/>
        </w:rPr>
        <w:t xml:space="preserve"> trimestre de l’année au cours de laquelle la taxe est devenue exigible ;</w:t>
      </w:r>
    </w:p>
    <w:p w14:paraId="42B00A05" w14:textId="2107B49E" w:rsidR="001806F4" w:rsidRPr="00937F2D" w:rsidRDefault="001806F4" w:rsidP="00EE0687">
      <w:pPr>
        <w:pStyle w:val="Paragraphedeliste"/>
        <w:numPr>
          <w:ilvl w:val="0"/>
          <w:numId w:val="317"/>
        </w:numPr>
        <w:spacing w:beforeAutospacing="1" w:after="100" w:afterAutospacing="1"/>
        <w:rPr>
          <w:rFonts w:cstheme="minorHAnsi"/>
        </w:rPr>
      </w:pPr>
      <w:r w:rsidRPr="00937F2D">
        <w:rPr>
          <w:rFonts w:cstheme="minorHAnsi"/>
        </w:rPr>
        <w:t>pour les redevables de la TVA soumis au régime réel simplifié d’imposition, sur la déclaration annuelle déposée au titre de l’exercice au cours duquel la taxe est devenue exigible ;</w:t>
      </w:r>
    </w:p>
    <w:p w14:paraId="3FA8E40B" w14:textId="713223D5" w:rsidR="001806F4" w:rsidRPr="00937F2D" w:rsidRDefault="001806F4" w:rsidP="00EE0687">
      <w:pPr>
        <w:pStyle w:val="Paragraphedeliste"/>
        <w:numPr>
          <w:ilvl w:val="0"/>
          <w:numId w:val="317"/>
        </w:numPr>
        <w:spacing w:beforeAutospacing="1" w:after="100" w:afterAutospacing="1"/>
        <w:rPr>
          <w:rFonts w:cstheme="minorHAnsi"/>
        </w:rPr>
      </w:pPr>
      <w:r w:rsidRPr="00937F2D">
        <w:rPr>
          <w:rFonts w:cstheme="minorHAnsi"/>
        </w:rPr>
        <w:t>dans tous les autres cas, sur l’annexe à la déclaration</w:t>
      </w:r>
      <w:r w:rsidR="00B779F1" w:rsidRPr="00937F2D">
        <w:rPr>
          <w:rFonts w:cstheme="minorHAnsi"/>
        </w:rPr>
        <w:t xml:space="preserve"> de TVA déposée auprès du service de recouvrement dont relève le siège ou le principal établissement du redevable, au plus tard le 25 janvier de l’année qui suit celle au cours de laquelle la taxe est devenue exigible.</w:t>
      </w:r>
    </w:p>
    <w:p w14:paraId="74D2E77B" w14:textId="67622126" w:rsidR="00B779F1" w:rsidRPr="00A847B7" w:rsidRDefault="00B779F1" w:rsidP="00B779F1">
      <w:pPr>
        <w:spacing w:beforeAutospacing="1" w:after="100" w:afterAutospacing="1"/>
        <w:rPr>
          <w:rFonts w:cstheme="minorHAnsi"/>
        </w:rPr>
      </w:pPr>
      <w:r w:rsidRPr="00A847B7">
        <w:rPr>
          <w:rFonts w:cstheme="minorHAnsi"/>
        </w:rPr>
        <w:t>Si le montant de la taxe est nul, aucune déclaration n’est à déposer.</w:t>
      </w:r>
    </w:p>
    <w:p w14:paraId="3A9E989B" w14:textId="50E724A8" w:rsidR="00B779F1" w:rsidRPr="00A847B7" w:rsidRDefault="00B779F1" w:rsidP="00B779F1">
      <w:pPr>
        <w:spacing w:beforeAutospacing="1" w:after="100" w:afterAutospacing="1"/>
        <w:rPr>
          <w:rFonts w:cstheme="minorHAnsi"/>
        </w:rPr>
      </w:pPr>
      <w:r w:rsidRPr="00A847B7">
        <w:rPr>
          <w:rFonts w:cstheme="minorHAnsi"/>
        </w:rPr>
        <w:t>En cas de cessation d’activité du redevable, le montant des taxes devenues exigibles lors de l’année de cessation est établi immédiatement. Les taxes sont déclarées, acquittées et, le cas échéant, régularisées selon les modalités prévues pour la taxe sur la valeur ajoutée dont il est redevable ou, à défaut, dans les soixante jours suivant la cessation d’activité</w:t>
      </w:r>
      <w:r w:rsidR="003E542C">
        <w:rPr>
          <w:rFonts w:cstheme="minorHAnsi"/>
        </w:rPr>
        <w:t>.</w:t>
      </w:r>
    </w:p>
    <w:p w14:paraId="3275B13B" w14:textId="162DB806" w:rsidR="00B779F1" w:rsidRPr="00A847B7" w:rsidRDefault="00983819" w:rsidP="00B779F1">
      <w:pPr>
        <w:spacing w:beforeAutospacing="1" w:after="100" w:afterAutospacing="1"/>
        <w:rPr>
          <w:rFonts w:cstheme="minorHAnsi"/>
        </w:rPr>
      </w:pPr>
      <w:r w:rsidRPr="00A847B7">
        <w:rPr>
          <w:rFonts w:cstheme="minorHAnsi"/>
        </w:rPr>
        <w:t>Pour chacune des taxes, chaque entreprise redevable doit tenir un état récapitulatif trimestriel des véhicules qu’elle utilise et qui sont dans le champ de la taxe</w:t>
      </w:r>
      <w:r w:rsidR="00E3521D" w:rsidRPr="00A847B7">
        <w:rPr>
          <w:rFonts w:cstheme="minorHAnsi"/>
        </w:rPr>
        <w:t>.</w:t>
      </w:r>
    </w:p>
    <w:p w14:paraId="5D7640A7" w14:textId="77777777" w:rsidR="00E3521D" w:rsidRPr="00A847B7" w:rsidRDefault="00E3521D" w:rsidP="00B779F1">
      <w:pPr>
        <w:spacing w:beforeAutospacing="1" w:after="100" w:afterAutospacing="1"/>
        <w:rPr>
          <w:rFonts w:cstheme="minorHAnsi"/>
        </w:rPr>
      </w:pPr>
      <w:r w:rsidRPr="00A847B7">
        <w:rPr>
          <w:rFonts w:cstheme="minorHAnsi"/>
        </w:rPr>
        <w:t>Ce registre fait apparaître, pour chaque véhicule, les paramètres techniques intervenant dans la fixation du tarif, la date de première immatriculation et la date de première immatriculation en France, le mode d’utilisation, ainsi que la période d’utilisation.</w:t>
      </w:r>
    </w:p>
    <w:p w14:paraId="72F984C2" w14:textId="0B5531F1" w:rsidR="00E3521D" w:rsidRPr="00A847B7" w:rsidRDefault="00E3521D" w:rsidP="00B779F1">
      <w:pPr>
        <w:spacing w:beforeAutospacing="1" w:after="100" w:afterAutospacing="1"/>
        <w:rPr>
          <w:rFonts w:cstheme="minorHAnsi"/>
        </w:rPr>
      </w:pPr>
      <w:r w:rsidRPr="00A847B7">
        <w:rPr>
          <w:rFonts w:cstheme="minorHAnsi"/>
        </w:rPr>
        <w:t>Les véhicules exonérés doivent être présentés à part, par motif d’exonération.</w:t>
      </w:r>
    </w:p>
    <w:p w14:paraId="3C592955" w14:textId="0C3FD1A9" w:rsidR="00B779F1" w:rsidRPr="00A847B7" w:rsidRDefault="00E3521D" w:rsidP="00B779F1">
      <w:pPr>
        <w:spacing w:beforeAutospacing="1" w:after="100" w:afterAutospacing="1"/>
        <w:rPr>
          <w:rFonts w:cstheme="minorHAnsi"/>
        </w:rPr>
      </w:pPr>
      <w:r w:rsidRPr="00A847B7">
        <w:rPr>
          <w:rFonts w:cstheme="minorHAnsi"/>
        </w:rPr>
        <w:t>Cet état récapitulatif, tenu à jour au plus tard à la date de la déclaration, doit être mis à disposition de l’administration et doit lui être communiqué sur simple demande.</w:t>
      </w:r>
    </w:p>
    <w:p w14:paraId="075B0003" w14:textId="61ECF29B" w:rsidR="00E3521D" w:rsidRPr="00A847B7" w:rsidRDefault="00E3521D" w:rsidP="00B779F1">
      <w:pPr>
        <w:spacing w:beforeAutospacing="1" w:after="100" w:afterAutospacing="1"/>
        <w:rPr>
          <w:rFonts w:cstheme="minorHAnsi"/>
        </w:rPr>
      </w:pPr>
      <w:r w:rsidRPr="00A847B7">
        <w:rPr>
          <w:rFonts w:cstheme="minorHAnsi"/>
        </w:rPr>
        <w:t>Lorsque le redevable n’est pas établi dans un État membre de l’Union européenne ni dans tout autre État partie à l’accord sur l’Espace économique européen ayant conclu avec la France une convention d’assistance administrative en vue de lutter contre la fraude et l’évasion fiscales ainsi qu’une convention d’assistance mutuelle en matière de recouvrement de l’impôt, il fait accréditer auprès du service des impôts compétent un représentant assujetti à la taxe sur la valeur ajoutée établi en France, qui s’engage, le cas échéant, à remplir les formalités au nom et pour le compte du représenté et à acquitter la taxe à sa place.</w:t>
      </w:r>
    </w:p>
    <w:p w14:paraId="79219656" w14:textId="691717A9" w:rsidR="00E3521D" w:rsidRDefault="00FF4C5F" w:rsidP="00EE0687">
      <w:pPr>
        <w:pStyle w:val="Paragraphedeliste"/>
        <w:numPr>
          <w:ilvl w:val="0"/>
          <w:numId w:val="86"/>
        </w:numPr>
        <w:spacing w:beforeAutospacing="1" w:after="100" w:afterAutospacing="1"/>
        <w:rPr>
          <w:rFonts w:cstheme="minorHAnsi"/>
          <w:b/>
          <w:bCs/>
          <w:i/>
          <w:iCs/>
          <w:u w:val="single"/>
        </w:rPr>
      </w:pPr>
      <w:r w:rsidRPr="00A847B7">
        <w:rPr>
          <w:rFonts w:cstheme="minorHAnsi"/>
          <w:b/>
          <w:bCs/>
          <w:i/>
          <w:iCs/>
          <w:u w:val="single"/>
        </w:rPr>
        <w:t>Règles particulières à la taxe annuelle sur les émissions de dioxyde de carbone</w:t>
      </w:r>
    </w:p>
    <w:p w14:paraId="35F3AB87" w14:textId="77777777" w:rsidR="00937F2D" w:rsidRPr="00937F2D" w:rsidRDefault="00937F2D" w:rsidP="00937F2D">
      <w:pPr>
        <w:pStyle w:val="Paragraphedeliste"/>
        <w:spacing w:beforeAutospacing="1" w:after="100" w:afterAutospacing="1"/>
        <w:rPr>
          <w:rFonts w:cstheme="minorHAnsi"/>
        </w:rPr>
      </w:pPr>
    </w:p>
    <w:p w14:paraId="79BD64CA" w14:textId="0541EE69" w:rsidR="006533EA" w:rsidRPr="00937F2D" w:rsidRDefault="006533EA" w:rsidP="00EE0687">
      <w:pPr>
        <w:pStyle w:val="Paragraphedeliste"/>
        <w:numPr>
          <w:ilvl w:val="0"/>
          <w:numId w:val="110"/>
        </w:numPr>
        <w:spacing w:beforeAutospacing="1" w:after="100" w:afterAutospacing="1"/>
        <w:rPr>
          <w:rFonts w:cstheme="minorHAnsi"/>
          <w:b/>
          <w:bCs/>
          <w:i/>
          <w:iCs/>
          <w:u w:val="single"/>
        </w:rPr>
      </w:pPr>
      <w:r w:rsidRPr="00937F2D">
        <w:rPr>
          <w:rFonts w:cstheme="minorHAnsi"/>
          <w:b/>
          <w:bCs/>
        </w:rPr>
        <w:t>Tarif de la taxe</w:t>
      </w:r>
    </w:p>
    <w:p w14:paraId="672AE1A2" w14:textId="15D9E39B" w:rsidR="007046E6" w:rsidRPr="00A847B7" w:rsidRDefault="007046E6" w:rsidP="007046E6">
      <w:pPr>
        <w:spacing w:beforeAutospacing="1" w:after="100" w:afterAutospacing="1"/>
        <w:rPr>
          <w:rFonts w:cstheme="minorHAnsi"/>
        </w:rPr>
      </w:pPr>
      <w:r w:rsidRPr="00A847B7">
        <w:rPr>
          <w:rFonts w:cstheme="minorHAnsi"/>
        </w:rPr>
        <w:t>Le tarif de cette taxe est égal</w:t>
      </w:r>
      <w:r w:rsidR="007708D1" w:rsidRPr="00A847B7">
        <w:rPr>
          <w:rFonts w:cstheme="minorHAnsi"/>
        </w:rPr>
        <w:t>, pour les véhicules relevant du nouveau dispositif d’immatriculation, au montant déterminé en fonction des émissions de dioxyde de carbone, exprimées en grammes par kilomètre, dans les conditions suivantes :</w:t>
      </w:r>
    </w:p>
    <w:p w14:paraId="7DFA0959" w14:textId="76361865" w:rsidR="007708D1" w:rsidRPr="00A847B7" w:rsidRDefault="00C87A08" w:rsidP="00EE0687">
      <w:pPr>
        <w:pStyle w:val="Paragraphedeliste"/>
        <w:numPr>
          <w:ilvl w:val="0"/>
          <w:numId w:val="111"/>
        </w:numPr>
        <w:spacing w:beforeAutospacing="1" w:after="100" w:afterAutospacing="1"/>
        <w:rPr>
          <w:rFonts w:cstheme="minorHAnsi"/>
        </w:rPr>
      </w:pPr>
      <w:r w:rsidRPr="00A847B7">
        <w:rPr>
          <w:rFonts w:cstheme="minorHAnsi"/>
        </w:rPr>
        <w:lastRenderedPageBreak/>
        <w:t>lorsque les émissions sont inférieures à 21 g/km, le tarif est nul ;</w:t>
      </w:r>
    </w:p>
    <w:p w14:paraId="1452DA5F" w14:textId="20FC0E9F" w:rsidR="00C87A08" w:rsidRPr="00A847B7" w:rsidRDefault="00C87A08" w:rsidP="00EE0687">
      <w:pPr>
        <w:pStyle w:val="Paragraphedeliste"/>
        <w:numPr>
          <w:ilvl w:val="0"/>
          <w:numId w:val="111"/>
        </w:numPr>
        <w:spacing w:beforeAutospacing="1" w:after="100" w:afterAutospacing="1"/>
        <w:rPr>
          <w:rFonts w:cstheme="minorHAnsi"/>
        </w:rPr>
      </w:pPr>
      <w:r w:rsidRPr="00A847B7">
        <w:rPr>
          <w:rFonts w:cstheme="minorHAnsi"/>
        </w:rPr>
        <w:t>lorsque les émissions sont supérieures ou égales à 21 grammes par kilomètre et inférieures ou égales à 269 grammes par kilomètre, le tarif est déterminé par le barème suivant :</w:t>
      </w:r>
    </w:p>
    <w:tbl>
      <w:tblPr>
        <w:tblW w:w="0" w:type="auto"/>
        <w:tblInd w:w="1333" w:type="dxa"/>
        <w:shd w:val="clear" w:color="auto" w:fill="FFFFFF"/>
        <w:tblCellMar>
          <w:left w:w="0" w:type="dxa"/>
          <w:right w:w="0" w:type="dxa"/>
        </w:tblCellMar>
        <w:tblLook w:val="04A0" w:firstRow="1" w:lastRow="0" w:firstColumn="1" w:lastColumn="0" w:noHBand="0" w:noVBand="1"/>
      </w:tblPr>
      <w:tblGrid>
        <w:gridCol w:w="3169"/>
        <w:gridCol w:w="1736"/>
      </w:tblGrid>
      <w:tr w:rsidR="000A1933" w:rsidRPr="00A847B7" w14:paraId="34C47DC0" w14:textId="77777777" w:rsidTr="0084290F">
        <w:tc>
          <w:tcPr>
            <w:tcW w:w="0" w:type="auto"/>
            <w:tcBorders>
              <w:top w:val="single" w:sz="6" w:space="0" w:color="000000"/>
              <w:left w:val="single" w:sz="6" w:space="0" w:color="000000"/>
              <w:bottom w:val="single" w:sz="6" w:space="0" w:color="000000"/>
              <w:right w:val="single" w:sz="6" w:space="0" w:color="000000"/>
            </w:tcBorders>
            <w:shd w:val="clear" w:color="auto" w:fill="297FD5" w:themeFill="accent3"/>
            <w:tcMar>
              <w:top w:w="30" w:type="dxa"/>
              <w:left w:w="75" w:type="dxa"/>
              <w:bottom w:w="30" w:type="dxa"/>
              <w:right w:w="75" w:type="dxa"/>
            </w:tcMar>
            <w:hideMark/>
          </w:tcPr>
          <w:p w14:paraId="608C21C7" w14:textId="77777777" w:rsidR="000A1933" w:rsidRPr="00A847B7" w:rsidRDefault="000A1933" w:rsidP="0084290F">
            <w:pPr>
              <w:spacing w:beforeAutospacing="1" w:after="100" w:afterAutospacing="1"/>
              <w:jc w:val="center"/>
              <w:rPr>
                <w:rFonts w:cstheme="minorHAnsi"/>
                <w:b/>
                <w:bCs/>
                <w:color w:val="FFFFFF" w:themeColor="background1"/>
                <w:sz w:val="22"/>
                <w:szCs w:val="22"/>
              </w:rPr>
            </w:pPr>
            <w:r w:rsidRPr="00A847B7">
              <w:rPr>
                <w:rFonts w:cstheme="minorHAnsi"/>
                <w:b/>
                <w:bCs/>
                <w:color w:val="FFFFFF" w:themeColor="background1"/>
                <w:sz w:val="22"/>
                <w:szCs w:val="22"/>
              </w:rPr>
              <w:t>Émissions de dioxyde de carbone</w:t>
            </w:r>
            <w:r w:rsidRPr="00A847B7">
              <w:rPr>
                <w:rFonts w:cstheme="minorHAnsi"/>
                <w:b/>
                <w:bCs/>
                <w:color w:val="FFFFFF" w:themeColor="background1"/>
                <w:sz w:val="22"/>
                <w:szCs w:val="22"/>
              </w:rPr>
              <w:br/>
              <w:t>(en grammes par kilomètre)</w:t>
            </w:r>
          </w:p>
        </w:tc>
        <w:tc>
          <w:tcPr>
            <w:tcW w:w="0" w:type="auto"/>
            <w:tcBorders>
              <w:top w:val="single" w:sz="6" w:space="0" w:color="000000"/>
              <w:left w:val="single" w:sz="6" w:space="0" w:color="000000"/>
              <w:bottom w:val="single" w:sz="6" w:space="0" w:color="000000"/>
              <w:right w:val="single" w:sz="6" w:space="0" w:color="000000"/>
            </w:tcBorders>
            <w:shd w:val="clear" w:color="auto" w:fill="297FD5" w:themeFill="accent3"/>
            <w:tcMar>
              <w:top w:w="30" w:type="dxa"/>
              <w:left w:w="75" w:type="dxa"/>
              <w:bottom w:w="30" w:type="dxa"/>
              <w:right w:w="75" w:type="dxa"/>
            </w:tcMar>
            <w:hideMark/>
          </w:tcPr>
          <w:p w14:paraId="7AF8C5AD" w14:textId="77777777" w:rsidR="000A1933" w:rsidRPr="00A847B7" w:rsidRDefault="000A1933" w:rsidP="0084290F">
            <w:pPr>
              <w:spacing w:beforeAutospacing="1" w:after="100" w:afterAutospacing="1"/>
              <w:jc w:val="center"/>
              <w:rPr>
                <w:rFonts w:cstheme="minorHAnsi"/>
                <w:b/>
                <w:bCs/>
                <w:color w:val="FFFFFF" w:themeColor="background1"/>
                <w:sz w:val="22"/>
                <w:szCs w:val="22"/>
              </w:rPr>
            </w:pPr>
            <w:r w:rsidRPr="00A847B7">
              <w:rPr>
                <w:rFonts w:cstheme="minorHAnsi"/>
                <w:b/>
                <w:bCs/>
                <w:color w:val="FFFFFF" w:themeColor="background1"/>
                <w:sz w:val="22"/>
                <w:szCs w:val="22"/>
              </w:rPr>
              <w:t>Tarif par véhicule</w:t>
            </w:r>
            <w:r w:rsidRPr="00A847B7">
              <w:rPr>
                <w:rFonts w:cstheme="minorHAnsi"/>
                <w:b/>
                <w:bCs/>
                <w:color w:val="FFFFFF" w:themeColor="background1"/>
                <w:sz w:val="22"/>
                <w:szCs w:val="22"/>
              </w:rPr>
              <w:br/>
              <w:t>(en euros)</w:t>
            </w:r>
          </w:p>
        </w:tc>
      </w:tr>
      <w:tr w:rsidR="000A1933" w:rsidRPr="00A847B7" w14:paraId="2C6524C8"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1190AFC" w14:textId="0431318A" w:rsidR="000A1933" w:rsidRPr="00A847B7" w:rsidRDefault="000A1933" w:rsidP="000A1933">
            <w:pPr>
              <w:spacing w:beforeAutospacing="1" w:after="100" w:afterAutospacing="1"/>
              <w:rPr>
                <w:rFonts w:cstheme="minorHAnsi"/>
              </w:rPr>
            </w:pPr>
            <w:r w:rsidRPr="00A847B7">
              <w:rPr>
                <w:rFonts w:cstheme="minorHAnsi"/>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8C75663" w14:textId="6DAB0824" w:rsidR="000A1933" w:rsidRPr="00A847B7" w:rsidRDefault="000A1933" w:rsidP="000A1933">
            <w:pPr>
              <w:spacing w:beforeAutospacing="1" w:after="100" w:afterAutospacing="1"/>
              <w:rPr>
                <w:rFonts w:cstheme="minorHAnsi"/>
              </w:rPr>
            </w:pPr>
            <w:r w:rsidRPr="00A847B7">
              <w:rPr>
                <w:rFonts w:cstheme="minorHAnsi"/>
              </w:rPr>
              <w:t>17</w:t>
            </w:r>
          </w:p>
        </w:tc>
      </w:tr>
      <w:tr w:rsidR="000A1933" w:rsidRPr="00A847B7" w14:paraId="47E69E25"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F40D291" w14:textId="6E462DB5" w:rsidR="000A1933" w:rsidRPr="00A847B7" w:rsidRDefault="000A1933" w:rsidP="000A1933">
            <w:pPr>
              <w:spacing w:beforeAutospacing="1" w:after="100" w:afterAutospacing="1"/>
              <w:rPr>
                <w:rFonts w:cstheme="minorHAnsi"/>
              </w:rPr>
            </w:pPr>
            <w:r w:rsidRPr="00A847B7">
              <w:rPr>
                <w:rFonts w:cstheme="minorHAnsi"/>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4DACA36" w14:textId="55644988" w:rsidR="000A1933" w:rsidRPr="00A847B7" w:rsidRDefault="000A1933" w:rsidP="000A1933">
            <w:pPr>
              <w:spacing w:beforeAutospacing="1" w:after="100" w:afterAutospacing="1"/>
              <w:rPr>
                <w:rFonts w:cstheme="minorHAnsi"/>
              </w:rPr>
            </w:pPr>
            <w:r w:rsidRPr="00A847B7">
              <w:rPr>
                <w:rFonts w:cstheme="minorHAnsi"/>
              </w:rPr>
              <w:t>18</w:t>
            </w:r>
          </w:p>
        </w:tc>
      </w:tr>
      <w:tr w:rsidR="000A1933" w:rsidRPr="00A847B7" w14:paraId="299A9948"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54DCD3A" w14:textId="155469E6" w:rsidR="000A1933" w:rsidRPr="00A847B7" w:rsidRDefault="000A1933" w:rsidP="000A1933">
            <w:pPr>
              <w:spacing w:beforeAutospacing="1" w:after="100" w:afterAutospacing="1"/>
              <w:rPr>
                <w:rFonts w:cstheme="minorHAnsi"/>
              </w:rPr>
            </w:pPr>
            <w:r w:rsidRPr="00A847B7">
              <w:rPr>
                <w:rFonts w:cstheme="minorHAnsi"/>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4C71777" w14:textId="0365DB60" w:rsidR="000A1933" w:rsidRPr="00A847B7" w:rsidRDefault="000A1933" w:rsidP="000A1933">
            <w:pPr>
              <w:spacing w:beforeAutospacing="1" w:after="100" w:afterAutospacing="1"/>
              <w:rPr>
                <w:rFonts w:cstheme="minorHAnsi"/>
              </w:rPr>
            </w:pPr>
            <w:r w:rsidRPr="00A847B7">
              <w:rPr>
                <w:rFonts w:cstheme="minorHAnsi"/>
              </w:rPr>
              <w:t>18</w:t>
            </w:r>
          </w:p>
        </w:tc>
      </w:tr>
      <w:tr w:rsidR="000A1933" w:rsidRPr="00A847B7" w14:paraId="46A4A250"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AF71C13" w14:textId="626F5AD1" w:rsidR="000A1933" w:rsidRPr="00A847B7" w:rsidRDefault="000A1933" w:rsidP="000A1933">
            <w:pPr>
              <w:spacing w:beforeAutospacing="1" w:after="100" w:afterAutospacing="1"/>
              <w:rPr>
                <w:rFonts w:cstheme="minorHAnsi"/>
              </w:rPr>
            </w:pPr>
            <w:r w:rsidRPr="00A847B7">
              <w:rPr>
                <w:rFonts w:cstheme="minorHAnsi"/>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4FCD23A" w14:textId="759D93BD" w:rsidR="000A1933" w:rsidRPr="00A847B7" w:rsidRDefault="000A1933" w:rsidP="000A1933">
            <w:pPr>
              <w:spacing w:beforeAutospacing="1" w:after="100" w:afterAutospacing="1"/>
              <w:rPr>
                <w:rFonts w:cstheme="minorHAnsi"/>
              </w:rPr>
            </w:pPr>
            <w:r w:rsidRPr="00A847B7">
              <w:rPr>
                <w:rFonts w:cstheme="minorHAnsi"/>
              </w:rPr>
              <w:t>19</w:t>
            </w:r>
          </w:p>
        </w:tc>
      </w:tr>
      <w:tr w:rsidR="000A1933" w:rsidRPr="00A847B7" w14:paraId="53ABCF01"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4F3B373" w14:textId="64FC01F4" w:rsidR="000A1933" w:rsidRPr="00A847B7" w:rsidRDefault="000A1933" w:rsidP="000A1933">
            <w:pPr>
              <w:spacing w:beforeAutospacing="1" w:after="100" w:afterAutospacing="1"/>
              <w:rPr>
                <w:rFonts w:cstheme="minorHAnsi"/>
              </w:rPr>
            </w:pPr>
            <w:r w:rsidRPr="00A847B7">
              <w:rPr>
                <w:rFonts w:cstheme="minorHAnsi"/>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4381B32" w14:textId="3939BDC2" w:rsidR="000A1933" w:rsidRPr="00A847B7" w:rsidRDefault="000A1933" w:rsidP="000A1933">
            <w:pPr>
              <w:spacing w:beforeAutospacing="1" w:after="100" w:afterAutospacing="1"/>
              <w:rPr>
                <w:rFonts w:cstheme="minorHAnsi"/>
              </w:rPr>
            </w:pPr>
            <w:r w:rsidRPr="00A847B7">
              <w:rPr>
                <w:rFonts w:cstheme="minorHAnsi"/>
              </w:rPr>
              <w:t>20</w:t>
            </w:r>
          </w:p>
        </w:tc>
      </w:tr>
      <w:tr w:rsidR="000A1933" w:rsidRPr="00A847B7" w14:paraId="56B29C9C"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13146FD" w14:textId="32E3DB69" w:rsidR="000A1933" w:rsidRPr="00A847B7" w:rsidRDefault="000A1933" w:rsidP="000A1933">
            <w:pPr>
              <w:spacing w:beforeAutospacing="1" w:after="100" w:afterAutospacing="1"/>
              <w:rPr>
                <w:rFonts w:cstheme="minorHAnsi"/>
              </w:rPr>
            </w:pPr>
            <w:r w:rsidRPr="00A847B7">
              <w:rPr>
                <w:rFonts w:cstheme="minorHAnsi"/>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A7D016B" w14:textId="77319E4E" w:rsidR="000A1933" w:rsidRPr="00A847B7" w:rsidRDefault="000A1933" w:rsidP="000A1933">
            <w:pPr>
              <w:spacing w:beforeAutospacing="1" w:after="100" w:afterAutospacing="1"/>
              <w:rPr>
                <w:rFonts w:cstheme="minorHAnsi"/>
              </w:rPr>
            </w:pPr>
            <w:r w:rsidRPr="00A847B7">
              <w:rPr>
                <w:rFonts w:cstheme="minorHAnsi"/>
              </w:rPr>
              <w:t>21</w:t>
            </w:r>
          </w:p>
        </w:tc>
      </w:tr>
      <w:tr w:rsidR="000A1933" w:rsidRPr="00A847B7" w14:paraId="6E1177D3"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D2EEDC8" w14:textId="6A6528F4" w:rsidR="000A1933" w:rsidRPr="00A847B7" w:rsidRDefault="000A1933" w:rsidP="000A1933">
            <w:pPr>
              <w:spacing w:beforeAutospacing="1" w:after="100" w:afterAutospacing="1"/>
              <w:rPr>
                <w:rFonts w:cstheme="minorHAnsi"/>
              </w:rPr>
            </w:pPr>
            <w:r w:rsidRPr="00A847B7">
              <w:rPr>
                <w:rFonts w:cstheme="minorHAnsi"/>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C64D4B8" w14:textId="45930694" w:rsidR="000A1933" w:rsidRPr="00A847B7" w:rsidRDefault="000A1933" w:rsidP="000A1933">
            <w:pPr>
              <w:spacing w:beforeAutospacing="1" w:after="100" w:afterAutospacing="1"/>
              <w:rPr>
                <w:rFonts w:cstheme="minorHAnsi"/>
              </w:rPr>
            </w:pPr>
            <w:r w:rsidRPr="00A847B7">
              <w:rPr>
                <w:rFonts w:cstheme="minorHAnsi"/>
              </w:rPr>
              <w:t>22</w:t>
            </w:r>
          </w:p>
        </w:tc>
      </w:tr>
      <w:tr w:rsidR="000A1933" w:rsidRPr="00A847B7" w14:paraId="655C08B1"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F2ECF71" w14:textId="45E1025D" w:rsidR="000A1933" w:rsidRPr="00A847B7" w:rsidRDefault="000A1933" w:rsidP="000A1933">
            <w:pPr>
              <w:spacing w:beforeAutospacing="1" w:after="100" w:afterAutospacing="1"/>
              <w:rPr>
                <w:rFonts w:cstheme="minorHAnsi"/>
              </w:rPr>
            </w:pPr>
            <w:r w:rsidRPr="00A847B7">
              <w:rPr>
                <w:rFonts w:cstheme="minorHAnsi"/>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1D8EA35" w14:textId="34703980" w:rsidR="000A1933" w:rsidRPr="00A847B7" w:rsidRDefault="000A1933" w:rsidP="000A1933">
            <w:pPr>
              <w:spacing w:beforeAutospacing="1" w:after="100" w:afterAutospacing="1"/>
              <w:rPr>
                <w:rFonts w:cstheme="minorHAnsi"/>
              </w:rPr>
            </w:pPr>
            <w:r w:rsidRPr="00A847B7">
              <w:rPr>
                <w:rFonts w:cstheme="minorHAnsi"/>
              </w:rPr>
              <w:t>22</w:t>
            </w:r>
          </w:p>
        </w:tc>
      </w:tr>
      <w:tr w:rsidR="000A1933" w:rsidRPr="00A847B7" w14:paraId="6CFFBD0F"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6C65734" w14:textId="64248EF0" w:rsidR="000A1933" w:rsidRPr="00A847B7" w:rsidRDefault="000A1933" w:rsidP="000A1933">
            <w:pPr>
              <w:spacing w:beforeAutospacing="1" w:after="100" w:afterAutospacing="1"/>
              <w:rPr>
                <w:rFonts w:cstheme="minorHAnsi"/>
              </w:rPr>
            </w:pPr>
            <w:r w:rsidRPr="00A847B7">
              <w:rPr>
                <w:rFonts w:cstheme="minorHAnsi"/>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20C24C1" w14:textId="505AC641" w:rsidR="000A1933" w:rsidRPr="00A847B7" w:rsidRDefault="000A1933" w:rsidP="000A1933">
            <w:pPr>
              <w:spacing w:beforeAutospacing="1" w:after="100" w:afterAutospacing="1"/>
              <w:rPr>
                <w:rFonts w:cstheme="minorHAnsi"/>
              </w:rPr>
            </w:pPr>
            <w:r w:rsidRPr="00A847B7">
              <w:rPr>
                <w:rFonts w:cstheme="minorHAnsi"/>
              </w:rPr>
              <w:t>23</w:t>
            </w:r>
          </w:p>
        </w:tc>
      </w:tr>
      <w:tr w:rsidR="000A1933" w:rsidRPr="00A847B7" w14:paraId="2DC5F9E7"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A04C942" w14:textId="698C6F44" w:rsidR="000A1933" w:rsidRPr="00A847B7" w:rsidRDefault="000A1933" w:rsidP="000A1933">
            <w:pPr>
              <w:spacing w:beforeAutospacing="1" w:after="100" w:afterAutospacing="1"/>
              <w:rPr>
                <w:rFonts w:cstheme="minorHAnsi"/>
              </w:rPr>
            </w:pPr>
            <w:r w:rsidRPr="00A847B7">
              <w:rPr>
                <w:rFonts w:cstheme="minorHAnsi"/>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4A9B688" w14:textId="457494E3" w:rsidR="000A1933" w:rsidRPr="00A847B7" w:rsidRDefault="000A1933" w:rsidP="000A1933">
            <w:pPr>
              <w:spacing w:beforeAutospacing="1" w:after="100" w:afterAutospacing="1"/>
              <w:rPr>
                <w:rFonts w:cstheme="minorHAnsi"/>
              </w:rPr>
            </w:pPr>
            <w:r w:rsidRPr="00A847B7">
              <w:rPr>
                <w:rFonts w:cstheme="minorHAnsi"/>
              </w:rPr>
              <w:t>24</w:t>
            </w:r>
          </w:p>
        </w:tc>
      </w:tr>
      <w:tr w:rsidR="000A1933" w:rsidRPr="00A847B7" w14:paraId="07FAC554"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F10F06E" w14:textId="4B957AFD" w:rsidR="000A1933" w:rsidRPr="00A847B7" w:rsidRDefault="000A1933" w:rsidP="000A1933">
            <w:pPr>
              <w:spacing w:beforeAutospacing="1" w:after="100" w:afterAutospacing="1"/>
              <w:rPr>
                <w:rFonts w:cstheme="minorHAnsi"/>
              </w:rPr>
            </w:pPr>
            <w:r w:rsidRPr="00A847B7">
              <w:rPr>
                <w:rFonts w:cstheme="minorHAnsi"/>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7E479CF" w14:textId="2480AA2C" w:rsidR="000A1933" w:rsidRPr="00A847B7" w:rsidRDefault="000A1933" w:rsidP="000A1933">
            <w:pPr>
              <w:spacing w:beforeAutospacing="1" w:after="100" w:afterAutospacing="1"/>
              <w:rPr>
                <w:rFonts w:cstheme="minorHAnsi"/>
              </w:rPr>
            </w:pPr>
            <w:r w:rsidRPr="00A847B7">
              <w:rPr>
                <w:rFonts w:cstheme="minorHAnsi"/>
              </w:rPr>
              <w:t>25</w:t>
            </w:r>
          </w:p>
        </w:tc>
      </w:tr>
      <w:tr w:rsidR="000A1933" w:rsidRPr="00A847B7" w14:paraId="7063908D"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A70E029" w14:textId="409C1C58" w:rsidR="000A1933" w:rsidRPr="00A847B7" w:rsidRDefault="000A1933" w:rsidP="000A1933">
            <w:pPr>
              <w:spacing w:beforeAutospacing="1" w:after="100" w:afterAutospacing="1"/>
              <w:rPr>
                <w:rFonts w:cstheme="minorHAnsi"/>
              </w:rPr>
            </w:pPr>
            <w:r w:rsidRPr="00A847B7">
              <w:rPr>
                <w:rFonts w:cstheme="minorHAnsi"/>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7546B06" w14:textId="770D2E6D" w:rsidR="000A1933" w:rsidRPr="00A847B7" w:rsidRDefault="000A1933" w:rsidP="000A1933">
            <w:pPr>
              <w:spacing w:beforeAutospacing="1" w:after="100" w:afterAutospacing="1"/>
              <w:rPr>
                <w:rFonts w:cstheme="minorHAnsi"/>
              </w:rPr>
            </w:pPr>
            <w:r w:rsidRPr="00A847B7">
              <w:rPr>
                <w:rFonts w:cstheme="minorHAnsi"/>
              </w:rPr>
              <w:t>26</w:t>
            </w:r>
          </w:p>
        </w:tc>
      </w:tr>
      <w:tr w:rsidR="000A1933" w:rsidRPr="00A847B7" w14:paraId="610021EF"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6AD5687" w14:textId="3FF82D0B" w:rsidR="000A1933" w:rsidRPr="00A847B7" w:rsidRDefault="000A1933" w:rsidP="000A1933">
            <w:pPr>
              <w:spacing w:beforeAutospacing="1" w:after="100" w:afterAutospacing="1"/>
              <w:rPr>
                <w:rFonts w:cstheme="minorHAnsi"/>
              </w:rPr>
            </w:pPr>
            <w:r w:rsidRPr="00A847B7">
              <w:rPr>
                <w:rFonts w:cstheme="minorHAnsi"/>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2DD42B3" w14:textId="4FBB00A3" w:rsidR="000A1933" w:rsidRPr="00A847B7" w:rsidRDefault="000A1933" w:rsidP="000A1933">
            <w:pPr>
              <w:spacing w:beforeAutospacing="1" w:after="100" w:afterAutospacing="1"/>
              <w:rPr>
                <w:rFonts w:cstheme="minorHAnsi"/>
              </w:rPr>
            </w:pPr>
            <w:r w:rsidRPr="00A847B7">
              <w:rPr>
                <w:rFonts w:cstheme="minorHAnsi"/>
              </w:rPr>
              <w:t>26</w:t>
            </w:r>
          </w:p>
        </w:tc>
      </w:tr>
      <w:tr w:rsidR="000A1933" w:rsidRPr="00A847B7" w14:paraId="47FBEF28"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D22BE4A" w14:textId="2EE4C701" w:rsidR="000A1933" w:rsidRPr="00A847B7" w:rsidRDefault="000A1933" w:rsidP="000A1933">
            <w:pPr>
              <w:spacing w:beforeAutospacing="1" w:after="100" w:afterAutospacing="1"/>
              <w:rPr>
                <w:rFonts w:cstheme="minorHAnsi"/>
              </w:rPr>
            </w:pPr>
            <w:r w:rsidRPr="00A847B7">
              <w:rPr>
                <w:rFonts w:cstheme="minorHAnsi"/>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8EB0F60" w14:textId="54143C90" w:rsidR="000A1933" w:rsidRPr="00A847B7" w:rsidRDefault="000A1933" w:rsidP="000A1933">
            <w:pPr>
              <w:spacing w:beforeAutospacing="1" w:after="100" w:afterAutospacing="1"/>
              <w:rPr>
                <w:rFonts w:cstheme="minorHAnsi"/>
              </w:rPr>
            </w:pPr>
            <w:r w:rsidRPr="00A847B7">
              <w:rPr>
                <w:rFonts w:cstheme="minorHAnsi"/>
              </w:rPr>
              <w:t>27</w:t>
            </w:r>
          </w:p>
        </w:tc>
      </w:tr>
      <w:tr w:rsidR="000A1933" w:rsidRPr="00A847B7" w14:paraId="4B036321"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712A7ED" w14:textId="19B33A32" w:rsidR="000A1933" w:rsidRPr="00A847B7" w:rsidRDefault="000A1933" w:rsidP="000A1933">
            <w:pPr>
              <w:spacing w:beforeAutospacing="1" w:after="100" w:afterAutospacing="1"/>
              <w:rPr>
                <w:rFonts w:cstheme="minorHAnsi"/>
              </w:rPr>
            </w:pPr>
            <w:r w:rsidRPr="00A847B7">
              <w:rPr>
                <w:rFonts w:cstheme="minorHAnsi"/>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1C0F323" w14:textId="276447DD" w:rsidR="000A1933" w:rsidRPr="00A847B7" w:rsidRDefault="000A1933" w:rsidP="000A1933">
            <w:pPr>
              <w:spacing w:beforeAutospacing="1" w:after="100" w:afterAutospacing="1"/>
              <w:rPr>
                <w:rFonts w:cstheme="minorHAnsi"/>
              </w:rPr>
            </w:pPr>
            <w:r w:rsidRPr="00A847B7">
              <w:rPr>
                <w:rFonts w:cstheme="minorHAnsi"/>
              </w:rPr>
              <w:t>28</w:t>
            </w:r>
          </w:p>
        </w:tc>
      </w:tr>
      <w:tr w:rsidR="000A1933" w:rsidRPr="00A847B7" w14:paraId="3B097ABD"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BFEBD48" w14:textId="0BCC58EC" w:rsidR="000A1933" w:rsidRPr="00A847B7" w:rsidRDefault="000A1933" w:rsidP="000A1933">
            <w:pPr>
              <w:spacing w:beforeAutospacing="1" w:after="100" w:afterAutospacing="1"/>
              <w:rPr>
                <w:rFonts w:cstheme="minorHAnsi"/>
              </w:rPr>
            </w:pPr>
            <w:r w:rsidRPr="00A847B7">
              <w:rPr>
                <w:rFonts w:cstheme="minorHAnsi"/>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6B05A42" w14:textId="4D25C42C" w:rsidR="000A1933" w:rsidRPr="00A847B7" w:rsidRDefault="000A1933" w:rsidP="000A1933">
            <w:pPr>
              <w:spacing w:beforeAutospacing="1" w:after="100" w:afterAutospacing="1"/>
              <w:rPr>
                <w:rFonts w:cstheme="minorHAnsi"/>
              </w:rPr>
            </w:pPr>
            <w:r w:rsidRPr="00A847B7">
              <w:rPr>
                <w:rFonts w:cstheme="minorHAnsi"/>
              </w:rPr>
              <w:t>29</w:t>
            </w:r>
          </w:p>
        </w:tc>
      </w:tr>
      <w:tr w:rsidR="000A1933" w:rsidRPr="00A847B7" w14:paraId="2F6D9890"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5B66878" w14:textId="397C1786" w:rsidR="000A1933" w:rsidRPr="00A847B7" w:rsidRDefault="000A1933" w:rsidP="000A1933">
            <w:pPr>
              <w:spacing w:beforeAutospacing="1" w:after="100" w:afterAutospacing="1"/>
              <w:rPr>
                <w:rFonts w:cstheme="minorHAnsi"/>
              </w:rPr>
            </w:pPr>
            <w:r w:rsidRPr="00A847B7">
              <w:rPr>
                <w:rFonts w:cstheme="minorHAnsi"/>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1D2AC31" w14:textId="3CE3B27D" w:rsidR="000A1933" w:rsidRPr="00A847B7" w:rsidRDefault="000A1933" w:rsidP="000A1933">
            <w:pPr>
              <w:spacing w:beforeAutospacing="1" w:after="100" w:afterAutospacing="1"/>
              <w:rPr>
                <w:rFonts w:cstheme="minorHAnsi"/>
              </w:rPr>
            </w:pPr>
            <w:r w:rsidRPr="00A847B7">
              <w:rPr>
                <w:rFonts w:cstheme="minorHAnsi"/>
              </w:rPr>
              <w:t>30</w:t>
            </w:r>
          </w:p>
        </w:tc>
      </w:tr>
      <w:tr w:rsidR="000A1933" w:rsidRPr="00A847B7" w14:paraId="65924DE1"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A829E96" w14:textId="689F3596" w:rsidR="000A1933" w:rsidRPr="00A847B7" w:rsidRDefault="000A1933" w:rsidP="000A1933">
            <w:pPr>
              <w:spacing w:beforeAutospacing="1" w:after="100" w:afterAutospacing="1"/>
              <w:rPr>
                <w:rFonts w:cstheme="minorHAnsi"/>
              </w:rPr>
            </w:pPr>
            <w:r w:rsidRPr="00A847B7">
              <w:rPr>
                <w:rFonts w:cstheme="minorHAnsi"/>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00AA4E7" w14:textId="06432B79" w:rsidR="000A1933" w:rsidRPr="00A847B7" w:rsidRDefault="000A1933" w:rsidP="000A1933">
            <w:pPr>
              <w:spacing w:beforeAutospacing="1" w:after="100" w:afterAutospacing="1"/>
              <w:rPr>
                <w:rFonts w:cstheme="minorHAnsi"/>
              </w:rPr>
            </w:pPr>
            <w:r w:rsidRPr="00A847B7">
              <w:rPr>
                <w:rFonts w:cstheme="minorHAnsi"/>
              </w:rPr>
              <w:t>30</w:t>
            </w:r>
          </w:p>
        </w:tc>
      </w:tr>
      <w:tr w:rsidR="000A1933" w:rsidRPr="00A847B7" w14:paraId="0D3E9E60"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8C2AD45" w14:textId="3ED7A764" w:rsidR="000A1933" w:rsidRPr="00A847B7" w:rsidRDefault="000A1933" w:rsidP="000A1933">
            <w:pPr>
              <w:spacing w:beforeAutospacing="1" w:after="100" w:afterAutospacing="1"/>
              <w:rPr>
                <w:rFonts w:cstheme="minorHAnsi"/>
              </w:rPr>
            </w:pPr>
            <w:r w:rsidRPr="00A847B7">
              <w:rPr>
                <w:rFonts w:cstheme="minorHAnsi"/>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F7E0590" w14:textId="59E76E10" w:rsidR="000A1933" w:rsidRPr="00A847B7" w:rsidRDefault="000A1933" w:rsidP="000A1933">
            <w:pPr>
              <w:spacing w:beforeAutospacing="1" w:after="100" w:afterAutospacing="1"/>
              <w:rPr>
                <w:rFonts w:cstheme="minorHAnsi"/>
              </w:rPr>
            </w:pPr>
            <w:r w:rsidRPr="00A847B7">
              <w:rPr>
                <w:rFonts w:cstheme="minorHAnsi"/>
              </w:rPr>
              <w:t>31</w:t>
            </w:r>
          </w:p>
        </w:tc>
      </w:tr>
      <w:tr w:rsidR="000A1933" w:rsidRPr="00A847B7" w14:paraId="4A02F6F1"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64E815F" w14:textId="723D7061" w:rsidR="000A1933" w:rsidRPr="00A847B7" w:rsidRDefault="000A1933" w:rsidP="000A1933">
            <w:pPr>
              <w:spacing w:beforeAutospacing="1" w:after="100" w:afterAutospacing="1"/>
              <w:rPr>
                <w:rFonts w:cstheme="minorHAnsi"/>
              </w:rPr>
            </w:pPr>
            <w:r w:rsidRPr="00A847B7">
              <w:rPr>
                <w:rFonts w:cstheme="minorHAnsi"/>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CC5F1B3" w14:textId="1E7642FE" w:rsidR="000A1933" w:rsidRPr="00A847B7" w:rsidRDefault="000A1933" w:rsidP="000A1933">
            <w:pPr>
              <w:spacing w:beforeAutospacing="1" w:after="100" w:afterAutospacing="1"/>
              <w:rPr>
                <w:rFonts w:cstheme="minorHAnsi"/>
              </w:rPr>
            </w:pPr>
            <w:r w:rsidRPr="00A847B7">
              <w:rPr>
                <w:rFonts w:cstheme="minorHAnsi"/>
              </w:rPr>
              <w:t>32</w:t>
            </w:r>
          </w:p>
        </w:tc>
      </w:tr>
      <w:tr w:rsidR="000A1933" w:rsidRPr="00A847B7" w14:paraId="42DD4882"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EC867E5" w14:textId="3A0D3D43" w:rsidR="000A1933" w:rsidRPr="00A847B7" w:rsidRDefault="000A1933" w:rsidP="000A1933">
            <w:pPr>
              <w:spacing w:beforeAutospacing="1" w:after="100" w:afterAutospacing="1"/>
              <w:rPr>
                <w:rFonts w:cstheme="minorHAnsi"/>
              </w:rPr>
            </w:pPr>
            <w:r w:rsidRPr="00A847B7">
              <w:rPr>
                <w:rFonts w:cstheme="minorHAnsi"/>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946AF0F" w14:textId="39F4C252" w:rsidR="000A1933" w:rsidRPr="00A847B7" w:rsidRDefault="000A1933" w:rsidP="000A1933">
            <w:pPr>
              <w:spacing w:beforeAutospacing="1" w:after="100" w:afterAutospacing="1"/>
              <w:rPr>
                <w:rFonts w:cstheme="minorHAnsi"/>
              </w:rPr>
            </w:pPr>
            <w:r w:rsidRPr="00A847B7">
              <w:rPr>
                <w:rFonts w:cstheme="minorHAnsi"/>
              </w:rPr>
              <w:t>33</w:t>
            </w:r>
          </w:p>
        </w:tc>
      </w:tr>
      <w:tr w:rsidR="000A1933" w:rsidRPr="00A847B7" w14:paraId="2D3F2586"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E33775F" w14:textId="28F40F47" w:rsidR="000A1933" w:rsidRPr="00A847B7" w:rsidRDefault="000A1933" w:rsidP="000A1933">
            <w:pPr>
              <w:spacing w:beforeAutospacing="1" w:after="100" w:afterAutospacing="1"/>
              <w:rPr>
                <w:rFonts w:cstheme="minorHAnsi"/>
              </w:rPr>
            </w:pPr>
            <w:r w:rsidRPr="00A847B7">
              <w:rPr>
                <w:rFonts w:cstheme="minorHAnsi"/>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77750AD" w14:textId="7DCF9888" w:rsidR="000A1933" w:rsidRPr="00A847B7" w:rsidRDefault="000A1933" w:rsidP="000A1933">
            <w:pPr>
              <w:spacing w:beforeAutospacing="1" w:after="100" w:afterAutospacing="1"/>
              <w:rPr>
                <w:rFonts w:cstheme="minorHAnsi"/>
              </w:rPr>
            </w:pPr>
            <w:r w:rsidRPr="00A847B7">
              <w:rPr>
                <w:rFonts w:cstheme="minorHAnsi"/>
              </w:rPr>
              <w:t>34</w:t>
            </w:r>
          </w:p>
        </w:tc>
      </w:tr>
      <w:tr w:rsidR="000A1933" w:rsidRPr="00A847B7" w14:paraId="509A58A5"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A8F5088" w14:textId="35FAEBC3" w:rsidR="000A1933" w:rsidRPr="00A847B7" w:rsidRDefault="000A1933" w:rsidP="000A1933">
            <w:pPr>
              <w:spacing w:beforeAutospacing="1" w:after="100" w:afterAutospacing="1"/>
              <w:rPr>
                <w:rFonts w:cstheme="minorHAnsi"/>
              </w:rPr>
            </w:pPr>
            <w:r w:rsidRPr="00A847B7">
              <w:rPr>
                <w:rFonts w:cstheme="minorHAnsi"/>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7115CDB" w14:textId="201B83F5" w:rsidR="000A1933" w:rsidRPr="00A847B7" w:rsidRDefault="000A1933" w:rsidP="000A1933">
            <w:pPr>
              <w:spacing w:beforeAutospacing="1" w:after="100" w:afterAutospacing="1"/>
              <w:rPr>
                <w:rFonts w:cstheme="minorHAnsi"/>
              </w:rPr>
            </w:pPr>
            <w:r w:rsidRPr="00A847B7">
              <w:rPr>
                <w:rFonts w:cstheme="minorHAnsi"/>
              </w:rPr>
              <w:t>34</w:t>
            </w:r>
          </w:p>
        </w:tc>
      </w:tr>
      <w:tr w:rsidR="000A1933" w:rsidRPr="00A847B7" w14:paraId="416DF5C5"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C478B7B" w14:textId="763370ED" w:rsidR="000A1933" w:rsidRPr="00A847B7" w:rsidRDefault="000A1933" w:rsidP="000A1933">
            <w:pPr>
              <w:spacing w:beforeAutospacing="1" w:after="100" w:afterAutospacing="1"/>
              <w:rPr>
                <w:rFonts w:cstheme="minorHAnsi"/>
              </w:rPr>
            </w:pPr>
            <w:r w:rsidRPr="00A847B7">
              <w:rPr>
                <w:rFonts w:cstheme="minorHAnsi"/>
              </w:rP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FBEC9D8" w14:textId="5AA20CDE" w:rsidR="000A1933" w:rsidRPr="00A847B7" w:rsidRDefault="000A1933" w:rsidP="000A1933">
            <w:pPr>
              <w:spacing w:beforeAutospacing="1" w:after="100" w:afterAutospacing="1"/>
              <w:rPr>
                <w:rFonts w:cstheme="minorHAnsi"/>
              </w:rPr>
            </w:pPr>
            <w:r w:rsidRPr="00A847B7">
              <w:rPr>
                <w:rFonts w:cstheme="minorHAnsi"/>
              </w:rPr>
              <w:t>35</w:t>
            </w:r>
          </w:p>
        </w:tc>
      </w:tr>
      <w:tr w:rsidR="000A1933" w:rsidRPr="00A847B7" w14:paraId="7653807C"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27A6760" w14:textId="2E80332D" w:rsidR="000A1933" w:rsidRPr="00A847B7" w:rsidRDefault="000A1933" w:rsidP="000A1933">
            <w:pPr>
              <w:spacing w:beforeAutospacing="1" w:after="100" w:afterAutospacing="1"/>
              <w:rPr>
                <w:rFonts w:cstheme="minorHAnsi"/>
              </w:rPr>
            </w:pPr>
            <w:r w:rsidRPr="00A847B7">
              <w:rPr>
                <w:rFonts w:cstheme="minorHAnsi"/>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CDC9B6E" w14:textId="15D489B3" w:rsidR="000A1933" w:rsidRPr="00A847B7" w:rsidRDefault="000A1933" w:rsidP="000A1933">
            <w:pPr>
              <w:spacing w:beforeAutospacing="1" w:after="100" w:afterAutospacing="1"/>
              <w:rPr>
                <w:rFonts w:cstheme="minorHAnsi"/>
              </w:rPr>
            </w:pPr>
            <w:r w:rsidRPr="00A847B7">
              <w:rPr>
                <w:rFonts w:cstheme="minorHAnsi"/>
              </w:rPr>
              <w:t>36</w:t>
            </w:r>
          </w:p>
        </w:tc>
      </w:tr>
      <w:tr w:rsidR="000A1933" w:rsidRPr="00A847B7" w14:paraId="626EDFA8"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C7518EB" w14:textId="07382197" w:rsidR="000A1933" w:rsidRPr="00A847B7" w:rsidRDefault="000A1933" w:rsidP="000A1933">
            <w:pPr>
              <w:spacing w:beforeAutospacing="1" w:after="100" w:afterAutospacing="1"/>
              <w:rPr>
                <w:rFonts w:cstheme="minorHAnsi"/>
              </w:rPr>
            </w:pPr>
            <w:r w:rsidRPr="00A847B7">
              <w:rPr>
                <w:rFonts w:cstheme="minorHAnsi"/>
              </w:rP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349E396" w14:textId="15B364D5" w:rsidR="000A1933" w:rsidRPr="00A847B7" w:rsidRDefault="000A1933" w:rsidP="000A1933">
            <w:pPr>
              <w:spacing w:beforeAutospacing="1" w:after="100" w:afterAutospacing="1"/>
              <w:rPr>
                <w:rFonts w:cstheme="minorHAnsi"/>
              </w:rPr>
            </w:pPr>
            <w:r w:rsidRPr="00A847B7">
              <w:rPr>
                <w:rFonts w:cstheme="minorHAnsi"/>
              </w:rPr>
              <w:t>37</w:t>
            </w:r>
          </w:p>
        </w:tc>
      </w:tr>
      <w:tr w:rsidR="000A1933" w:rsidRPr="00A847B7" w14:paraId="378007CC"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2870AEB" w14:textId="0F6D41F9" w:rsidR="000A1933" w:rsidRPr="00A847B7" w:rsidRDefault="000A1933" w:rsidP="000A1933">
            <w:pPr>
              <w:spacing w:beforeAutospacing="1" w:after="100" w:afterAutospacing="1"/>
              <w:rPr>
                <w:rFonts w:cstheme="minorHAnsi"/>
              </w:rPr>
            </w:pPr>
            <w:r w:rsidRPr="00A847B7">
              <w:rPr>
                <w:rFonts w:cstheme="minorHAnsi"/>
              </w:rP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1BABFE0" w14:textId="1E2FF9D3" w:rsidR="000A1933" w:rsidRPr="00A847B7" w:rsidRDefault="000A1933" w:rsidP="000A1933">
            <w:pPr>
              <w:spacing w:beforeAutospacing="1" w:after="100" w:afterAutospacing="1"/>
              <w:rPr>
                <w:rFonts w:cstheme="minorHAnsi"/>
              </w:rPr>
            </w:pPr>
            <w:r w:rsidRPr="00A847B7">
              <w:rPr>
                <w:rFonts w:cstheme="minorHAnsi"/>
              </w:rPr>
              <w:t>38</w:t>
            </w:r>
          </w:p>
        </w:tc>
      </w:tr>
      <w:tr w:rsidR="000A1933" w:rsidRPr="00A847B7" w14:paraId="0C6B42A0"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5B7DDEC" w14:textId="6D88B60F" w:rsidR="000A1933" w:rsidRPr="00A847B7" w:rsidRDefault="000A1933" w:rsidP="000A1933">
            <w:pPr>
              <w:spacing w:beforeAutospacing="1" w:after="100" w:afterAutospacing="1"/>
              <w:rPr>
                <w:rFonts w:cstheme="minorHAnsi"/>
              </w:rPr>
            </w:pPr>
            <w:r w:rsidRPr="00A847B7">
              <w:rPr>
                <w:rFonts w:cstheme="minorHAnsi"/>
              </w:rP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9C98525" w14:textId="318FE134" w:rsidR="000A1933" w:rsidRPr="00A847B7" w:rsidRDefault="000A1933" w:rsidP="000A1933">
            <w:pPr>
              <w:spacing w:beforeAutospacing="1" w:after="100" w:afterAutospacing="1"/>
              <w:rPr>
                <w:rFonts w:cstheme="minorHAnsi"/>
              </w:rPr>
            </w:pPr>
            <w:r w:rsidRPr="00A847B7">
              <w:rPr>
                <w:rFonts w:cstheme="minorHAnsi"/>
              </w:rPr>
              <w:t>38</w:t>
            </w:r>
          </w:p>
        </w:tc>
      </w:tr>
      <w:tr w:rsidR="000A1933" w:rsidRPr="00A847B7" w14:paraId="7DF0FF3A"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9E7B2D9" w14:textId="30BD5E07" w:rsidR="000A1933" w:rsidRPr="00A847B7" w:rsidRDefault="000A1933" w:rsidP="000A1933">
            <w:pPr>
              <w:spacing w:beforeAutospacing="1" w:after="100" w:afterAutospacing="1"/>
              <w:rPr>
                <w:rFonts w:cstheme="minorHAnsi"/>
              </w:rPr>
            </w:pPr>
            <w:r w:rsidRPr="00A847B7">
              <w:rPr>
                <w:rFonts w:cstheme="minorHAnsi"/>
              </w:rP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8C4D437" w14:textId="77BF61A7" w:rsidR="000A1933" w:rsidRPr="00A847B7" w:rsidRDefault="000A1933" w:rsidP="000A1933">
            <w:pPr>
              <w:spacing w:beforeAutospacing="1" w:after="100" w:afterAutospacing="1"/>
              <w:rPr>
                <w:rFonts w:cstheme="minorHAnsi"/>
              </w:rPr>
            </w:pPr>
            <w:r w:rsidRPr="00A847B7">
              <w:rPr>
                <w:rFonts w:cstheme="minorHAnsi"/>
              </w:rPr>
              <w:t>39</w:t>
            </w:r>
          </w:p>
        </w:tc>
      </w:tr>
      <w:tr w:rsidR="000A1933" w:rsidRPr="00A847B7" w14:paraId="327321B7"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17C4AFC" w14:textId="6BCD00B1" w:rsidR="000A1933" w:rsidRPr="00A847B7" w:rsidRDefault="000A1933" w:rsidP="000A1933">
            <w:pPr>
              <w:spacing w:beforeAutospacing="1" w:after="100" w:afterAutospacing="1"/>
              <w:rPr>
                <w:rFonts w:cstheme="minorHAnsi"/>
              </w:rPr>
            </w:pPr>
            <w:r w:rsidRPr="00A847B7">
              <w:rPr>
                <w:rFonts w:cstheme="minorHAnsi"/>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8556337" w14:textId="041234BD" w:rsidR="000A1933" w:rsidRPr="00A847B7" w:rsidRDefault="000A1933" w:rsidP="000A1933">
            <w:pPr>
              <w:spacing w:beforeAutospacing="1" w:after="100" w:afterAutospacing="1"/>
              <w:rPr>
                <w:rFonts w:cstheme="minorHAnsi"/>
              </w:rPr>
            </w:pPr>
            <w:r w:rsidRPr="00A847B7">
              <w:rPr>
                <w:rFonts w:cstheme="minorHAnsi"/>
              </w:rPr>
              <w:t>40</w:t>
            </w:r>
          </w:p>
        </w:tc>
      </w:tr>
      <w:tr w:rsidR="000A1933" w:rsidRPr="00A847B7" w14:paraId="6FA1AED6"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5E1444C" w14:textId="32A07173" w:rsidR="000A1933" w:rsidRPr="00A847B7" w:rsidRDefault="000A1933" w:rsidP="000A1933">
            <w:pPr>
              <w:spacing w:beforeAutospacing="1" w:after="100" w:afterAutospacing="1"/>
              <w:rPr>
                <w:rFonts w:cstheme="minorHAnsi"/>
              </w:rPr>
            </w:pPr>
            <w:r w:rsidRPr="00A847B7">
              <w:rPr>
                <w:rFonts w:cstheme="minorHAnsi"/>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E05D0C8" w14:textId="497DEDE2" w:rsidR="000A1933" w:rsidRPr="00A847B7" w:rsidRDefault="000A1933" w:rsidP="000A1933">
            <w:pPr>
              <w:spacing w:beforeAutospacing="1" w:after="100" w:afterAutospacing="1"/>
              <w:rPr>
                <w:rFonts w:cstheme="minorHAnsi"/>
              </w:rPr>
            </w:pPr>
            <w:r w:rsidRPr="00A847B7">
              <w:rPr>
                <w:rFonts w:cstheme="minorHAnsi"/>
              </w:rPr>
              <w:t>41</w:t>
            </w:r>
          </w:p>
        </w:tc>
      </w:tr>
      <w:tr w:rsidR="000A1933" w:rsidRPr="00A847B7" w14:paraId="73FCC948"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8BD3271" w14:textId="502D1906" w:rsidR="000A1933" w:rsidRPr="00A847B7" w:rsidRDefault="000A1933" w:rsidP="000A1933">
            <w:pPr>
              <w:spacing w:beforeAutospacing="1" w:after="100" w:afterAutospacing="1"/>
              <w:rPr>
                <w:rFonts w:cstheme="minorHAnsi"/>
              </w:rPr>
            </w:pPr>
            <w:r w:rsidRPr="00A847B7">
              <w:rPr>
                <w:rFonts w:cstheme="minorHAnsi"/>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D44E5B3" w14:textId="7F1BCBEB" w:rsidR="000A1933" w:rsidRPr="00A847B7" w:rsidRDefault="000A1933" w:rsidP="000A1933">
            <w:pPr>
              <w:spacing w:beforeAutospacing="1" w:after="100" w:afterAutospacing="1"/>
              <w:rPr>
                <w:rFonts w:cstheme="minorHAnsi"/>
              </w:rPr>
            </w:pPr>
            <w:r w:rsidRPr="00A847B7">
              <w:rPr>
                <w:rFonts w:cstheme="minorHAnsi"/>
              </w:rPr>
              <w:t>42</w:t>
            </w:r>
          </w:p>
        </w:tc>
      </w:tr>
      <w:tr w:rsidR="000A1933" w:rsidRPr="00A847B7" w14:paraId="18E667D9"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3C2B61C" w14:textId="6D25E99F" w:rsidR="000A1933" w:rsidRPr="00A847B7" w:rsidRDefault="000A1933" w:rsidP="000A1933">
            <w:pPr>
              <w:spacing w:beforeAutospacing="1" w:after="100" w:afterAutospacing="1"/>
              <w:rPr>
                <w:rFonts w:cstheme="minorHAnsi"/>
              </w:rPr>
            </w:pPr>
            <w:r w:rsidRPr="00A847B7">
              <w:rPr>
                <w:rFonts w:cstheme="minorHAnsi"/>
              </w:rPr>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FD119D4" w14:textId="686AE7E3" w:rsidR="000A1933" w:rsidRPr="00A847B7" w:rsidRDefault="000A1933" w:rsidP="000A1933">
            <w:pPr>
              <w:spacing w:beforeAutospacing="1" w:after="100" w:afterAutospacing="1"/>
              <w:rPr>
                <w:rFonts w:cstheme="minorHAnsi"/>
              </w:rPr>
            </w:pPr>
            <w:r w:rsidRPr="00A847B7">
              <w:rPr>
                <w:rFonts w:cstheme="minorHAnsi"/>
              </w:rPr>
              <w:t>42</w:t>
            </w:r>
          </w:p>
        </w:tc>
      </w:tr>
      <w:tr w:rsidR="000A1933" w:rsidRPr="00A847B7" w14:paraId="176F712E"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A2AB9DC" w14:textId="62806EEC" w:rsidR="000A1933" w:rsidRPr="00A847B7" w:rsidRDefault="000A1933" w:rsidP="000A1933">
            <w:pPr>
              <w:spacing w:beforeAutospacing="1" w:after="100" w:afterAutospacing="1"/>
              <w:rPr>
                <w:rFonts w:cstheme="minorHAnsi"/>
              </w:rPr>
            </w:pPr>
            <w:r w:rsidRPr="00A847B7">
              <w:rPr>
                <w:rFonts w:cstheme="minorHAnsi"/>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4291872" w14:textId="684ED07F" w:rsidR="000A1933" w:rsidRPr="00A847B7" w:rsidRDefault="000A1933" w:rsidP="000A1933">
            <w:pPr>
              <w:spacing w:beforeAutospacing="1" w:after="100" w:afterAutospacing="1"/>
              <w:rPr>
                <w:rFonts w:cstheme="minorHAnsi"/>
              </w:rPr>
            </w:pPr>
            <w:r w:rsidRPr="00A847B7">
              <w:rPr>
                <w:rFonts w:cstheme="minorHAnsi"/>
              </w:rPr>
              <w:t>43</w:t>
            </w:r>
          </w:p>
        </w:tc>
      </w:tr>
      <w:tr w:rsidR="000A1933" w:rsidRPr="00A847B7" w14:paraId="77C345BD"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955A543" w14:textId="742C3ECE" w:rsidR="000A1933" w:rsidRPr="00A847B7" w:rsidRDefault="000A1933" w:rsidP="000A1933">
            <w:pPr>
              <w:spacing w:beforeAutospacing="1" w:after="100" w:afterAutospacing="1"/>
              <w:rPr>
                <w:rFonts w:cstheme="minorHAnsi"/>
              </w:rPr>
            </w:pPr>
            <w:r w:rsidRPr="00A847B7">
              <w:rPr>
                <w:rFonts w:cstheme="minorHAnsi"/>
              </w:rPr>
              <w:lastRenderedPageBreak/>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5B1D3FB" w14:textId="32A17A98" w:rsidR="000A1933" w:rsidRPr="00A847B7" w:rsidRDefault="000A1933" w:rsidP="000A1933">
            <w:pPr>
              <w:spacing w:beforeAutospacing="1" w:after="100" w:afterAutospacing="1"/>
              <w:rPr>
                <w:rFonts w:cstheme="minorHAnsi"/>
              </w:rPr>
            </w:pPr>
            <w:r w:rsidRPr="00A847B7">
              <w:rPr>
                <w:rFonts w:cstheme="minorHAnsi"/>
              </w:rPr>
              <w:t>44</w:t>
            </w:r>
          </w:p>
        </w:tc>
      </w:tr>
      <w:tr w:rsidR="000A1933" w:rsidRPr="00A847B7" w14:paraId="3F003744"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9575242" w14:textId="60725454" w:rsidR="000A1933" w:rsidRPr="00A847B7" w:rsidRDefault="000A1933" w:rsidP="000A1933">
            <w:pPr>
              <w:spacing w:beforeAutospacing="1" w:after="100" w:afterAutospacing="1"/>
              <w:rPr>
                <w:rFonts w:cstheme="minorHAnsi"/>
              </w:rPr>
            </w:pPr>
            <w:r w:rsidRPr="00A847B7">
              <w:rPr>
                <w:rFonts w:cstheme="minorHAnsi"/>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5FB6559" w14:textId="77E8E69E" w:rsidR="000A1933" w:rsidRPr="00A847B7" w:rsidRDefault="000A1933" w:rsidP="000A1933">
            <w:pPr>
              <w:spacing w:beforeAutospacing="1" w:after="100" w:afterAutospacing="1"/>
              <w:rPr>
                <w:rFonts w:cstheme="minorHAnsi"/>
              </w:rPr>
            </w:pPr>
            <w:r w:rsidRPr="00A847B7">
              <w:rPr>
                <w:rFonts w:cstheme="minorHAnsi"/>
              </w:rPr>
              <w:t>45</w:t>
            </w:r>
          </w:p>
        </w:tc>
      </w:tr>
      <w:tr w:rsidR="000A1933" w:rsidRPr="00A847B7" w14:paraId="5208D49B"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6550D6A" w14:textId="1D19FF26" w:rsidR="000A1933" w:rsidRPr="00A847B7" w:rsidRDefault="000A1933" w:rsidP="000A1933">
            <w:pPr>
              <w:spacing w:beforeAutospacing="1" w:after="100" w:afterAutospacing="1"/>
              <w:rPr>
                <w:rFonts w:cstheme="minorHAnsi"/>
              </w:rPr>
            </w:pPr>
            <w:r w:rsidRPr="00A847B7">
              <w:rPr>
                <w:rFonts w:cstheme="minorHAnsi"/>
              </w:rPr>
              <w:t>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7F04998" w14:textId="3CE42D97" w:rsidR="000A1933" w:rsidRPr="00A847B7" w:rsidRDefault="000A1933" w:rsidP="000A1933">
            <w:pPr>
              <w:spacing w:beforeAutospacing="1" w:after="100" w:afterAutospacing="1"/>
              <w:rPr>
                <w:rFonts w:cstheme="minorHAnsi"/>
              </w:rPr>
            </w:pPr>
            <w:r w:rsidRPr="00A847B7">
              <w:rPr>
                <w:rFonts w:cstheme="minorHAnsi"/>
              </w:rPr>
              <w:t>46</w:t>
            </w:r>
          </w:p>
        </w:tc>
      </w:tr>
      <w:tr w:rsidR="000A1933" w:rsidRPr="00A847B7" w14:paraId="6D8D73E2"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7D117EC" w14:textId="095E061C" w:rsidR="000A1933" w:rsidRPr="00A847B7" w:rsidRDefault="000A1933" w:rsidP="000A1933">
            <w:pPr>
              <w:spacing w:beforeAutospacing="1" w:after="100" w:afterAutospacing="1"/>
              <w:rPr>
                <w:rFonts w:cstheme="minorHAnsi"/>
              </w:rPr>
            </w:pPr>
            <w:r w:rsidRPr="00A847B7">
              <w:rPr>
                <w:rFonts w:cstheme="minorHAnsi"/>
              </w:rP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B8F9BDD" w14:textId="18B5CCCE" w:rsidR="000A1933" w:rsidRPr="00A847B7" w:rsidRDefault="000A1933" w:rsidP="000A1933">
            <w:pPr>
              <w:spacing w:beforeAutospacing="1" w:after="100" w:afterAutospacing="1"/>
              <w:rPr>
                <w:rFonts w:cstheme="minorHAnsi"/>
              </w:rPr>
            </w:pPr>
            <w:r w:rsidRPr="00A847B7">
              <w:rPr>
                <w:rFonts w:cstheme="minorHAnsi"/>
              </w:rPr>
              <w:t>46</w:t>
            </w:r>
          </w:p>
        </w:tc>
      </w:tr>
      <w:tr w:rsidR="000A1933" w:rsidRPr="00A847B7" w14:paraId="3B304496"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6A3896E" w14:textId="771D2793" w:rsidR="000A1933" w:rsidRPr="00A847B7" w:rsidRDefault="000A1933" w:rsidP="000A1933">
            <w:pPr>
              <w:spacing w:beforeAutospacing="1" w:after="100" w:afterAutospacing="1"/>
              <w:rPr>
                <w:rFonts w:cstheme="minorHAnsi"/>
              </w:rPr>
            </w:pPr>
            <w:r w:rsidRPr="00A847B7">
              <w:rPr>
                <w:rFonts w:cstheme="minorHAnsi"/>
              </w:rPr>
              <w:t>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ADC2332" w14:textId="117EB13D" w:rsidR="000A1933" w:rsidRPr="00A847B7" w:rsidRDefault="000A1933" w:rsidP="000A1933">
            <w:pPr>
              <w:spacing w:beforeAutospacing="1" w:after="100" w:afterAutospacing="1"/>
              <w:rPr>
                <w:rFonts w:cstheme="minorHAnsi"/>
              </w:rPr>
            </w:pPr>
            <w:r w:rsidRPr="00A847B7">
              <w:rPr>
                <w:rFonts w:cstheme="minorHAnsi"/>
              </w:rPr>
              <w:t>47</w:t>
            </w:r>
          </w:p>
        </w:tc>
      </w:tr>
      <w:tr w:rsidR="000A1933" w:rsidRPr="00A847B7" w14:paraId="52AD4790"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5C40050" w14:textId="34843694" w:rsidR="000A1933" w:rsidRPr="00A847B7" w:rsidRDefault="000A1933" w:rsidP="000A1933">
            <w:pPr>
              <w:spacing w:beforeAutospacing="1" w:after="100" w:afterAutospacing="1"/>
              <w:rPr>
                <w:rFonts w:cstheme="minorHAnsi"/>
              </w:rPr>
            </w:pPr>
            <w:r w:rsidRPr="00A847B7">
              <w:rPr>
                <w:rFonts w:cstheme="minorHAnsi"/>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B4CE464" w14:textId="44621FB1" w:rsidR="000A1933" w:rsidRPr="00A847B7" w:rsidRDefault="000A1933" w:rsidP="000A1933">
            <w:pPr>
              <w:spacing w:beforeAutospacing="1" w:after="100" w:afterAutospacing="1"/>
              <w:rPr>
                <w:rFonts w:cstheme="minorHAnsi"/>
              </w:rPr>
            </w:pPr>
            <w:r w:rsidRPr="00A847B7">
              <w:rPr>
                <w:rFonts w:cstheme="minorHAnsi"/>
              </w:rPr>
              <w:t>48</w:t>
            </w:r>
          </w:p>
        </w:tc>
      </w:tr>
      <w:tr w:rsidR="000A1933" w:rsidRPr="00A847B7" w14:paraId="7989D09A"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C9F4A9C" w14:textId="4F2E8F20" w:rsidR="000A1933" w:rsidRPr="00A847B7" w:rsidRDefault="000A1933" w:rsidP="000A1933">
            <w:pPr>
              <w:spacing w:beforeAutospacing="1" w:after="100" w:afterAutospacing="1"/>
              <w:rPr>
                <w:rFonts w:cstheme="minorHAnsi"/>
              </w:rPr>
            </w:pPr>
            <w:r w:rsidRPr="00A847B7">
              <w:rPr>
                <w:rFonts w:cstheme="minorHAnsi"/>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5FE20B4" w14:textId="03669B6D" w:rsidR="000A1933" w:rsidRPr="00A847B7" w:rsidRDefault="000A1933" w:rsidP="000A1933">
            <w:pPr>
              <w:spacing w:beforeAutospacing="1" w:after="100" w:afterAutospacing="1"/>
              <w:rPr>
                <w:rFonts w:cstheme="minorHAnsi"/>
              </w:rPr>
            </w:pPr>
            <w:r w:rsidRPr="00A847B7">
              <w:rPr>
                <w:rFonts w:cstheme="minorHAnsi"/>
              </w:rPr>
              <w:t>49</w:t>
            </w:r>
          </w:p>
        </w:tc>
      </w:tr>
      <w:tr w:rsidR="000A1933" w:rsidRPr="00A847B7" w14:paraId="396749B0"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714AD84" w14:textId="4835A3C7" w:rsidR="000A1933" w:rsidRPr="00A847B7" w:rsidRDefault="000A1933" w:rsidP="000A1933">
            <w:pPr>
              <w:spacing w:beforeAutospacing="1" w:after="100" w:afterAutospacing="1"/>
              <w:rPr>
                <w:rFonts w:cstheme="minorHAnsi"/>
              </w:rPr>
            </w:pPr>
            <w:r w:rsidRPr="00A847B7">
              <w:rPr>
                <w:rFonts w:cstheme="minorHAnsi"/>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F516750" w14:textId="12655B13" w:rsidR="000A1933" w:rsidRPr="00A847B7" w:rsidRDefault="000A1933" w:rsidP="000A1933">
            <w:pPr>
              <w:spacing w:beforeAutospacing="1" w:after="100" w:afterAutospacing="1"/>
              <w:rPr>
                <w:rFonts w:cstheme="minorHAnsi"/>
              </w:rPr>
            </w:pPr>
            <w:r w:rsidRPr="00A847B7">
              <w:rPr>
                <w:rFonts w:cstheme="minorHAnsi"/>
              </w:rPr>
              <w:t>50</w:t>
            </w:r>
          </w:p>
        </w:tc>
      </w:tr>
      <w:tr w:rsidR="000A1933" w:rsidRPr="00A847B7" w14:paraId="0CF0CDEA"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A82C4D8" w14:textId="4CD8EB60" w:rsidR="000A1933" w:rsidRPr="00A847B7" w:rsidRDefault="000A1933" w:rsidP="000A1933">
            <w:pPr>
              <w:spacing w:beforeAutospacing="1" w:after="100" w:afterAutospacing="1"/>
              <w:rPr>
                <w:rFonts w:cstheme="minorHAnsi"/>
              </w:rPr>
            </w:pPr>
            <w:r w:rsidRPr="00A847B7">
              <w:rPr>
                <w:rFonts w:cstheme="minorHAnsi"/>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5C67F7E" w14:textId="55639D66" w:rsidR="000A1933" w:rsidRPr="00A847B7" w:rsidRDefault="000A1933" w:rsidP="000A1933">
            <w:pPr>
              <w:spacing w:beforeAutospacing="1" w:after="100" w:afterAutospacing="1"/>
              <w:rPr>
                <w:rFonts w:cstheme="minorHAnsi"/>
              </w:rPr>
            </w:pPr>
            <w:r w:rsidRPr="00A847B7">
              <w:rPr>
                <w:rFonts w:cstheme="minorHAnsi"/>
              </w:rPr>
              <w:t>50</w:t>
            </w:r>
          </w:p>
        </w:tc>
      </w:tr>
      <w:tr w:rsidR="000A1933" w:rsidRPr="00A847B7" w14:paraId="554B43C7"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D184521" w14:textId="38CA92CC" w:rsidR="000A1933" w:rsidRPr="00A847B7" w:rsidRDefault="000A1933" w:rsidP="000A1933">
            <w:pPr>
              <w:spacing w:beforeAutospacing="1" w:after="100" w:afterAutospacing="1"/>
              <w:rPr>
                <w:rFonts w:cstheme="minorHAnsi"/>
              </w:rPr>
            </w:pPr>
            <w:r w:rsidRPr="00A847B7">
              <w:rPr>
                <w:rFonts w:cstheme="minorHAnsi"/>
              </w:rP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720C286" w14:textId="699A466B" w:rsidR="000A1933" w:rsidRPr="00A847B7" w:rsidRDefault="000A1933" w:rsidP="000A1933">
            <w:pPr>
              <w:spacing w:beforeAutospacing="1" w:after="100" w:afterAutospacing="1"/>
              <w:rPr>
                <w:rFonts w:cstheme="minorHAnsi"/>
              </w:rPr>
            </w:pPr>
            <w:r w:rsidRPr="00A847B7">
              <w:rPr>
                <w:rFonts w:cstheme="minorHAnsi"/>
              </w:rPr>
              <w:t>51</w:t>
            </w:r>
          </w:p>
        </w:tc>
      </w:tr>
      <w:tr w:rsidR="000A1933" w:rsidRPr="00A847B7" w14:paraId="70C63A1A"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3741471" w14:textId="4E6E7C8B" w:rsidR="000A1933" w:rsidRPr="00A847B7" w:rsidRDefault="000A1933" w:rsidP="000A1933">
            <w:pPr>
              <w:spacing w:beforeAutospacing="1" w:after="100" w:afterAutospacing="1"/>
              <w:rPr>
                <w:rFonts w:cstheme="minorHAnsi"/>
              </w:rPr>
            </w:pPr>
            <w:r w:rsidRPr="00A847B7">
              <w:rPr>
                <w:rFonts w:cstheme="minorHAnsi"/>
              </w:rPr>
              <w:t>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7410326" w14:textId="5E8C5415" w:rsidR="000A1933" w:rsidRPr="00A847B7" w:rsidRDefault="000A1933" w:rsidP="000A1933">
            <w:pPr>
              <w:spacing w:beforeAutospacing="1" w:after="100" w:afterAutospacing="1"/>
              <w:rPr>
                <w:rFonts w:cstheme="minorHAnsi"/>
              </w:rPr>
            </w:pPr>
            <w:r w:rsidRPr="00A847B7">
              <w:rPr>
                <w:rFonts w:cstheme="minorHAnsi"/>
              </w:rPr>
              <w:t>52</w:t>
            </w:r>
          </w:p>
        </w:tc>
      </w:tr>
      <w:tr w:rsidR="000A1933" w:rsidRPr="00A847B7" w14:paraId="5F269065"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FAFE1C4" w14:textId="7FACB191" w:rsidR="000A1933" w:rsidRPr="00A847B7" w:rsidRDefault="000A1933" w:rsidP="000A1933">
            <w:pPr>
              <w:spacing w:beforeAutospacing="1" w:after="100" w:afterAutospacing="1"/>
              <w:rPr>
                <w:rFonts w:cstheme="minorHAnsi"/>
              </w:rPr>
            </w:pPr>
            <w:r w:rsidRPr="00A847B7">
              <w:rPr>
                <w:rFonts w:cstheme="minorHAnsi"/>
              </w:rP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97512D1" w14:textId="488281F8" w:rsidR="000A1933" w:rsidRPr="00A847B7" w:rsidRDefault="000A1933" w:rsidP="000A1933">
            <w:pPr>
              <w:spacing w:beforeAutospacing="1" w:after="100" w:afterAutospacing="1"/>
              <w:rPr>
                <w:rFonts w:cstheme="minorHAnsi"/>
              </w:rPr>
            </w:pPr>
            <w:r w:rsidRPr="00A847B7">
              <w:rPr>
                <w:rFonts w:cstheme="minorHAnsi"/>
              </w:rPr>
              <w:t>53</w:t>
            </w:r>
          </w:p>
        </w:tc>
      </w:tr>
      <w:tr w:rsidR="000A1933" w:rsidRPr="00A847B7" w14:paraId="2F657D8A"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57E5991" w14:textId="1F24F60C" w:rsidR="000A1933" w:rsidRPr="00A847B7" w:rsidRDefault="000A1933" w:rsidP="000A1933">
            <w:pPr>
              <w:spacing w:beforeAutospacing="1" w:after="100" w:afterAutospacing="1"/>
              <w:rPr>
                <w:rFonts w:cstheme="minorHAnsi"/>
              </w:rPr>
            </w:pPr>
            <w:r w:rsidRPr="00A847B7">
              <w:rPr>
                <w:rFonts w:cstheme="minorHAnsi"/>
              </w:rPr>
              <w:t>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B3EF893" w14:textId="51C0E6DA" w:rsidR="000A1933" w:rsidRPr="00A847B7" w:rsidRDefault="000A1933" w:rsidP="000A1933">
            <w:pPr>
              <w:spacing w:beforeAutospacing="1" w:after="100" w:afterAutospacing="1"/>
              <w:rPr>
                <w:rFonts w:cstheme="minorHAnsi"/>
              </w:rPr>
            </w:pPr>
            <w:r w:rsidRPr="00A847B7">
              <w:rPr>
                <w:rFonts w:cstheme="minorHAnsi"/>
              </w:rPr>
              <w:t>54</w:t>
            </w:r>
          </w:p>
        </w:tc>
      </w:tr>
      <w:tr w:rsidR="000A1933" w:rsidRPr="00A847B7" w14:paraId="3E2A9597"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38DE415" w14:textId="67FFF343" w:rsidR="000A1933" w:rsidRPr="00A847B7" w:rsidRDefault="000A1933" w:rsidP="000A1933">
            <w:pPr>
              <w:spacing w:beforeAutospacing="1" w:after="100" w:afterAutospacing="1"/>
              <w:rPr>
                <w:rFonts w:cstheme="minorHAnsi"/>
              </w:rPr>
            </w:pPr>
            <w:r w:rsidRPr="00A847B7">
              <w:rPr>
                <w:rFonts w:cstheme="minorHAnsi"/>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573E85F" w14:textId="70651847" w:rsidR="000A1933" w:rsidRPr="00A847B7" w:rsidRDefault="000A1933" w:rsidP="000A1933">
            <w:pPr>
              <w:spacing w:beforeAutospacing="1" w:after="100" w:afterAutospacing="1"/>
              <w:rPr>
                <w:rFonts w:cstheme="minorHAnsi"/>
              </w:rPr>
            </w:pPr>
            <w:r w:rsidRPr="00A847B7">
              <w:rPr>
                <w:rFonts w:cstheme="minorHAnsi"/>
              </w:rPr>
              <w:t>54</w:t>
            </w:r>
          </w:p>
        </w:tc>
      </w:tr>
      <w:tr w:rsidR="000A1933" w:rsidRPr="00A847B7" w14:paraId="40E9B110"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2B98585" w14:textId="6124476D" w:rsidR="000A1933" w:rsidRPr="00A847B7" w:rsidRDefault="000A1933" w:rsidP="000A1933">
            <w:pPr>
              <w:spacing w:beforeAutospacing="1" w:after="100" w:afterAutospacing="1"/>
              <w:rPr>
                <w:rFonts w:cstheme="minorHAnsi"/>
              </w:rPr>
            </w:pPr>
            <w:r w:rsidRPr="00A847B7">
              <w:rPr>
                <w:rFonts w:cstheme="minorHAnsi"/>
              </w:rPr>
              <w:t>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243F39E" w14:textId="716148E3" w:rsidR="000A1933" w:rsidRPr="00A847B7" w:rsidRDefault="000A1933" w:rsidP="000A1933">
            <w:pPr>
              <w:spacing w:beforeAutospacing="1" w:after="100" w:afterAutospacing="1"/>
              <w:rPr>
                <w:rFonts w:cstheme="minorHAnsi"/>
              </w:rPr>
            </w:pPr>
            <w:r w:rsidRPr="00A847B7">
              <w:rPr>
                <w:rFonts w:cstheme="minorHAnsi"/>
              </w:rPr>
              <w:t>55</w:t>
            </w:r>
          </w:p>
        </w:tc>
      </w:tr>
      <w:tr w:rsidR="000A1933" w:rsidRPr="00A847B7" w14:paraId="5DF8360D"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03A7C17" w14:textId="47D504A0" w:rsidR="000A1933" w:rsidRPr="00A847B7" w:rsidRDefault="000A1933" w:rsidP="000A1933">
            <w:pPr>
              <w:spacing w:beforeAutospacing="1" w:after="100" w:afterAutospacing="1"/>
              <w:rPr>
                <w:rFonts w:cstheme="minorHAnsi"/>
              </w:rPr>
            </w:pPr>
            <w:r w:rsidRPr="00A847B7">
              <w:rPr>
                <w:rFonts w:cstheme="minorHAnsi"/>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EB770EC" w14:textId="3C36184A" w:rsidR="000A1933" w:rsidRPr="00A847B7" w:rsidRDefault="000A1933" w:rsidP="000A1933">
            <w:pPr>
              <w:spacing w:beforeAutospacing="1" w:after="100" w:afterAutospacing="1"/>
              <w:rPr>
                <w:rFonts w:cstheme="minorHAnsi"/>
              </w:rPr>
            </w:pPr>
            <w:r w:rsidRPr="00A847B7">
              <w:rPr>
                <w:rFonts w:cstheme="minorHAnsi"/>
              </w:rPr>
              <w:t>56</w:t>
            </w:r>
          </w:p>
        </w:tc>
      </w:tr>
      <w:tr w:rsidR="000A1933" w:rsidRPr="00A847B7" w14:paraId="161CF81A"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63E677E" w14:textId="521F5AC5" w:rsidR="000A1933" w:rsidRPr="00A847B7" w:rsidRDefault="000A1933" w:rsidP="000A1933">
            <w:pPr>
              <w:spacing w:beforeAutospacing="1" w:after="100" w:afterAutospacing="1"/>
              <w:rPr>
                <w:rFonts w:cstheme="minorHAnsi"/>
              </w:rPr>
            </w:pPr>
            <w:r w:rsidRPr="00A847B7">
              <w:rPr>
                <w:rFonts w:cstheme="minorHAnsi"/>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3150D49" w14:textId="024E910C" w:rsidR="000A1933" w:rsidRPr="00A847B7" w:rsidRDefault="000A1933" w:rsidP="000A1933">
            <w:pPr>
              <w:spacing w:beforeAutospacing="1" w:after="100" w:afterAutospacing="1"/>
              <w:rPr>
                <w:rFonts w:cstheme="minorHAnsi"/>
              </w:rPr>
            </w:pPr>
            <w:r w:rsidRPr="00A847B7">
              <w:rPr>
                <w:rFonts w:cstheme="minorHAnsi"/>
              </w:rPr>
              <w:t>57</w:t>
            </w:r>
          </w:p>
        </w:tc>
      </w:tr>
      <w:tr w:rsidR="000A1933" w:rsidRPr="00A847B7" w14:paraId="4271893E"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066C021" w14:textId="17EA1FF2" w:rsidR="000A1933" w:rsidRPr="00A847B7" w:rsidRDefault="000A1933" w:rsidP="000A1933">
            <w:pPr>
              <w:spacing w:beforeAutospacing="1" w:after="100" w:afterAutospacing="1"/>
              <w:rPr>
                <w:rFonts w:cstheme="minorHAnsi"/>
              </w:rPr>
            </w:pPr>
            <w:r w:rsidRPr="00A847B7">
              <w:rPr>
                <w:rFonts w:cstheme="minorHAnsi"/>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0E5A528" w14:textId="1B1F3BC0" w:rsidR="000A1933" w:rsidRPr="00A847B7" w:rsidRDefault="000A1933" w:rsidP="000A1933">
            <w:pPr>
              <w:spacing w:beforeAutospacing="1" w:after="100" w:afterAutospacing="1"/>
              <w:rPr>
                <w:rFonts w:cstheme="minorHAnsi"/>
              </w:rPr>
            </w:pPr>
            <w:r w:rsidRPr="00A847B7">
              <w:rPr>
                <w:rFonts w:cstheme="minorHAnsi"/>
              </w:rPr>
              <w:t>58</w:t>
            </w:r>
          </w:p>
        </w:tc>
      </w:tr>
      <w:tr w:rsidR="000A1933" w:rsidRPr="00A847B7" w14:paraId="52C9E723"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8AAE52B" w14:textId="0BD83B5E" w:rsidR="000A1933" w:rsidRPr="00A847B7" w:rsidRDefault="000A1933" w:rsidP="000A1933">
            <w:pPr>
              <w:spacing w:beforeAutospacing="1" w:after="100" w:afterAutospacing="1"/>
              <w:rPr>
                <w:rFonts w:cstheme="minorHAnsi"/>
              </w:rPr>
            </w:pPr>
            <w:r w:rsidRPr="00A847B7">
              <w:rPr>
                <w:rFonts w:cstheme="minorHAnsi"/>
              </w:rP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F266DB2" w14:textId="1843E5AF" w:rsidR="000A1933" w:rsidRPr="00A847B7" w:rsidRDefault="000A1933" w:rsidP="000A1933">
            <w:pPr>
              <w:spacing w:beforeAutospacing="1" w:after="100" w:afterAutospacing="1"/>
              <w:rPr>
                <w:rFonts w:cstheme="minorHAnsi"/>
              </w:rPr>
            </w:pPr>
            <w:r w:rsidRPr="00A847B7">
              <w:rPr>
                <w:rFonts w:cstheme="minorHAnsi"/>
              </w:rPr>
              <w:t>58</w:t>
            </w:r>
          </w:p>
        </w:tc>
      </w:tr>
      <w:tr w:rsidR="000A1933" w:rsidRPr="00A847B7" w14:paraId="4CAC08B6"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6B501D5" w14:textId="016A3E53" w:rsidR="000A1933" w:rsidRPr="00A847B7" w:rsidRDefault="000A1933" w:rsidP="000A1933">
            <w:pPr>
              <w:spacing w:beforeAutospacing="1" w:after="100" w:afterAutospacing="1"/>
              <w:rPr>
                <w:rFonts w:cstheme="minorHAnsi"/>
              </w:rPr>
            </w:pPr>
            <w:r w:rsidRPr="00A847B7">
              <w:rPr>
                <w:rFonts w:cstheme="minorHAnsi"/>
              </w:rPr>
              <w:t>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914133C" w14:textId="7FCF2623" w:rsidR="000A1933" w:rsidRPr="00A847B7" w:rsidRDefault="000A1933" w:rsidP="000A1933">
            <w:pPr>
              <w:spacing w:beforeAutospacing="1" w:after="100" w:afterAutospacing="1"/>
              <w:rPr>
                <w:rFonts w:cstheme="minorHAnsi"/>
              </w:rPr>
            </w:pPr>
            <w:r w:rsidRPr="00A847B7">
              <w:rPr>
                <w:rFonts w:cstheme="minorHAnsi"/>
              </w:rPr>
              <w:t>59</w:t>
            </w:r>
          </w:p>
        </w:tc>
      </w:tr>
      <w:tr w:rsidR="000A1933" w:rsidRPr="00A847B7" w14:paraId="297CA0B2"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ED6FE23" w14:textId="63E599F7" w:rsidR="000A1933" w:rsidRPr="00A847B7" w:rsidRDefault="000A1933" w:rsidP="000A1933">
            <w:pPr>
              <w:spacing w:beforeAutospacing="1" w:after="100" w:afterAutospacing="1"/>
              <w:rPr>
                <w:rFonts w:cstheme="minorHAnsi"/>
              </w:rPr>
            </w:pPr>
            <w:r w:rsidRPr="00A847B7">
              <w:rPr>
                <w:rFonts w:cstheme="minorHAnsi"/>
              </w:rPr>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8E0849F" w14:textId="48F71C6D" w:rsidR="000A1933" w:rsidRPr="00A847B7" w:rsidRDefault="000A1933" w:rsidP="000A1933">
            <w:pPr>
              <w:spacing w:beforeAutospacing="1" w:after="100" w:afterAutospacing="1"/>
              <w:rPr>
                <w:rFonts w:cstheme="minorHAnsi"/>
              </w:rPr>
            </w:pPr>
            <w:r w:rsidRPr="00A847B7">
              <w:rPr>
                <w:rFonts w:cstheme="minorHAnsi"/>
              </w:rPr>
              <w:t>60</w:t>
            </w:r>
          </w:p>
        </w:tc>
      </w:tr>
      <w:tr w:rsidR="000A1933" w:rsidRPr="00A847B7" w14:paraId="3A81D5E4"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D2D956C" w14:textId="7A509230" w:rsidR="000A1933" w:rsidRPr="00A847B7" w:rsidRDefault="000A1933" w:rsidP="000A1933">
            <w:pPr>
              <w:spacing w:beforeAutospacing="1" w:after="100" w:afterAutospacing="1"/>
              <w:rPr>
                <w:rFonts w:cstheme="minorHAnsi"/>
              </w:rPr>
            </w:pPr>
            <w:r w:rsidRPr="00A847B7">
              <w:rPr>
                <w:rFonts w:cstheme="minorHAnsi"/>
              </w:rPr>
              <w:t>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8CA1205" w14:textId="4B0A6A6C" w:rsidR="000A1933" w:rsidRPr="00A847B7" w:rsidRDefault="000A1933" w:rsidP="000A1933">
            <w:pPr>
              <w:spacing w:beforeAutospacing="1" w:after="100" w:afterAutospacing="1"/>
              <w:rPr>
                <w:rFonts w:cstheme="minorHAnsi"/>
              </w:rPr>
            </w:pPr>
            <w:r w:rsidRPr="00A847B7">
              <w:rPr>
                <w:rFonts w:cstheme="minorHAnsi"/>
              </w:rPr>
              <w:t>61</w:t>
            </w:r>
          </w:p>
        </w:tc>
      </w:tr>
      <w:tr w:rsidR="000A1933" w:rsidRPr="00A847B7" w14:paraId="349AA285"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1F754E3" w14:textId="0005319B" w:rsidR="000A1933" w:rsidRPr="00A847B7" w:rsidRDefault="000A1933" w:rsidP="000A1933">
            <w:pPr>
              <w:spacing w:beforeAutospacing="1" w:after="100" w:afterAutospacing="1"/>
              <w:rPr>
                <w:rFonts w:cstheme="minorHAnsi"/>
              </w:rPr>
            </w:pPr>
            <w:r w:rsidRPr="00A847B7">
              <w:rPr>
                <w:rFonts w:cstheme="minorHAnsi"/>
              </w:rP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8803FC4" w14:textId="69A18F7E" w:rsidR="000A1933" w:rsidRPr="00A847B7" w:rsidRDefault="000A1933" w:rsidP="000A1933">
            <w:pPr>
              <w:spacing w:beforeAutospacing="1" w:after="100" w:afterAutospacing="1"/>
              <w:rPr>
                <w:rFonts w:cstheme="minorHAnsi"/>
              </w:rPr>
            </w:pPr>
            <w:r w:rsidRPr="00A847B7">
              <w:rPr>
                <w:rFonts w:cstheme="minorHAnsi"/>
              </w:rPr>
              <w:t>62</w:t>
            </w:r>
          </w:p>
        </w:tc>
      </w:tr>
      <w:tr w:rsidR="000A1933" w:rsidRPr="00A847B7" w14:paraId="0663FAA9"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B59A9A6" w14:textId="624CA5A7" w:rsidR="000A1933" w:rsidRPr="00A847B7" w:rsidRDefault="000A1933" w:rsidP="000A1933">
            <w:pPr>
              <w:spacing w:beforeAutospacing="1" w:after="100" w:afterAutospacing="1"/>
              <w:rPr>
                <w:rFonts w:cstheme="minorHAnsi"/>
              </w:rPr>
            </w:pPr>
            <w:r w:rsidRPr="00A847B7">
              <w:rPr>
                <w:rFonts w:cstheme="minorHAnsi"/>
              </w:rPr>
              <w:t>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9CE1D46" w14:textId="760AC1F1" w:rsidR="000A1933" w:rsidRPr="00A847B7" w:rsidRDefault="000A1933" w:rsidP="000A1933">
            <w:pPr>
              <w:spacing w:beforeAutospacing="1" w:after="100" w:afterAutospacing="1"/>
              <w:rPr>
                <w:rFonts w:cstheme="minorHAnsi"/>
              </w:rPr>
            </w:pPr>
            <w:r w:rsidRPr="00A847B7">
              <w:rPr>
                <w:rFonts w:cstheme="minorHAnsi"/>
              </w:rPr>
              <w:t>117</w:t>
            </w:r>
          </w:p>
        </w:tc>
      </w:tr>
      <w:tr w:rsidR="000A1933" w:rsidRPr="00A847B7" w14:paraId="5F745F12"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493EA41" w14:textId="317BE72A" w:rsidR="000A1933" w:rsidRPr="00A847B7" w:rsidRDefault="000A1933" w:rsidP="000A1933">
            <w:pPr>
              <w:spacing w:beforeAutospacing="1" w:after="100" w:afterAutospacing="1"/>
              <w:rPr>
                <w:rFonts w:cstheme="minorHAnsi"/>
              </w:rPr>
            </w:pPr>
            <w:r w:rsidRPr="00A847B7">
              <w:rPr>
                <w:rFonts w:cstheme="minorHAnsi"/>
              </w:rP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98E96AD" w14:textId="15BF2D58" w:rsidR="000A1933" w:rsidRPr="00A847B7" w:rsidRDefault="000A1933" w:rsidP="000A1933">
            <w:pPr>
              <w:spacing w:beforeAutospacing="1" w:after="100" w:afterAutospacing="1"/>
              <w:rPr>
                <w:rFonts w:cstheme="minorHAnsi"/>
              </w:rPr>
            </w:pPr>
            <w:r w:rsidRPr="00A847B7">
              <w:rPr>
                <w:rFonts w:cstheme="minorHAnsi"/>
              </w:rPr>
              <w:t>119</w:t>
            </w:r>
          </w:p>
        </w:tc>
      </w:tr>
      <w:tr w:rsidR="000A1933" w:rsidRPr="00A847B7" w14:paraId="509FA681"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E702350" w14:textId="79600262" w:rsidR="000A1933" w:rsidRPr="00A847B7" w:rsidRDefault="000A1933" w:rsidP="000A1933">
            <w:pPr>
              <w:spacing w:beforeAutospacing="1" w:after="100" w:afterAutospacing="1"/>
              <w:rPr>
                <w:rFonts w:cstheme="minorHAnsi"/>
              </w:rPr>
            </w:pPr>
            <w:r w:rsidRPr="00A847B7">
              <w:rPr>
                <w:rFonts w:cstheme="minorHAnsi"/>
              </w:rPr>
              <w:t>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F076B82" w14:textId="623B46EF" w:rsidR="000A1933" w:rsidRPr="00A847B7" w:rsidRDefault="000A1933" w:rsidP="000A1933">
            <w:pPr>
              <w:spacing w:beforeAutospacing="1" w:after="100" w:afterAutospacing="1"/>
              <w:rPr>
                <w:rFonts w:cstheme="minorHAnsi"/>
              </w:rPr>
            </w:pPr>
            <w:r w:rsidRPr="00A847B7">
              <w:rPr>
                <w:rFonts w:cstheme="minorHAnsi"/>
              </w:rPr>
              <w:t>120</w:t>
            </w:r>
          </w:p>
        </w:tc>
      </w:tr>
      <w:tr w:rsidR="000A1933" w:rsidRPr="00A847B7" w14:paraId="5C4AE447"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7C38BEA" w14:textId="7348586B" w:rsidR="000A1933" w:rsidRPr="00A847B7" w:rsidRDefault="000A1933" w:rsidP="000A1933">
            <w:pPr>
              <w:spacing w:beforeAutospacing="1" w:after="100" w:afterAutospacing="1"/>
              <w:rPr>
                <w:rFonts w:cstheme="minorHAnsi"/>
              </w:rPr>
            </w:pPr>
            <w:r w:rsidRPr="00A847B7">
              <w:rPr>
                <w:rFonts w:cstheme="minorHAnsi"/>
              </w:rP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3DB5CCF" w14:textId="171D20FC" w:rsidR="000A1933" w:rsidRPr="00A847B7" w:rsidRDefault="000A1933" w:rsidP="000A1933">
            <w:pPr>
              <w:spacing w:beforeAutospacing="1" w:after="100" w:afterAutospacing="1"/>
              <w:rPr>
                <w:rFonts w:cstheme="minorHAnsi"/>
              </w:rPr>
            </w:pPr>
            <w:r w:rsidRPr="00A847B7">
              <w:rPr>
                <w:rFonts w:cstheme="minorHAnsi"/>
              </w:rPr>
              <w:t>122</w:t>
            </w:r>
          </w:p>
        </w:tc>
      </w:tr>
      <w:tr w:rsidR="000A1933" w:rsidRPr="00A847B7" w14:paraId="53E3138F"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024518F" w14:textId="3974F396" w:rsidR="000A1933" w:rsidRPr="00A847B7" w:rsidRDefault="000A1933" w:rsidP="000A1933">
            <w:pPr>
              <w:spacing w:beforeAutospacing="1" w:after="100" w:afterAutospacing="1"/>
              <w:rPr>
                <w:rFonts w:cstheme="minorHAnsi"/>
              </w:rPr>
            </w:pPr>
            <w:r w:rsidRPr="00A847B7">
              <w:rPr>
                <w:rFonts w:cstheme="minorHAnsi"/>
              </w:rPr>
              <w:t>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C59A5A7" w14:textId="53871513" w:rsidR="000A1933" w:rsidRPr="00A847B7" w:rsidRDefault="000A1933" w:rsidP="000A1933">
            <w:pPr>
              <w:spacing w:beforeAutospacing="1" w:after="100" w:afterAutospacing="1"/>
              <w:rPr>
                <w:rFonts w:cstheme="minorHAnsi"/>
              </w:rPr>
            </w:pPr>
            <w:r w:rsidRPr="00A847B7">
              <w:rPr>
                <w:rFonts w:cstheme="minorHAnsi"/>
              </w:rPr>
              <w:t>123</w:t>
            </w:r>
          </w:p>
        </w:tc>
      </w:tr>
      <w:tr w:rsidR="000A1933" w:rsidRPr="00A847B7" w14:paraId="4A0C30C6"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9724A96" w14:textId="56B19EED" w:rsidR="000A1933" w:rsidRPr="00A847B7" w:rsidRDefault="000A1933" w:rsidP="000A1933">
            <w:pPr>
              <w:spacing w:beforeAutospacing="1" w:after="100" w:afterAutospacing="1"/>
              <w:rPr>
                <w:rFonts w:cstheme="minorHAnsi"/>
              </w:rPr>
            </w:pPr>
            <w:r w:rsidRPr="00A847B7">
              <w:rPr>
                <w:rFonts w:cstheme="minorHAnsi"/>
              </w:rPr>
              <w:t>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0A43D13" w14:textId="00405638" w:rsidR="000A1933" w:rsidRPr="00A847B7" w:rsidRDefault="000A1933" w:rsidP="000A1933">
            <w:pPr>
              <w:spacing w:beforeAutospacing="1" w:after="100" w:afterAutospacing="1"/>
              <w:rPr>
                <w:rFonts w:cstheme="minorHAnsi"/>
              </w:rPr>
            </w:pPr>
            <w:r w:rsidRPr="00A847B7">
              <w:rPr>
                <w:rFonts w:cstheme="minorHAnsi"/>
              </w:rPr>
              <w:t>125</w:t>
            </w:r>
          </w:p>
        </w:tc>
      </w:tr>
      <w:tr w:rsidR="000A1933" w:rsidRPr="00A847B7" w14:paraId="26C244A7"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0B7E595" w14:textId="772AD757" w:rsidR="000A1933" w:rsidRPr="00A847B7" w:rsidRDefault="000A1933" w:rsidP="000A1933">
            <w:pPr>
              <w:spacing w:beforeAutospacing="1" w:after="100" w:afterAutospacing="1"/>
              <w:rPr>
                <w:rFonts w:cstheme="minorHAnsi"/>
              </w:rPr>
            </w:pPr>
            <w:r w:rsidRPr="00A847B7">
              <w:rPr>
                <w:rFonts w:cstheme="minorHAnsi"/>
              </w:rPr>
              <w:t>84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9EF742C" w14:textId="3F384D6E" w:rsidR="000A1933" w:rsidRPr="00A847B7" w:rsidRDefault="000A1933" w:rsidP="000A1933">
            <w:pPr>
              <w:spacing w:beforeAutospacing="1" w:after="100" w:afterAutospacing="1"/>
              <w:rPr>
                <w:rFonts w:cstheme="minorHAnsi"/>
              </w:rPr>
            </w:pPr>
            <w:r w:rsidRPr="00A847B7">
              <w:rPr>
                <w:rFonts w:cstheme="minorHAnsi"/>
              </w:rPr>
              <w:t>126</w:t>
            </w:r>
          </w:p>
        </w:tc>
      </w:tr>
      <w:tr w:rsidR="000A1933" w:rsidRPr="00A847B7" w14:paraId="58253A2D"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5D07FD5" w14:textId="41941E5D" w:rsidR="000A1933" w:rsidRPr="00A847B7" w:rsidRDefault="000A1933" w:rsidP="000A1933">
            <w:pPr>
              <w:spacing w:beforeAutospacing="1" w:after="100" w:afterAutospacing="1"/>
              <w:rPr>
                <w:rFonts w:cstheme="minorHAnsi"/>
              </w:rPr>
            </w:pPr>
            <w:r w:rsidRPr="00A847B7">
              <w:rPr>
                <w:rFonts w:cstheme="minorHAnsi"/>
              </w:rPr>
              <w:t>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AC4B498" w14:textId="6DFF3972" w:rsidR="000A1933" w:rsidRPr="00A847B7" w:rsidRDefault="000A1933" w:rsidP="000A1933">
            <w:pPr>
              <w:spacing w:beforeAutospacing="1" w:after="100" w:afterAutospacing="1"/>
              <w:rPr>
                <w:rFonts w:cstheme="minorHAnsi"/>
              </w:rPr>
            </w:pPr>
            <w:r w:rsidRPr="00A847B7">
              <w:rPr>
                <w:rFonts w:cstheme="minorHAnsi"/>
              </w:rPr>
              <w:t>128</w:t>
            </w:r>
          </w:p>
        </w:tc>
      </w:tr>
      <w:tr w:rsidR="000A1933" w:rsidRPr="00A847B7" w14:paraId="57FA0B4B"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735A8FD" w14:textId="6A5DB611" w:rsidR="000A1933" w:rsidRPr="00A847B7" w:rsidRDefault="000A1933" w:rsidP="000A1933">
            <w:pPr>
              <w:spacing w:beforeAutospacing="1" w:after="100" w:afterAutospacing="1"/>
              <w:rPr>
                <w:rFonts w:cstheme="minorHAnsi"/>
              </w:rPr>
            </w:pPr>
            <w:r w:rsidRPr="00A847B7">
              <w:rPr>
                <w:rFonts w:cstheme="minorHAnsi"/>
              </w:rP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0A0C72E" w14:textId="734BB363" w:rsidR="000A1933" w:rsidRPr="00A847B7" w:rsidRDefault="000A1933" w:rsidP="000A1933">
            <w:pPr>
              <w:spacing w:beforeAutospacing="1" w:after="100" w:afterAutospacing="1"/>
              <w:rPr>
                <w:rFonts w:cstheme="minorHAnsi"/>
              </w:rPr>
            </w:pPr>
            <w:r w:rsidRPr="00A847B7">
              <w:rPr>
                <w:rFonts w:cstheme="minorHAnsi"/>
              </w:rPr>
              <w:t>129</w:t>
            </w:r>
          </w:p>
        </w:tc>
      </w:tr>
      <w:tr w:rsidR="000A1933" w:rsidRPr="00A847B7" w14:paraId="37E12493"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E9019FC" w14:textId="281E93AD" w:rsidR="000A1933" w:rsidRPr="00A847B7" w:rsidRDefault="000A1933" w:rsidP="000A1933">
            <w:pPr>
              <w:spacing w:beforeAutospacing="1" w:after="100" w:afterAutospacing="1"/>
              <w:rPr>
                <w:rFonts w:cstheme="minorHAnsi"/>
              </w:rPr>
            </w:pPr>
            <w:r w:rsidRPr="00A847B7">
              <w:rPr>
                <w:rFonts w:cstheme="minorHAnsi"/>
              </w:rPr>
              <w:t>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94194F0" w14:textId="3A2DC93D" w:rsidR="000A1933" w:rsidRPr="00A847B7" w:rsidRDefault="000A1933" w:rsidP="000A1933">
            <w:pPr>
              <w:spacing w:beforeAutospacing="1" w:after="100" w:afterAutospacing="1"/>
              <w:rPr>
                <w:rFonts w:cstheme="minorHAnsi"/>
              </w:rPr>
            </w:pPr>
            <w:r w:rsidRPr="00A847B7">
              <w:rPr>
                <w:rFonts w:cstheme="minorHAnsi"/>
              </w:rPr>
              <w:t>131</w:t>
            </w:r>
          </w:p>
        </w:tc>
      </w:tr>
      <w:tr w:rsidR="000A1933" w:rsidRPr="00A847B7" w14:paraId="72C1E736"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344EFD8" w14:textId="38142419" w:rsidR="000A1933" w:rsidRPr="00A847B7" w:rsidRDefault="000A1933" w:rsidP="000A1933">
            <w:pPr>
              <w:spacing w:beforeAutospacing="1" w:after="100" w:afterAutospacing="1"/>
              <w:rPr>
                <w:rFonts w:cstheme="minorHAnsi"/>
              </w:rPr>
            </w:pPr>
            <w:r w:rsidRPr="00A847B7">
              <w:rPr>
                <w:rFonts w:cstheme="minorHAnsi"/>
              </w:rPr>
              <w:t>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6B22682" w14:textId="098DEEC6" w:rsidR="000A1933" w:rsidRPr="00A847B7" w:rsidRDefault="000A1933" w:rsidP="000A1933">
            <w:pPr>
              <w:spacing w:beforeAutospacing="1" w:after="100" w:afterAutospacing="1"/>
              <w:rPr>
                <w:rFonts w:cstheme="minorHAnsi"/>
              </w:rPr>
            </w:pPr>
            <w:r w:rsidRPr="00A847B7">
              <w:rPr>
                <w:rFonts w:cstheme="minorHAnsi"/>
              </w:rPr>
              <w:t>132</w:t>
            </w:r>
          </w:p>
        </w:tc>
      </w:tr>
      <w:tr w:rsidR="000A1933" w:rsidRPr="00A847B7" w14:paraId="552434EB"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3CFE5C0" w14:textId="77B99B29" w:rsidR="000A1933" w:rsidRPr="00A847B7" w:rsidRDefault="000A1933" w:rsidP="000A1933">
            <w:pPr>
              <w:spacing w:beforeAutospacing="1" w:after="100" w:afterAutospacing="1"/>
              <w:rPr>
                <w:rFonts w:cstheme="minorHAnsi"/>
              </w:rPr>
            </w:pPr>
            <w:r w:rsidRPr="00A847B7">
              <w:rPr>
                <w:rFonts w:cstheme="minorHAnsi"/>
              </w:rPr>
              <w:t>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9ADB637" w14:textId="250DCB97" w:rsidR="000A1933" w:rsidRPr="00A847B7" w:rsidRDefault="000A1933" w:rsidP="000A1933">
            <w:pPr>
              <w:spacing w:beforeAutospacing="1" w:after="100" w:afterAutospacing="1"/>
              <w:rPr>
                <w:rFonts w:cstheme="minorHAnsi"/>
              </w:rPr>
            </w:pPr>
            <w:r w:rsidRPr="00A847B7">
              <w:rPr>
                <w:rFonts w:cstheme="minorHAnsi"/>
              </w:rPr>
              <w:t>134</w:t>
            </w:r>
          </w:p>
        </w:tc>
      </w:tr>
      <w:tr w:rsidR="000A1933" w:rsidRPr="00A847B7" w14:paraId="6D31E0C5"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90EFF2C" w14:textId="26826A0F" w:rsidR="000A1933" w:rsidRPr="00A847B7" w:rsidRDefault="000A1933" w:rsidP="000A1933">
            <w:pPr>
              <w:spacing w:beforeAutospacing="1" w:after="100" w:afterAutospacing="1"/>
              <w:rPr>
                <w:rFonts w:cstheme="minorHAnsi"/>
              </w:rPr>
            </w:pPr>
            <w:r w:rsidRPr="00A847B7">
              <w:rPr>
                <w:rFonts w:cstheme="minorHAnsi"/>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F603916" w14:textId="1D483966" w:rsidR="000A1933" w:rsidRPr="00A847B7" w:rsidRDefault="000A1933" w:rsidP="000A1933">
            <w:pPr>
              <w:spacing w:beforeAutospacing="1" w:after="100" w:afterAutospacing="1"/>
              <w:rPr>
                <w:rFonts w:cstheme="minorHAnsi"/>
              </w:rPr>
            </w:pPr>
            <w:r w:rsidRPr="00A847B7">
              <w:rPr>
                <w:rFonts w:cstheme="minorHAnsi"/>
              </w:rPr>
              <w:t>135</w:t>
            </w:r>
          </w:p>
        </w:tc>
      </w:tr>
      <w:tr w:rsidR="000A1933" w:rsidRPr="00A847B7" w14:paraId="3FC94E47"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D88DD9A" w14:textId="742B8628" w:rsidR="000A1933" w:rsidRPr="00A847B7" w:rsidRDefault="000A1933" w:rsidP="000A1933">
            <w:pPr>
              <w:spacing w:beforeAutospacing="1" w:after="100" w:afterAutospacing="1"/>
              <w:rPr>
                <w:rFonts w:cstheme="minorHAnsi"/>
              </w:rPr>
            </w:pPr>
            <w:r w:rsidRPr="00A847B7">
              <w:rPr>
                <w:rFonts w:cstheme="minorHAnsi"/>
              </w:rPr>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6AA367B" w14:textId="76CEB3DA" w:rsidR="000A1933" w:rsidRPr="00A847B7" w:rsidRDefault="000A1933" w:rsidP="000A1933">
            <w:pPr>
              <w:spacing w:beforeAutospacing="1" w:after="100" w:afterAutospacing="1"/>
              <w:rPr>
                <w:rFonts w:cstheme="minorHAnsi"/>
              </w:rPr>
            </w:pPr>
            <w:r w:rsidRPr="00A847B7">
              <w:rPr>
                <w:rFonts w:cstheme="minorHAnsi"/>
              </w:rPr>
              <w:t>137</w:t>
            </w:r>
          </w:p>
        </w:tc>
      </w:tr>
      <w:tr w:rsidR="000A1933" w:rsidRPr="00A847B7" w14:paraId="559DB032"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8CCD488" w14:textId="44C69C06" w:rsidR="000A1933" w:rsidRPr="00A847B7" w:rsidRDefault="000A1933" w:rsidP="000A1933">
            <w:pPr>
              <w:spacing w:beforeAutospacing="1" w:after="100" w:afterAutospacing="1"/>
              <w:rPr>
                <w:rFonts w:cstheme="minorHAnsi"/>
              </w:rPr>
            </w:pPr>
            <w:r w:rsidRPr="00A847B7">
              <w:rPr>
                <w:rFonts w:cstheme="minorHAnsi"/>
              </w:rPr>
              <w:t>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5023DF8" w14:textId="72D69C11" w:rsidR="000A1933" w:rsidRPr="00A847B7" w:rsidRDefault="000A1933" w:rsidP="000A1933">
            <w:pPr>
              <w:spacing w:beforeAutospacing="1" w:after="100" w:afterAutospacing="1"/>
              <w:rPr>
                <w:rFonts w:cstheme="minorHAnsi"/>
              </w:rPr>
            </w:pPr>
            <w:r w:rsidRPr="00A847B7">
              <w:rPr>
                <w:rFonts w:cstheme="minorHAnsi"/>
              </w:rPr>
              <w:t>138</w:t>
            </w:r>
          </w:p>
        </w:tc>
      </w:tr>
      <w:tr w:rsidR="000A1933" w:rsidRPr="00A847B7" w14:paraId="2FC8A2D9"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D7D5C63" w14:textId="125C76D0" w:rsidR="000A1933" w:rsidRPr="00A847B7" w:rsidRDefault="000A1933" w:rsidP="000A1933">
            <w:pPr>
              <w:spacing w:beforeAutospacing="1" w:after="100" w:afterAutospacing="1"/>
              <w:rPr>
                <w:rFonts w:cstheme="minorHAnsi"/>
              </w:rPr>
            </w:pPr>
            <w:r w:rsidRPr="00A847B7">
              <w:rPr>
                <w:rFonts w:cstheme="minorHAnsi"/>
              </w:rPr>
              <w:t>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D4DFCDB" w14:textId="2E2E2B58" w:rsidR="000A1933" w:rsidRPr="00A847B7" w:rsidRDefault="000A1933" w:rsidP="000A1933">
            <w:pPr>
              <w:spacing w:beforeAutospacing="1" w:after="100" w:afterAutospacing="1"/>
              <w:rPr>
                <w:rFonts w:cstheme="minorHAnsi"/>
              </w:rPr>
            </w:pPr>
            <w:r w:rsidRPr="00A847B7">
              <w:rPr>
                <w:rFonts w:cstheme="minorHAnsi"/>
              </w:rPr>
              <w:t>140</w:t>
            </w:r>
          </w:p>
        </w:tc>
      </w:tr>
      <w:tr w:rsidR="000A1933" w:rsidRPr="00A847B7" w14:paraId="5F37F6F0"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F1C32C1" w14:textId="0046BADF" w:rsidR="000A1933" w:rsidRPr="00A847B7" w:rsidRDefault="000A1933" w:rsidP="000A1933">
            <w:pPr>
              <w:spacing w:beforeAutospacing="1" w:after="100" w:afterAutospacing="1"/>
              <w:rPr>
                <w:rFonts w:cstheme="minorHAnsi"/>
              </w:rPr>
            </w:pPr>
            <w:r w:rsidRPr="00A847B7">
              <w:rPr>
                <w:rFonts w:cstheme="minorHAnsi"/>
              </w:rPr>
              <w:lastRenderedPageBreak/>
              <w:t>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7D3DA60" w14:textId="3C41897D" w:rsidR="000A1933" w:rsidRPr="00A847B7" w:rsidRDefault="000A1933" w:rsidP="000A1933">
            <w:pPr>
              <w:spacing w:beforeAutospacing="1" w:after="100" w:afterAutospacing="1"/>
              <w:rPr>
                <w:rFonts w:cstheme="minorHAnsi"/>
              </w:rPr>
            </w:pPr>
            <w:r w:rsidRPr="00A847B7">
              <w:rPr>
                <w:rFonts w:cstheme="minorHAnsi"/>
              </w:rPr>
              <w:t>141</w:t>
            </w:r>
          </w:p>
        </w:tc>
      </w:tr>
      <w:tr w:rsidR="000A1933" w:rsidRPr="00A847B7" w14:paraId="74E7960D"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10950F9" w14:textId="347B9E0E" w:rsidR="000A1933" w:rsidRPr="00A847B7" w:rsidRDefault="000A1933" w:rsidP="000A1933">
            <w:pPr>
              <w:spacing w:beforeAutospacing="1" w:after="100" w:afterAutospacing="1"/>
              <w:rPr>
                <w:rFonts w:cstheme="minorHAnsi"/>
              </w:rPr>
            </w:pPr>
            <w:r w:rsidRPr="00A847B7">
              <w:rPr>
                <w:rFonts w:cstheme="minorHAnsi"/>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D7416A1" w14:textId="394454EE" w:rsidR="000A1933" w:rsidRPr="00A847B7" w:rsidRDefault="000A1933" w:rsidP="000A1933">
            <w:pPr>
              <w:spacing w:beforeAutospacing="1" w:after="100" w:afterAutospacing="1"/>
              <w:rPr>
                <w:rFonts w:cstheme="minorHAnsi"/>
              </w:rPr>
            </w:pPr>
            <w:r w:rsidRPr="00A847B7">
              <w:rPr>
                <w:rFonts w:cstheme="minorHAnsi"/>
              </w:rPr>
              <w:t>143</w:t>
            </w:r>
          </w:p>
        </w:tc>
      </w:tr>
      <w:tr w:rsidR="000A1933" w:rsidRPr="00A847B7" w14:paraId="1EDB315E"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3746AC7" w14:textId="056B5CE7" w:rsidR="000A1933" w:rsidRPr="00A847B7" w:rsidRDefault="000A1933" w:rsidP="000A1933">
            <w:pPr>
              <w:spacing w:beforeAutospacing="1" w:after="100" w:afterAutospacing="1"/>
              <w:rPr>
                <w:rFonts w:cstheme="minorHAnsi"/>
              </w:rPr>
            </w:pPr>
            <w:r w:rsidRPr="00A847B7">
              <w:rPr>
                <w:rFonts w:cstheme="minorHAnsi"/>
              </w:rPr>
              <w:t>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4315073" w14:textId="0D7B041B" w:rsidR="000A1933" w:rsidRPr="00A847B7" w:rsidRDefault="000A1933" w:rsidP="000A1933">
            <w:pPr>
              <w:spacing w:beforeAutospacing="1" w:after="100" w:afterAutospacing="1"/>
              <w:rPr>
                <w:rFonts w:cstheme="minorHAnsi"/>
              </w:rPr>
            </w:pPr>
            <w:r w:rsidRPr="00A847B7">
              <w:rPr>
                <w:rFonts w:cstheme="minorHAnsi"/>
              </w:rPr>
              <w:t>144</w:t>
            </w:r>
          </w:p>
        </w:tc>
      </w:tr>
      <w:tr w:rsidR="000A1933" w:rsidRPr="00A847B7" w14:paraId="23BD2FA6"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A019906" w14:textId="02D7B54E" w:rsidR="000A1933" w:rsidRPr="00A847B7" w:rsidRDefault="000A1933" w:rsidP="000A1933">
            <w:pPr>
              <w:spacing w:beforeAutospacing="1" w:after="100" w:afterAutospacing="1"/>
              <w:rPr>
                <w:rFonts w:cstheme="minorHAnsi"/>
              </w:rPr>
            </w:pPr>
            <w:r w:rsidRPr="00A847B7">
              <w:rPr>
                <w:rFonts w:cstheme="minorHAnsi"/>
              </w:rPr>
              <w:t>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A585CAA" w14:textId="43594AE3" w:rsidR="000A1933" w:rsidRPr="00A847B7" w:rsidRDefault="000A1933" w:rsidP="000A1933">
            <w:pPr>
              <w:spacing w:beforeAutospacing="1" w:after="100" w:afterAutospacing="1"/>
              <w:rPr>
                <w:rFonts w:cstheme="minorHAnsi"/>
              </w:rPr>
            </w:pPr>
            <w:r w:rsidRPr="00A847B7">
              <w:rPr>
                <w:rFonts w:cstheme="minorHAnsi"/>
              </w:rPr>
              <w:t>146</w:t>
            </w:r>
          </w:p>
        </w:tc>
      </w:tr>
      <w:tr w:rsidR="000A1933" w:rsidRPr="00A847B7" w14:paraId="28B145B1"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BD9C175" w14:textId="28532B55" w:rsidR="000A1933" w:rsidRPr="00A847B7" w:rsidRDefault="000A1933" w:rsidP="000A1933">
            <w:pPr>
              <w:spacing w:beforeAutospacing="1" w:after="100" w:afterAutospacing="1"/>
              <w:rPr>
                <w:rFonts w:cstheme="minorHAnsi"/>
              </w:rPr>
            </w:pPr>
            <w:r w:rsidRPr="00A847B7">
              <w:rPr>
                <w:rFonts w:cstheme="minorHAnsi"/>
              </w:rPr>
              <w:t>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BDF6A49" w14:textId="539AC074" w:rsidR="000A1933" w:rsidRPr="00A847B7" w:rsidRDefault="000A1933" w:rsidP="000A1933">
            <w:pPr>
              <w:spacing w:beforeAutospacing="1" w:after="100" w:afterAutospacing="1"/>
              <w:rPr>
                <w:rFonts w:cstheme="minorHAnsi"/>
              </w:rPr>
            </w:pPr>
            <w:r w:rsidRPr="00A847B7">
              <w:rPr>
                <w:rFonts w:cstheme="minorHAnsi"/>
              </w:rPr>
              <w:t>147</w:t>
            </w:r>
          </w:p>
        </w:tc>
      </w:tr>
      <w:tr w:rsidR="000A1933" w:rsidRPr="00A847B7" w14:paraId="6B0F0C6F"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3CB6F58" w14:textId="19B225FD" w:rsidR="000A1933" w:rsidRPr="00A847B7" w:rsidRDefault="000A1933" w:rsidP="000A1933">
            <w:pPr>
              <w:spacing w:beforeAutospacing="1" w:after="100" w:afterAutospacing="1"/>
              <w:rPr>
                <w:rFonts w:cstheme="minorHAnsi"/>
              </w:rPr>
            </w:pPr>
            <w:r w:rsidRPr="00A847B7">
              <w:rPr>
                <w:rFonts w:cstheme="minorHAnsi"/>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E7B46DB" w14:textId="72D601BF" w:rsidR="000A1933" w:rsidRPr="00A847B7" w:rsidRDefault="000A1933" w:rsidP="000A1933">
            <w:pPr>
              <w:spacing w:beforeAutospacing="1" w:after="100" w:afterAutospacing="1"/>
              <w:rPr>
                <w:rFonts w:cstheme="minorHAnsi"/>
              </w:rPr>
            </w:pPr>
            <w:r w:rsidRPr="00A847B7">
              <w:rPr>
                <w:rFonts w:cstheme="minorHAnsi"/>
              </w:rPr>
              <w:t>149</w:t>
            </w:r>
          </w:p>
        </w:tc>
      </w:tr>
      <w:tr w:rsidR="000A1933" w:rsidRPr="00A847B7" w14:paraId="1C58C53F"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B5CF83C" w14:textId="626817AD" w:rsidR="000A1933" w:rsidRPr="00A847B7" w:rsidRDefault="000A1933" w:rsidP="000A1933">
            <w:pPr>
              <w:spacing w:beforeAutospacing="1" w:after="100" w:afterAutospacing="1"/>
              <w:rPr>
                <w:rFonts w:cstheme="minorHAnsi"/>
              </w:rPr>
            </w:pPr>
            <w:r w:rsidRPr="00A847B7">
              <w:rPr>
                <w:rFonts w:cstheme="minorHAnsi"/>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8ABDDA6" w14:textId="170DF3E6" w:rsidR="000A1933" w:rsidRPr="00A847B7" w:rsidRDefault="000A1933" w:rsidP="000A1933">
            <w:pPr>
              <w:spacing w:beforeAutospacing="1" w:after="100" w:afterAutospacing="1"/>
              <w:rPr>
                <w:rFonts w:cstheme="minorHAnsi"/>
              </w:rPr>
            </w:pPr>
            <w:r w:rsidRPr="00A847B7">
              <w:rPr>
                <w:rFonts w:cstheme="minorHAnsi"/>
              </w:rPr>
              <w:t>150</w:t>
            </w:r>
          </w:p>
        </w:tc>
      </w:tr>
      <w:tr w:rsidR="000A1933" w:rsidRPr="00A847B7" w14:paraId="381AB909"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493D0F0" w14:textId="4E612D9A" w:rsidR="000A1933" w:rsidRPr="00A847B7" w:rsidRDefault="000A1933" w:rsidP="000A1933">
            <w:pPr>
              <w:spacing w:beforeAutospacing="1" w:after="100" w:afterAutospacing="1"/>
              <w:rPr>
                <w:rFonts w:cstheme="minorHAnsi"/>
              </w:rPr>
            </w:pPr>
            <w:r w:rsidRPr="00A847B7">
              <w:rPr>
                <w:rFonts w:cstheme="minorHAnsi"/>
              </w:rPr>
              <w:t>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5C352DE" w14:textId="0D528D9C" w:rsidR="000A1933" w:rsidRPr="00A847B7" w:rsidRDefault="000A1933" w:rsidP="000A1933">
            <w:pPr>
              <w:spacing w:beforeAutospacing="1" w:after="100" w:afterAutospacing="1"/>
              <w:rPr>
                <w:rFonts w:cstheme="minorHAnsi"/>
              </w:rPr>
            </w:pPr>
            <w:r w:rsidRPr="00A847B7">
              <w:rPr>
                <w:rFonts w:cstheme="minorHAnsi"/>
              </w:rPr>
              <w:t>162</w:t>
            </w:r>
          </w:p>
        </w:tc>
      </w:tr>
      <w:tr w:rsidR="000A1933" w:rsidRPr="00A847B7" w14:paraId="1914147B"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4396269" w14:textId="011F3A0D" w:rsidR="000A1933" w:rsidRPr="00A847B7" w:rsidRDefault="000A1933" w:rsidP="000A1933">
            <w:pPr>
              <w:spacing w:beforeAutospacing="1" w:after="100" w:afterAutospacing="1"/>
              <w:rPr>
                <w:rFonts w:cstheme="minorHAnsi"/>
              </w:rPr>
            </w:pPr>
            <w:r w:rsidRPr="00A847B7">
              <w:rPr>
                <w:rFonts w:cstheme="minorHAnsi"/>
              </w:rPr>
              <w:t>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88155AC" w14:textId="330F3EFD" w:rsidR="000A1933" w:rsidRPr="00A847B7" w:rsidRDefault="000A1933" w:rsidP="000A1933">
            <w:pPr>
              <w:spacing w:beforeAutospacing="1" w:after="100" w:afterAutospacing="1"/>
              <w:rPr>
                <w:rFonts w:cstheme="minorHAnsi"/>
              </w:rPr>
            </w:pPr>
            <w:r w:rsidRPr="00A847B7">
              <w:rPr>
                <w:rFonts w:cstheme="minorHAnsi"/>
              </w:rPr>
              <w:t>163</w:t>
            </w:r>
          </w:p>
        </w:tc>
      </w:tr>
      <w:tr w:rsidR="000A1933" w:rsidRPr="00A847B7" w14:paraId="72842BC3"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2627572" w14:textId="2602B4AE" w:rsidR="000A1933" w:rsidRPr="00A847B7" w:rsidRDefault="000A1933" w:rsidP="000A1933">
            <w:pPr>
              <w:spacing w:beforeAutospacing="1" w:after="100" w:afterAutospacing="1"/>
              <w:rPr>
                <w:rFonts w:cstheme="minorHAnsi"/>
              </w:rPr>
            </w:pPr>
            <w:r w:rsidRPr="00A847B7">
              <w:rPr>
                <w:rFonts w:cstheme="minorHAnsi"/>
              </w:rPr>
              <w:t>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6406A30" w14:textId="6AF034EB" w:rsidR="000A1933" w:rsidRPr="00A847B7" w:rsidRDefault="000A1933" w:rsidP="000A1933">
            <w:pPr>
              <w:spacing w:beforeAutospacing="1" w:after="100" w:afterAutospacing="1"/>
              <w:rPr>
                <w:rFonts w:cstheme="minorHAnsi"/>
              </w:rPr>
            </w:pPr>
            <w:r w:rsidRPr="00A847B7">
              <w:rPr>
                <w:rFonts w:cstheme="minorHAnsi"/>
              </w:rPr>
              <w:t>165</w:t>
            </w:r>
          </w:p>
        </w:tc>
      </w:tr>
      <w:tr w:rsidR="000A1933" w:rsidRPr="00A847B7" w14:paraId="3DCD6BF9"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38FD472" w14:textId="50DA3447" w:rsidR="000A1933" w:rsidRPr="00A847B7" w:rsidRDefault="000A1933" w:rsidP="000A1933">
            <w:pPr>
              <w:spacing w:beforeAutospacing="1" w:after="100" w:afterAutospacing="1"/>
              <w:rPr>
                <w:rFonts w:cstheme="minorHAnsi"/>
              </w:rPr>
            </w:pPr>
            <w:r w:rsidRPr="00A847B7">
              <w:rPr>
                <w:rFonts w:cstheme="minorHAnsi"/>
              </w:rPr>
              <w:t>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FD5F5F3" w14:textId="1C2B0060" w:rsidR="000A1933" w:rsidRPr="00A847B7" w:rsidRDefault="000A1933" w:rsidP="000A1933">
            <w:pPr>
              <w:spacing w:beforeAutospacing="1" w:after="100" w:afterAutospacing="1"/>
              <w:rPr>
                <w:rFonts w:cstheme="minorHAnsi"/>
              </w:rPr>
            </w:pPr>
            <w:r w:rsidRPr="00A847B7">
              <w:rPr>
                <w:rFonts w:cstheme="minorHAnsi"/>
              </w:rPr>
              <w:t>166</w:t>
            </w:r>
          </w:p>
        </w:tc>
      </w:tr>
      <w:tr w:rsidR="000A1933" w:rsidRPr="00A847B7" w14:paraId="490C9F4E"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CB40B2C" w14:textId="5E146E8E" w:rsidR="000A1933" w:rsidRPr="00A847B7" w:rsidRDefault="000A1933" w:rsidP="000A1933">
            <w:pPr>
              <w:spacing w:beforeAutospacing="1" w:after="100" w:afterAutospacing="1"/>
              <w:rPr>
                <w:rFonts w:cstheme="minorHAnsi"/>
              </w:rPr>
            </w:pPr>
            <w:r w:rsidRPr="00A847B7">
              <w:rPr>
                <w:rFonts w:cstheme="minorHAnsi"/>
              </w:rPr>
              <w:t>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21D570C" w14:textId="38BA3705" w:rsidR="000A1933" w:rsidRPr="00A847B7" w:rsidRDefault="000A1933" w:rsidP="000A1933">
            <w:pPr>
              <w:spacing w:beforeAutospacing="1" w:after="100" w:afterAutospacing="1"/>
              <w:rPr>
                <w:rFonts w:cstheme="minorHAnsi"/>
              </w:rPr>
            </w:pPr>
            <w:r w:rsidRPr="00A847B7">
              <w:rPr>
                <w:rFonts w:cstheme="minorHAnsi"/>
              </w:rPr>
              <w:t>168</w:t>
            </w:r>
          </w:p>
        </w:tc>
      </w:tr>
      <w:tr w:rsidR="000A1933" w:rsidRPr="00A847B7" w14:paraId="275CF675"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44841B7" w14:textId="50E22F2D" w:rsidR="000A1933" w:rsidRPr="00A847B7" w:rsidRDefault="000A1933" w:rsidP="000A1933">
            <w:pPr>
              <w:spacing w:beforeAutospacing="1" w:after="100" w:afterAutospacing="1"/>
              <w:rPr>
                <w:rFonts w:cstheme="minorHAnsi"/>
              </w:rPr>
            </w:pPr>
            <w:r w:rsidRPr="00A847B7">
              <w:rPr>
                <w:rFonts w:cstheme="minorHAnsi"/>
              </w:rPr>
              <w:t>106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30DBCCE" w14:textId="5ADD93FB" w:rsidR="000A1933" w:rsidRPr="00A847B7" w:rsidRDefault="000A1933" w:rsidP="000A1933">
            <w:pPr>
              <w:spacing w:beforeAutospacing="1" w:after="100" w:afterAutospacing="1"/>
              <w:rPr>
                <w:rFonts w:cstheme="minorHAnsi"/>
              </w:rPr>
            </w:pPr>
            <w:r w:rsidRPr="00A847B7">
              <w:rPr>
                <w:rFonts w:cstheme="minorHAnsi"/>
              </w:rPr>
              <w:t>170</w:t>
            </w:r>
          </w:p>
        </w:tc>
      </w:tr>
      <w:tr w:rsidR="000A1933" w:rsidRPr="00A847B7" w14:paraId="72D10BDC"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467B3FB" w14:textId="1038B947" w:rsidR="000A1933" w:rsidRPr="00A847B7" w:rsidRDefault="000A1933" w:rsidP="000A1933">
            <w:pPr>
              <w:spacing w:beforeAutospacing="1" w:after="100" w:afterAutospacing="1"/>
              <w:rPr>
                <w:rFonts w:cstheme="minorHAnsi"/>
              </w:rPr>
            </w:pPr>
            <w:r w:rsidRPr="00A847B7">
              <w:rPr>
                <w:rFonts w:cstheme="minorHAnsi"/>
              </w:rPr>
              <w:t>107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97076FC" w14:textId="0182E3DF" w:rsidR="000A1933" w:rsidRPr="00A847B7" w:rsidRDefault="000A1933" w:rsidP="000A1933">
            <w:pPr>
              <w:spacing w:beforeAutospacing="1" w:after="100" w:afterAutospacing="1"/>
              <w:rPr>
                <w:rFonts w:cstheme="minorHAnsi"/>
              </w:rPr>
            </w:pPr>
            <w:r w:rsidRPr="00A847B7">
              <w:rPr>
                <w:rFonts w:cstheme="minorHAnsi"/>
              </w:rPr>
              <w:t>171</w:t>
            </w:r>
          </w:p>
        </w:tc>
      </w:tr>
      <w:tr w:rsidR="000A1933" w:rsidRPr="00A847B7" w14:paraId="6A407C3E"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8C0EEA8" w14:textId="6B2889CB" w:rsidR="000A1933" w:rsidRPr="00A847B7" w:rsidRDefault="000A1933" w:rsidP="000A1933">
            <w:pPr>
              <w:spacing w:beforeAutospacing="1" w:after="100" w:afterAutospacing="1"/>
              <w:rPr>
                <w:rFonts w:cstheme="minorHAnsi"/>
              </w:rPr>
            </w:pPr>
            <w:r w:rsidRPr="00A847B7">
              <w:rPr>
                <w:rFonts w:cstheme="minorHAnsi"/>
              </w:rPr>
              <w:t>108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C90870F" w14:textId="156C93C4" w:rsidR="000A1933" w:rsidRPr="00A847B7" w:rsidRDefault="000A1933" w:rsidP="000A1933">
            <w:pPr>
              <w:spacing w:beforeAutospacing="1" w:after="100" w:afterAutospacing="1"/>
              <w:rPr>
                <w:rFonts w:cstheme="minorHAnsi"/>
              </w:rPr>
            </w:pPr>
            <w:r w:rsidRPr="00A847B7">
              <w:rPr>
                <w:rFonts w:cstheme="minorHAnsi"/>
              </w:rPr>
              <w:t>173</w:t>
            </w:r>
          </w:p>
        </w:tc>
      </w:tr>
      <w:tr w:rsidR="000A1933" w:rsidRPr="00A847B7" w14:paraId="3F872DC4"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6EB3F46" w14:textId="0D3B2902" w:rsidR="000A1933" w:rsidRPr="00A847B7" w:rsidRDefault="000A1933" w:rsidP="000A1933">
            <w:pPr>
              <w:spacing w:beforeAutospacing="1" w:after="100" w:afterAutospacing="1"/>
              <w:rPr>
                <w:rFonts w:cstheme="minorHAnsi"/>
              </w:rPr>
            </w:pPr>
            <w:r w:rsidRPr="00A847B7">
              <w:rPr>
                <w:rFonts w:cstheme="minorHAnsi"/>
              </w:rPr>
              <w:t>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9E737B9" w14:textId="016D9110" w:rsidR="000A1933" w:rsidRPr="00A847B7" w:rsidRDefault="000A1933" w:rsidP="000A1933">
            <w:pPr>
              <w:spacing w:beforeAutospacing="1" w:after="100" w:afterAutospacing="1"/>
              <w:rPr>
                <w:rFonts w:cstheme="minorHAnsi"/>
              </w:rPr>
            </w:pPr>
            <w:r w:rsidRPr="00A847B7">
              <w:rPr>
                <w:rFonts w:cstheme="minorHAnsi"/>
              </w:rPr>
              <w:t>174</w:t>
            </w:r>
          </w:p>
        </w:tc>
      </w:tr>
      <w:tr w:rsidR="000A1933" w:rsidRPr="00A847B7" w14:paraId="2BD743BC"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FF3A00E" w14:textId="31A0F9BC" w:rsidR="000A1933" w:rsidRPr="00A847B7" w:rsidRDefault="000A1933" w:rsidP="000A1933">
            <w:pPr>
              <w:spacing w:beforeAutospacing="1" w:after="100" w:afterAutospacing="1"/>
              <w:rPr>
                <w:rFonts w:cstheme="minorHAnsi"/>
              </w:rPr>
            </w:pPr>
            <w:r w:rsidRPr="00A847B7">
              <w:rPr>
                <w:rFonts w:cstheme="minorHAnsi"/>
              </w:rPr>
              <w:t>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050097D" w14:textId="6362BD08" w:rsidR="000A1933" w:rsidRPr="00A847B7" w:rsidRDefault="000A1933" w:rsidP="000A1933">
            <w:pPr>
              <w:spacing w:beforeAutospacing="1" w:after="100" w:afterAutospacing="1"/>
              <w:rPr>
                <w:rFonts w:cstheme="minorHAnsi"/>
              </w:rPr>
            </w:pPr>
            <w:r w:rsidRPr="00A847B7">
              <w:rPr>
                <w:rFonts w:cstheme="minorHAnsi"/>
              </w:rPr>
              <w:t>176</w:t>
            </w:r>
          </w:p>
        </w:tc>
      </w:tr>
      <w:tr w:rsidR="000A1933" w:rsidRPr="00A847B7" w14:paraId="53F04B06"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C4E570B" w14:textId="07996A22" w:rsidR="000A1933" w:rsidRPr="00A847B7" w:rsidRDefault="000A1933" w:rsidP="000A1933">
            <w:pPr>
              <w:spacing w:beforeAutospacing="1" w:after="100" w:afterAutospacing="1"/>
              <w:rPr>
                <w:rFonts w:cstheme="minorHAnsi"/>
              </w:rPr>
            </w:pPr>
            <w:r w:rsidRPr="00A847B7">
              <w:rPr>
                <w:rFonts w:cstheme="minorHAnsi"/>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46E4BE9" w14:textId="5DFAD687" w:rsidR="000A1933" w:rsidRPr="00A847B7" w:rsidRDefault="000A1933" w:rsidP="000A1933">
            <w:pPr>
              <w:spacing w:beforeAutospacing="1" w:after="100" w:afterAutospacing="1"/>
              <w:rPr>
                <w:rFonts w:cstheme="minorHAnsi"/>
              </w:rPr>
            </w:pPr>
            <w:r w:rsidRPr="00A847B7">
              <w:rPr>
                <w:rFonts w:cstheme="minorHAnsi"/>
              </w:rPr>
              <w:t>178</w:t>
            </w:r>
          </w:p>
        </w:tc>
      </w:tr>
      <w:tr w:rsidR="000A1933" w:rsidRPr="00A847B7" w14:paraId="6B0C5288"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47AFA86" w14:textId="23893CBF" w:rsidR="000A1933" w:rsidRPr="00A847B7" w:rsidRDefault="000A1933" w:rsidP="000A1933">
            <w:pPr>
              <w:spacing w:beforeAutospacing="1" w:after="100" w:afterAutospacing="1"/>
              <w:rPr>
                <w:rFonts w:cstheme="minorHAnsi"/>
              </w:rPr>
            </w:pPr>
            <w:r w:rsidRPr="00A847B7">
              <w:rPr>
                <w:rFonts w:cstheme="minorHAnsi"/>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CE9BC40" w14:textId="7B04D4FA" w:rsidR="000A1933" w:rsidRPr="00A847B7" w:rsidRDefault="000A1933" w:rsidP="000A1933">
            <w:pPr>
              <w:spacing w:beforeAutospacing="1" w:after="100" w:afterAutospacing="1"/>
              <w:rPr>
                <w:rFonts w:cstheme="minorHAnsi"/>
              </w:rPr>
            </w:pPr>
            <w:r w:rsidRPr="00A847B7">
              <w:rPr>
                <w:rFonts w:cstheme="minorHAnsi"/>
              </w:rPr>
              <w:t>179</w:t>
            </w:r>
          </w:p>
        </w:tc>
      </w:tr>
      <w:tr w:rsidR="000A1933" w:rsidRPr="00A847B7" w14:paraId="12D38653"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2C70AA4" w14:textId="62EC2D2C" w:rsidR="000A1933" w:rsidRPr="00A847B7" w:rsidRDefault="000A1933" w:rsidP="000A1933">
            <w:pPr>
              <w:spacing w:beforeAutospacing="1" w:after="100" w:afterAutospacing="1"/>
              <w:rPr>
                <w:rFonts w:cstheme="minorHAnsi"/>
              </w:rPr>
            </w:pPr>
            <w:r w:rsidRPr="00A847B7">
              <w:rPr>
                <w:rFonts w:cstheme="minorHAnsi"/>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8F00A53" w14:textId="036B7628" w:rsidR="000A1933" w:rsidRPr="00A847B7" w:rsidRDefault="000A1933" w:rsidP="000A1933">
            <w:pPr>
              <w:spacing w:beforeAutospacing="1" w:after="100" w:afterAutospacing="1"/>
              <w:rPr>
                <w:rFonts w:cstheme="minorHAnsi"/>
              </w:rPr>
            </w:pPr>
            <w:r w:rsidRPr="00A847B7">
              <w:rPr>
                <w:rFonts w:cstheme="minorHAnsi"/>
              </w:rPr>
              <w:t>181</w:t>
            </w:r>
          </w:p>
        </w:tc>
      </w:tr>
      <w:tr w:rsidR="000A1933" w:rsidRPr="00A847B7" w14:paraId="602BBF65"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7D4D2FA" w14:textId="198DDD42" w:rsidR="000A1933" w:rsidRPr="00A847B7" w:rsidRDefault="000A1933" w:rsidP="000A1933">
            <w:pPr>
              <w:spacing w:beforeAutospacing="1" w:after="100" w:afterAutospacing="1"/>
              <w:rPr>
                <w:rFonts w:cstheme="minorHAnsi"/>
              </w:rPr>
            </w:pPr>
            <w:r w:rsidRPr="00A847B7">
              <w:rPr>
                <w:rFonts w:cstheme="minorHAnsi"/>
              </w:rPr>
              <w:t>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AAE9CD6" w14:textId="4CA08F68" w:rsidR="000A1933" w:rsidRPr="00A847B7" w:rsidRDefault="000A1933" w:rsidP="000A1933">
            <w:pPr>
              <w:spacing w:beforeAutospacing="1" w:after="100" w:afterAutospacing="1"/>
              <w:rPr>
                <w:rFonts w:cstheme="minorHAnsi"/>
              </w:rPr>
            </w:pPr>
            <w:r w:rsidRPr="00A847B7">
              <w:rPr>
                <w:rFonts w:cstheme="minorHAnsi"/>
              </w:rPr>
              <w:t>182</w:t>
            </w:r>
          </w:p>
        </w:tc>
      </w:tr>
      <w:tr w:rsidR="000A1933" w:rsidRPr="00A847B7" w14:paraId="1BB0374E"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95A5EC9" w14:textId="726DF282" w:rsidR="000A1933" w:rsidRPr="00A847B7" w:rsidRDefault="000A1933" w:rsidP="000A1933">
            <w:pPr>
              <w:spacing w:beforeAutospacing="1" w:after="100" w:afterAutospacing="1"/>
              <w:rPr>
                <w:rFonts w:cstheme="minorHAnsi"/>
              </w:rPr>
            </w:pPr>
            <w:r w:rsidRPr="00A847B7">
              <w:rPr>
                <w:rFonts w:cstheme="minorHAnsi"/>
              </w:rPr>
              <w:t>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AF2F75E" w14:textId="46AA6F6F" w:rsidR="000A1933" w:rsidRPr="00A847B7" w:rsidRDefault="000A1933" w:rsidP="000A1933">
            <w:pPr>
              <w:spacing w:beforeAutospacing="1" w:after="100" w:afterAutospacing="1"/>
              <w:rPr>
                <w:rFonts w:cstheme="minorHAnsi"/>
              </w:rPr>
            </w:pPr>
            <w:r w:rsidRPr="00A847B7">
              <w:rPr>
                <w:rFonts w:cstheme="minorHAnsi"/>
              </w:rPr>
              <w:t>184</w:t>
            </w:r>
          </w:p>
        </w:tc>
      </w:tr>
      <w:tr w:rsidR="000A1933" w:rsidRPr="00A847B7" w14:paraId="25D911B4"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2467AE9" w14:textId="7EFD54A4" w:rsidR="000A1933" w:rsidRPr="00A847B7" w:rsidRDefault="000A1933" w:rsidP="000A1933">
            <w:pPr>
              <w:spacing w:beforeAutospacing="1" w:after="100" w:afterAutospacing="1"/>
              <w:rPr>
                <w:rFonts w:cstheme="minorHAnsi"/>
              </w:rPr>
            </w:pPr>
            <w:r w:rsidRPr="00A847B7">
              <w:rPr>
                <w:rFonts w:cstheme="minorHAnsi"/>
              </w:rPr>
              <w:t>116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4E612BC" w14:textId="1381C952" w:rsidR="000A1933" w:rsidRPr="00A847B7" w:rsidRDefault="000A1933" w:rsidP="000A1933">
            <w:pPr>
              <w:spacing w:beforeAutospacing="1" w:after="100" w:afterAutospacing="1"/>
              <w:rPr>
                <w:rFonts w:cstheme="minorHAnsi"/>
              </w:rPr>
            </w:pPr>
            <w:r w:rsidRPr="00A847B7">
              <w:rPr>
                <w:rFonts w:cstheme="minorHAnsi"/>
              </w:rPr>
              <w:t>186</w:t>
            </w:r>
          </w:p>
        </w:tc>
      </w:tr>
      <w:tr w:rsidR="000A1933" w:rsidRPr="00A847B7" w14:paraId="7CEE72A1"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388E1E3" w14:textId="57A51BAD" w:rsidR="000A1933" w:rsidRPr="00A847B7" w:rsidRDefault="000A1933" w:rsidP="000A1933">
            <w:pPr>
              <w:spacing w:beforeAutospacing="1" w:after="100" w:afterAutospacing="1"/>
              <w:rPr>
                <w:rFonts w:cstheme="minorHAnsi"/>
              </w:rPr>
            </w:pPr>
            <w:r w:rsidRPr="00A847B7">
              <w:rPr>
                <w:rFonts w:cstheme="minorHAnsi"/>
              </w:rPr>
              <w:t>117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54E7D7C" w14:textId="75151A04" w:rsidR="000A1933" w:rsidRPr="00A847B7" w:rsidRDefault="000A1933" w:rsidP="000A1933">
            <w:pPr>
              <w:spacing w:beforeAutospacing="1" w:after="100" w:afterAutospacing="1"/>
              <w:rPr>
                <w:rFonts w:cstheme="minorHAnsi"/>
              </w:rPr>
            </w:pPr>
            <w:r w:rsidRPr="00A847B7">
              <w:rPr>
                <w:rFonts w:cstheme="minorHAnsi"/>
              </w:rPr>
              <w:t>187</w:t>
            </w:r>
          </w:p>
        </w:tc>
      </w:tr>
      <w:tr w:rsidR="000A1933" w:rsidRPr="00A847B7" w14:paraId="687FA92B"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2B0836C" w14:textId="74239EAD" w:rsidR="000A1933" w:rsidRPr="00A847B7" w:rsidRDefault="000A1933" w:rsidP="000A1933">
            <w:pPr>
              <w:spacing w:beforeAutospacing="1" w:after="100" w:afterAutospacing="1"/>
              <w:rPr>
                <w:rFonts w:cstheme="minorHAnsi"/>
              </w:rPr>
            </w:pPr>
            <w:r w:rsidRPr="00A847B7">
              <w:rPr>
                <w:rFonts w:cstheme="minorHAnsi"/>
              </w:rPr>
              <w:t>118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8AEA6AB" w14:textId="4593F361" w:rsidR="000A1933" w:rsidRPr="00A847B7" w:rsidRDefault="000A1933" w:rsidP="000A1933">
            <w:pPr>
              <w:spacing w:beforeAutospacing="1" w:after="100" w:afterAutospacing="1"/>
              <w:rPr>
                <w:rFonts w:cstheme="minorHAnsi"/>
              </w:rPr>
            </w:pPr>
            <w:r w:rsidRPr="00A847B7">
              <w:rPr>
                <w:rFonts w:cstheme="minorHAnsi"/>
              </w:rPr>
              <w:t>189</w:t>
            </w:r>
          </w:p>
        </w:tc>
      </w:tr>
      <w:tr w:rsidR="000A1933" w:rsidRPr="00A847B7" w14:paraId="23F127B2"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489C5D2" w14:textId="158B4318" w:rsidR="000A1933" w:rsidRPr="00A847B7" w:rsidRDefault="000A1933" w:rsidP="000A1933">
            <w:pPr>
              <w:spacing w:beforeAutospacing="1" w:after="100" w:afterAutospacing="1"/>
              <w:rPr>
                <w:rFonts w:cstheme="minorHAnsi"/>
              </w:rPr>
            </w:pPr>
            <w:r w:rsidRPr="00A847B7">
              <w:rPr>
                <w:rFonts w:cstheme="minorHAnsi"/>
              </w:rPr>
              <w:t>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476ABAF" w14:textId="57ECA7AE" w:rsidR="000A1933" w:rsidRPr="00A847B7" w:rsidRDefault="000A1933" w:rsidP="000A1933">
            <w:pPr>
              <w:spacing w:beforeAutospacing="1" w:after="100" w:afterAutospacing="1"/>
              <w:rPr>
                <w:rFonts w:cstheme="minorHAnsi"/>
              </w:rPr>
            </w:pPr>
            <w:r w:rsidRPr="00A847B7">
              <w:rPr>
                <w:rFonts w:cstheme="minorHAnsi"/>
              </w:rPr>
              <w:t>190</w:t>
            </w:r>
          </w:p>
        </w:tc>
      </w:tr>
      <w:tr w:rsidR="000A1933" w:rsidRPr="00A847B7" w14:paraId="6826740A"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58C9D32" w14:textId="1A99A718" w:rsidR="000A1933" w:rsidRPr="00A847B7" w:rsidRDefault="000A1933" w:rsidP="000A1933">
            <w:pPr>
              <w:spacing w:beforeAutospacing="1" w:after="100" w:afterAutospacing="1"/>
              <w:rPr>
                <w:rFonts w:cstheme="minorHAnsi"/>
              </w:rPr>
            </w:pPr>
            <w:r w:rsidRPr="00A847B7">
              <w:rPr>
                <w:rFonts w:cstheme="minorHAnsi"/>
              </w:rPr>
              <w:t>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E777695" w14:textId="2CE99714" w:rsidR="000A1933" w:rsidRPr="00A847B7" w:rsidRDefault="000A1933" w:rsidP="000A1933">
            <w:pPr>
              <w:spacing w:beforeAutospacing="1" w:after="100" w:afterAutospacing="1"/>
              <w:rPr>
                <w:rFonts w:cstheme="minorHAnsi"/>
              </w:rPr>
            </w:pPr>
            <w:r w:rsidRPr="00A847B7">
              <w:rPr>
                <w:rFonts w:cstheme="minorHAnsi"/>
              </w:rPr>
              <w:t>192</w:t>
            </w:r>
          </w:p>
        </w:tc>
      </w:tr>
      <w:tr w:rsidR="000A1933" w:rsidRPr="00A847B7" w14:paraId="258FC0BC"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63E8CE9" w14:textId="13AC001D" w:rsidR="000A1933" w:rsidRPr="00A847B7" w:rsidRDefault="000A1933" w:rsidP="000A1933">
            <w:pPr>
              <w:spacing w:beforeAutospacing="1" w:after="100" w:afterAutospacing="1"/>
              <w:rPr>
                <w:rFonts w:cstheme="minorHAnsi"/>
              </w:rPr>
            </w:pPr>
            <w:r w:rsidRPr="00A847B7">
              <w:rPr>
                <w:rFonts w:cstheme="minorHAnsi"/>
              </w:rPr>
              <w:t>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8B081FD" w14:textId="18559E14" w:rsidR="000A1933" w:rsidRPr="00A847B7" w:rsidRDefault="000A1933" w:rsidP="000A1933">
            <w:pPr>
              <w:spacing w:beforeAutospacing="1" w:after="100" w:afterAutospacing="1"/>
              <w:rPr>
                <w:rFonts w:cstheme="minorHAnsi"/>
              </w:rPr>
            </w:pPr>
            <w:r w:rsidRPr="00A847B7">
              <w:rPr>
                <w:rFonts w:cstheme="minorHAnsi"/>
              </w:rPr>
              <w:t>194</w:t>
            </w:r>
          </w:p>
        </w:tc>
      </w:tr>
      <w:tr w:rsidR="000A1933" w:rsidRPr="00A847B7" w14:paraId="49E5F591"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6E1BB80" w14:textId="488D1B72" w:rsidR="000A1933" w:rsidRPr="00A847B7" w:rsidRDefault="000A1933" w:rsidP="000A1933">
            <w:pPr>
              <w:spacing w:beforeAutospacing="1" w:after="100" w:afterAutospacing="1"/>
              <w:rPr>
                <w:rFonts w:cstheme="minorHAnsi"/>
              </w:rPr>
            </w:pPr>
            <w:r w:rsidRPr="00A847B7">
              <w:rPr>
                <w:rFonts w:cstheme="minorHAnsi"/>
              </w:rPr>
              <w:t>122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CE2D0C0" w14:textId="279E2781" w:rsidR="000A1933" w:rsidRPr="00A847B7" w:rsidRDefault="000A1933" w:rsidP="000A1933">
            <w:pPr>
              <w:spacing w:beforeAutospacing="1" w:after="100" w:afterAutospacing="1"/>
              <w:rPr>
                <w:rFonts w:cstheme="minorHAnsi"/>
              </w:rPr>
            </w:pPr>
            <w:r w:rsidRPr="00A847B7">
              <w:rPr>
                <w:rFonts w:cstheme="minorHAnsi"/>
              </w:rPr>
              <w:t>195</w:t>
            </w:r>
          </w:p>
        </w:tc>
      </w:tr>
      <w:tr w:rsidR="000A1933" w:rsidRPr="00A847B7" w14:paraId="77092790"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60A8FC0" w14:textId="6862C61E" w:rsidR="000A1933" w:rsidRPr="00A847B7" w:rsidRDefault="000A1933" w:rsidP="000A1933">
            <w:pPr>
              <w:spacing w:beforeAutospacing="1" w:after="100" w:afterAutospacing="1"/>
              <w:rPr>
                <w:rFonts w:cstheme="minorHAnsi"/>
              </w:rPr>
            </w:pPr>
            <w:r w:rsidRPr="00A847B7">
              <w:rPr>
                <w:rFonts w:cstheme="minorHAnsi"/>
              </w:rPr>
              <w:t>123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E396496" w14:textId="795E4937" w:rsidR="000A1933" w:rsidRPr="00A847B7" w:rsidRDefault="000A1933" w:rsidP="000A1933">
            <w:pPr>
              <w:spacing w:beforeAutospacing="1" w:after="100" w:afterAutospacing="1"/>
              <w:rPr>
                <w:rFonts w:cstheme="minorHAnsi"/>
              </w:rPr>
            </w:pPr>
            <w:r w:rsidRPr="00A847B7">
              <w:rPr>
                <w:rFonts w:cstheme="minorHAnsi"/>
              </w:rPr>
              <w:t>197</w:t>
            </w:r>
          </w:p>
        </w:tc>
      </w:tr>
      <w:tr w:rsidR="000A1933" w:rsidRPr="00A847B7" w14:paraId="30CDE440"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53FB420" w14:textId="305767B5" w:rsidR="000A1933" w:rsidRPr="00A847B7" w:rsidRDefault="000A1933" w:rsidP="000A1933">
            <w:pPr>
              <w:spacing w:beforeAutospacing="1" w:after="100" w:afterAutospacing="1"/>
              <w:rPr>
                <w:rFonts w:cstheme="minorHAnsi"/>
              </w:rPr>
            </w:pPr>
            <w:r w:rsidRPr="00A847B7">
              <w:rPr>
                <w:rFonts w:cstheme="minorHAnsi"/>
              </w:rPr>
              <w:t>124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7EE105B" w14:textId="312BBC84" w:rsidR="000A1933" w:rsidRPr="00A847B7" w:rsidRDefault="000A1933" w:rsidP="000A1933">
            <w:pPr>
              <w:spacing w:beforeAutospacing="1" w:after="100" w:afterAutospacing="1"/>
              <w:rPr>
                <w:rFonts w:cstheme="minorHAnsi"/>
              </w:rPr>
            </w:pPr>
            <w:r w:rsidRPr="00A847B7">
              <w:rPr>
                <w:rFonts w:cstheme="minorHAnsi"/>
              </w:rPr>
              <w:t>198</w:t>
            </w:r>
          </w:p>
        </w:tc>
      </w:tr>
      <w:tr w:rsidR="000A1933" w:rsidRPr="00A847B7" w14:paraId="340AB314"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5BA3594" w14:textId="2432596E" w:rsidR="000A1933" w:rsidRPr="00A847B7" w:rsidRDefault="000A1933" w:rsidP="000A1933">
            <w:pPr>
              <w:spacing w:beforeAutospacing="1" w:after="100" w:afterAutospacing="1"/>
              <w:rPr>
                <w:rFonts w:cstheme="minorHAnsi"/>
              </w:rPr>
            </w:pPr>
            <w:r w:rsidRPr="00A847B7">
              <w:rPr>
                <w:rFonts w:cstheme="minorHAnsi"/>
              </w:rPr>
              <w:t>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3A64FCD" w14:textId="75EBDF67" w:rsidR="000A1933" w:rsidRPr="00A847B7" w:rsidRDefault="000A1933" w:rsidP="000A1933">
            <w:pPr>
              <w:spacing w:beforeAutospacing="1" w:after="100" w:afterAutospacing="1"/>
              <w:rPr>
                <w:rFonts w:cstheme="minorHAnsi"/>
              </w:rPr>
            </w:pPr>
            <w:r w:rsidRPr="00A847B7">
              <w:rPr>
                <w:rFonts w:cstheme="minorHAnsi"/>
              </w:rPr>
              <w:t>200</w:t>
            </w:r>
          </w:p>
        </w:tc>
      </w:tr>
      <w:tr w:rsidR="000A1933" w:rsidRPr="00A847B7" w14:paraId="365D1E36"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984D219" w14:textId="3A9DA029" w:rsidR="000A1933" w:rsidRPr="00A847B7" w:rsidRDefault="000A1933" w:rsidP="000A1933">
            <w:pPr>
              <w:spacing w:beforeAutospacing="1" w:after="100" w:afterAutospacing="1"/>
              <w:rPr>
                <w:rFonts w:cstheme="minorHAnsi"/>
              </w:rPr>
            </w:pPr>
            <w:r w:rsidRPr="00A847B7">
              <w:rPr>
                <w:rFonts w:cstheme="minorHAnsi"/>
              </w:rPr>
              <w:t>126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77CB5AB" w14:textId="74E66F3F" w:rsidR="000A1933" w:rsidRPr="00A847B7" w:rsidRDefault="000A1933" w:rsidP="000A1933">
            <w:pPr>
              <w:spacing w:beforeAutospacing="1" w:after="100" w:afterAutospacing="1"/>
              <w:rPr>
                <w:rFonts w:cstheme="minorHAnsi"/>
              </w:rPr>
            </w:pPr>
            <w:r w:rsidRPr="00A847B7">
              <w:rPr>
                <w:rFonts w:cstheme="minorHAnsi"/>
              </w:rPr>
              <w:t>202</w:t>
            </w:r>
          </w:p>
        </w:tc>
      </w:tr>
      <w:tr w:rsidR="000A1933" w:rsidRPr="00A847B7" w14:paraId="7F0B93FF"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D5CCFBD" w14:textId="4C161E82" w:rsidR="000A1933" w:rsidRPr="00A847B7" w:rsidRDefault="000A1933" w:rsidP="000A1933">
            <w:pPr>
              <w:spacing w:beforeAutospacing="1" w:after="100" w:afterAutospacing="1"/>
              <w:rPr>
                <w:rFonts w:cstheme="minorHAnsi"/>
              </w:rPr>
            </w:pPr>
            <w:r w:rsidRPr="00A847B7">
              <w:rPr>
                <w:rFonts w:cstheme="minorHAnsi"/>
              </w:rPr>
              <w:t>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C9A627F" w14:textId="4746B567" w:rsidR="000A1933" w:rsidRPr="00A847B7" w:rsidRDefault="000A1933" w:rsidP="000A1933">
            <w:pPr>
              <w:spacing w:beforeAutospacing="1" w:after="100" w:afterAutospacing="1"/>
              <w:rPr>
                <w:rFonts w:cstheme="minorHAnsi"/>
              </w:rPr>
            </w:pPr>
            <w:r w:rsidRPr="00A847B7">
              <w:rPr>
                <w:rFonts w:cstheme="minorHAnsi"/>
              </w:rPr>
              <w:t>203</w:t>
            </w:r>
          </w:p>
        </w:tc>
      </w:tr>
      <w:tr w:rsidR="000A1933" w:rsidRPr="00A847B7" w14:paraId="7D3F41CB"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A39A135" w14:textId="079D445C" w:rsidR="000A1933" w:rsidRPr="00A847B7" w:rsidRDefault="000A1933" w:rsidP="000A1933">
            <w:pPr>
              <w:spacing w:beforeAutospacing="1" w:after="100" w:afterAutospacing="1"/>
              <w:rPr>
                <w:rFonts w:cstheme="minorHAnsi"/>
              </w:rPr>
            </w:pPr>
            <w:r w:rsidRPr="00A847B7">
              <w:rPr>
                <w:rFonts w:cstheme="minorHAnsi"/>
              </w:rPr>
              <w:t>128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FEA6CF6" w14:textId="7EAA1172" w:rsidR="000A1933" w:rsidRPr="00A847B7" w:rsidRDefault="000A1933" w:rsidP="000A1933">
            <w:pPr>
              <w:spacing w:beforeAutospacing="1" w:after="100" w:afterAutospacing="1"/>
              <w:rPr>
                <w:rFonts w:cstheme="minorHAnsi"/>
              </w:rPr>
            </w:pPr>
            <w:r w:rsidRPr="00A847B7">
              <w:rPr>
                <w:rFonts w:cstheme="minorHAnsi"/>
              </w:rPr>
              <w:t>218</w:t>
            </w:r>
          </w:p>
        </w:tc>
      </w:tr>
      <w:tr w:rsidR="000A1933" w:rsidRPr="00A847B7" w14:paraId="6B506B53"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ECBF1B8" w14:textId="37543CD0" w:rsidR="000A1933" w:rsidRPr="00A847B7" w:rsidRDefault="000A1933" w:rsidP="000A1933">
            <w:pPr>
              <w:spacing w:beforeAutospacing="1" w:after="100" w:afterAutospacing="1"/>
              <w:rPr>
                <w:rFonts w:cstheme="minorHAnsi"/>
              </w:rPr>
            </w:pPr>
            <w:r w:rsidRPr="00A847B7">
              <w:rPr>
                <w:rFonts w:cstheme="minorHAnsi"/>
              </w:rPr>
              <w:t>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1050C1D" w14:textId="5D6C4B3B" w:rsidR="000A1933" w:rsidRPr="00A847B7" w:rsidRDefault="000A1933" w:rsidP="000A1933">
            <w:pPr>
              <w:spacing w:beforeAutospacing="1" w:after="100" w:afterAutospacing="1"/>
              <w:rPr>
                <w:rFonts w:cstheme="minorHAnsi"/>
              </w:rPr>
            </w:pPr>
            <w:r w:rsidRPr="00A847B7">
              <w:rPr>
                <w:rFonts w:cstheme="minorHAnsi"/>
              </w:rPr>
              <w:t>232</w:t>
            </w:r>
          </w:p>
        </w:tc>
      </w:tr>
      <w:tr w:rsidR="000A1933" w:rsidRPr="00A847B7" w14:paraId="01105A9D"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7322FAA" w14:textId="35ADC4AA" w:rsidR="000A1933" w:rsidRPr="00A847B7" w:rsidRDefault="000A1933" w:rsidP="000A1933">
            <w:pPr>
              <w:spacing w:beforeAutospacing="1" w:after="100" w:afterAutospacing="1"/>
              <w:rPr>
                <w:rFonts w:cstheme="minorHAnsi"/>
              </w:rPr>
            </w:pPr>
            <w:r w:rsidRPr="00A847B7">
              <w:rPr>
                <w:rFonts w:cstheme="minorHAnsi"/>
              </w:rPr>
              <w:t>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B5B3E70" w14:textId="1E8F0A5A" w:rsidR="000A1933" w:rsidRPr="00A847B7" w:rsidRDefault="000A1933" w:rsidP="000A1933">
            <w:pPr>
              <w:spacing w:beforeAutospacing="1" w:after="100" w:afterAutospacing="1"/>
              <w:rPr>
                <w:rFonts w:cstheme="minorHAnsi"/>
              </w:rPr>
            </w:pPr>
            <w:r w:rsidRPr="00A847B7">
              <w:rPr>
                <w:rFonts w:cstheme="minorHAnsi"/>
              </w:rPr>
              <w:t>247</w:t>
            </w:r>
          </w:p>
        </w:tc>
      </w:tr>
      <w:tr w:rsidR="000A1933" w:rsidRPr="00A847B7" w14:paraId="32E4965B"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B70D7E7" w14:textId="665E8413" w:rsidR="000A1933" w:rsidRPr="00A847B7" w:rsidRDefault="000A1933" w:rsidP="000A1933">
            <w:pPr>
              <w:spacing w:beforeAutospacing="1" w:after="100" w:afterAutospacing="1"/>
              <w:rPr>
                <w:rFonts w:cstheme="minorHAnsi"/>
              </w:rPr>
            </w:pPr>
            <w:r w:rsidRPr="00A847B7">
              <w:rPr>
                <w:rFonts w:cstheme="minorHAnsi"/>
              </w:rPr>
              <w:t>131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317B2D3" w14:textId="708CD218" w:rsidR="000A1933" w:rsidRPr="00A847B7" w:rsidRDefault="000A1933" w:rsidP="000A1933">
            <w:pPr>
              <w:spacing w:beforeAutospacing="1" w:after="100" w:afterAutospacing="1"/>
              <w:rPr>
                <w:rFonts w:cstheme="minorHAnsi"/>
              </w:rPr>
            </w:pPr>
            <w:r w:rsidRPr="00A847B7">
              <w:rPr>
                <w:rFonts w:cstheme="minorHAnsi"/>
              </w:rPr>
              <w:t>249</w:t>
            </w:r>
          </w:p>
        </w:tc>
      </w:tr>
      <w:tr w:rsidR="000A1933" w:rsidRPr="00A847B7" w14:paraId="73C3C1DE"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668DD3B" w14:textId="52FDB055" w:rsidR="000A1933" w:rsidRPr="00A847B7" w:rsidRDefault="000A1933" w:rsidP="000A1933">
            <w:pPr>
              <w:spacing w:beforeAutospacing="1" w:after="100" w:afterAutospacing="1"/>
              <w:rPr>
                <w:rFonts w:cstheme="minorHAnsi"/>
              </w:rPr>
            </w:pPr>
            <w:r w:rsidRPr="00A847B7">
              <w:rPr>
                <w:rFonts w:cstheme="minorHAnsi"/>
              </w:rPr>
              <w:t>132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FFBCE70" w14:textId="6564D3C9" w:rsidR="000A1933" w:rsidRPr="00A847B7" w:rsidRDefault="000A1933" w:rsidP="000A1933">
            <w:pPr>
              <w:spacing w:beforeAutospacing="1" w:after="100" w:afterAutospacing="1"/>
              <w:rPr>
                <w:rFonts w:cstheme="minorHAnsi"/>
              </w:rPr>
            </w:pPr>
            <w:r w:rsidRPr="00A847B7">
              <w:rPr>
                <w:rFonts w:cstheme="minorHAnsi"/>
              </w:rPr>
              <w:t>264</w:t>
            </w:r>
          </w:p>
        </w:tc>
      </w:tr>
      <w:tr w:rsidR="000A1933" w:rsidRPr="00A847B7" w14:paraId="6AEDD02F"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7F1684C" w14:textId="69628824" w:rsidR="000A1933" w:rsidRPr="00A847B7" w:rsidRDefault="000A1933" w:rsidP="000A1933">
            <w:pPr>
              <w:spacing w:beforeAutospacing="1" w:after="100" w:afterAutospacing="1"/>
              <w:rPr>
                <w:rFonts w:cstheme="minorHAnsi"/>
              </w:rPr>
            </w:pPr>
            <w:r w:rsidRPr="00A847B7">
              <w:rPr>
                <w:rFonts w:cstheme="minorHAnsi"/>
              </w:rPr>
              <w:lastRenderedPageBreak/>
              <w:t>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33AEED2" w14:textId="681DA39A" w:rsidR="000A1933" w:rsidRPr="00A847B7" w:rsidRDefault="000A1933" w:rsidP="000A1933">
            <w:pPr>
              <w:spacing w:beforeAutospacing="1" w:after="100" w:afterAutospacing="1"/>
              <w:rPr>
                <w:rFonts w:cstheme="minorHAnsi"/>
              </w:rPr>
            </w:pPr>
            <w:r w:rsidRPr="00A847B7">
              <w:rPr>
                <w:rFonts w:cstheme="minorHAnsi"/>
              </w:rPr>
              <w:t>266</w:t>
            </w:r>
          </w:p>
        </w:tc>
      </w:tr>
      <w:tr w:rsidR="000A1933" w:rsidRPr="00A847B7" w14:paraId="53D5259C"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058919C" w14:textId="040DB010" w:rsidR="000A1933" w:rsidRPr="00A847B7" w:rsidRDefault="000A1933" w:rsidP="000A1933">
            <w:pPr>
              <w:spacing w:beforeAutospacing="1" w:after="100" w:afterAutospacing="1"/>
              <w:rPr>
                <w:rFonts w:cstheme="minorHAnsi"/>
              </w:rPr>
            </w:pPr>
            <w:r w:rsidRPr="00A847B7">
              <w:rPr>
                <w:rFonts w:cstheme="minorHAnsi"/>
              </w:rPr>
              <w:t>134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0D6F54D" w14:textId="541A4620" w:rsidR="000A1933" w:rsidRPr="00A847B7" w:rsidRDefault="000A1933" w:rsidP="000A1933">
            <w:pPr>
              <w:spacing w:beforeAutospacing="1" w:after="100" w:afterAutospacing="1"/>
              <w:rPr>
                <w:rFonts w:cstheme="minorHAnsi"/>
              </w:rPr>
            </w:pPr>
            <w:r w:rsidRPr="00A847B7">
              <w:rPr>
                <w:rFonts w:cstheme="minorHAnsi"/>
              </w:rPr>
              <w:t>295</w:t>
            </w:r>
          </w:p>
        </w:tc>
      </w:tr>
      <w:tr w:rsidR="000A1933" w:rsidRPr="00A847B7" w14:paraId="222F80AA"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310BE8B" w14:textId="1C280745" w:rsidR="000A1933" w:rsidRPr="00A847B7" w:rsidRDefault="000A1933" w:rsidP="000A1933">
            <w:pPr>
              <w:spacing w:beforeAutospacing="1" w:after="100" w:afterAutospacing="1"/>
              <w:rPr>
                <w:rFonts w:cstheme="minorHAnsi"/>
              </w:rPr>
            </w:pPr>
            <w:r w:rsidRPr="00A847B7">
              <w:rPr>
                <w:rFonts w:cstheme="minorHAnsi"/>
              </w:rPr>
              <w:t>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46AB16A" w14:textId="0F012B25" w:rsidR="000A1933" w:rsidRPr="00A847B7" w:rsidRDefault="000A1933" w:rsidP="000A1933">
            <w:pPr>
              <w:spacing w:beforeAutospacing="1" w:after="100" w:afterAutospacing="1"/>
              <w:rPr>
                <w:rFonts w:cstheme="minorHAnsi"/>
              </w:rPr>
            </w:pPr>
            <w:r w:rsidRPr="00A847B7">
              <w:rPr>
                <w:rFonts w:cstheme="minorHAnsi"/>
              </w:rPr>
              <w:t>311</w:t>
            </w:r>
          </w:p>
        </w:tc>
      </w:tr>
      <w:tr w:rsidR="000A1933" w:rsidRPr="00A847B7" w14:paraId="65493E9E"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367B960" w14:textId="46AB910C" w:rsidR="000A1933" w:rsidRPr="00A847B7" w:rsidRDefault="000A1933" w:rsidP="000A1933">
            <w:pPr>
              <w:spacing w:beforeAutospacing="1" w:after="100" w:afterAutospacing="1"/>
              <w:rPr>
                <w:rFonts w:cstheme="minorHAnsi"/>
              </w:rPr>
            </w:pPr>
            <w:r w:rsidRPr="00A847B7">
              <w:rPr>
                <w:rFonts w:cstheme="minorHAnsi"/>
              </w:rPr>
              <w:t>136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D3F5385" w14:textId="3AE0E509" w:rsidR="000A1933" w:rsidRPr="00A847B7" w:rsidRDefault="000A1933" w:rsidP="000A1933">
            <w:pPr>
              <w:spacing w:beforeAutospacing="1" w:after="100" w:afterAutospacing="1"/>
              <w:rPr>
                <w:rFonts w:cstheme="minorHAnsi"/>
              </w:rPr>
            </w:pPr>
            <w:r w:rsidRPr="00A847B7">
              <w:rPr>
                <w:rFonts w:cstheme="minorHAnsi"/>
              </w:rPr>
              <w:t>326</w:t>
            </w:r>
          </w:p>
        </w:tc>
      </w:tr>
      <w:tr w:rsidR="000A1933" w:rsidRPr="00A847B7" w14:paraId="29D254DF"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5F42A76" w14:textId="3EE84EEE" w:rsidR="000A1933" w:rsidRPr="00A847B7" w:rsidRDefault="000A1933" w:rsidP="000A1933">
            <w:pPr>
              <w:spacing w:beforeAutospacing="1" w:after="100" w:afterAutospacing="1"/>
              <w:rPr>
                <w:rFonts w:cstheme="minorHAnsi"/>
              </w:rPr>
            </w:pPr>
            <w:r w:rsidRPr="00A847B7">
              <w:rPr>
                <w:rFonts w:cstheme="minorHAnsi"/>
              </w:rPr>
              <w:t>137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30DBC65" w14:textId="60BF65C1" w:rsidR="000A1933" w:rsidRPr="00A847B7" w:rsidRDefault="000A1933" w:rsidP="000A1933">
            <w:pPr>
              <w:spacing w:beforeAutospacing="1" w:after="100" w:afterAutospacing="1"/>
              <w:rPr>
                <w:rFonts w:cstheme="minorHAnsi"/>
              </w:rPr>
            </w:pPr>
            <w:r w:rsidRPr="00A847B7">
              <w:rPr>
                <w:rFonts w:cstheme="minorHAnsi"/>
              </w:rPr>
              <w:t>343</w:t>
            </w:r>
          </w:p>
        </w:tc>
      </w:tr>
      <w:tr w:rsidR="000A1933" w:rsidRPr="00A847B7" w14:paraId="43A504A3"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50EC269" w14:textId="7128C491" w:rsidR="000A1933" w:rsidRPr="00A847B7" w:rsidRDefault="000A1933" w:rsidP="000A1933">
            <w:pPr>
              <w:spacing w:beforeAutospacing="1" w:after="100" w:afterAutospacing="1"/>
              <w:rPr>
                <w:rFonts w:cstheme="minorHAnsi"/>
              </w:rPr>
            </w:pPr>
            <w:r w:rsidRPr="00A847B7">
              <w:rPr>
                <w:rFonts w:cstheme="minorHAnsi"/>
              </w:rPr>
              <w:t>138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244FB7E" w14:textId="29AF9500" w:rsidR="000A1933" w:rsidRPr="00A847B7" w:rsidRDefault="000A1933" w:rsidP="000A1933">
            <w:pPr>
              <w:spacing w:beforeAutospacing="1" w:after="100" w:afterAutospacing="1"/>
              <w:rPr>
                <w:rFonts w:cstheme="minorHAnsi"/>
              </w:rPr>
            </w:pPr>
            <w:r w:rsidRPr="00A847B7">
              <w:rPr>
                <w:rFonts w:cstheme="minorHAnsi"/>
              </w:rPr>
              <w:t>359</w:t>
            </w:r>
          </w:p>
        </w:tc>
      </w:tr>
      <w:tr w:rsidR="000A1933" w:rsidRPr="00A847B7" w14:paraId="7F28E5A8"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CAFBC08" w14:textId="4409F326" w:rsidR="000A1933" w:rsidRPr="00A847B7" w:rsidRDefault="000A1933" w:rsidP="000A1933">
            <w:pPr>
              <w:spacing w:beforeAutospacing="1" w:after="100" w:afterAutospacing="1"/>
              <w:rPr>
                <w:rFonts w:cstheme="minorHAnsi"/>
              </w:rPr>
            </w:pPr>
            <w:r w:rsidRPr="00A847B7">
              <w:rPr>
                <w:rFonts w:cstheme="minorHAnsi"/>
              </w:rPr>
              <w:t>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CCD3813" w14:textId="4FF3EC74" w:rsidR="000A1933" w:rsidRPr="00A847B7" w:rsidRDefault="000A1933" w:rsidP="000A1933">
            <w:pPr>
              <w:spacing w:beforeAutospacing="1" w:after="100" w:afterAutospacing="1"/>
              <w:rPr>
                <w:rFonts w:cstheme="minorHAnsi"/>
              </w:rPr>
            </w:pPr>
            <w:r w:rsidRPr="00A847B7">
              <w:rPr>
                <w:rFonts w:cstheme="minorHAnsi"/>
              </w:rPr>
              <w:t>375</w:t>
            </w:r>
          </w:p>
        </w:tc>
      </w:tr>
      <w:tr w:rsidR="000A1933" w:rsidRPr="00A847B7" w14:paraId="3DAE2213"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EFF56AA" w14:textId="4CC1D80A" w:rsidR="000A1933" w:rsidRPr="00A847B7" w:rsidRDefault="000A1933" w:rsidP="000A1933">
            <w:pPr>
              <w:spacing w:beforeAutospacing="1" w:after="100" w:afterAutospacing="1"/>
              <w:rPr>
                <w:rFonts w:cstheme="minorHAnsi"/>
              </w:rPr>
            </w:pPr>
            <w:r w:rsidRPr="00A847B7">
              <w:rPr>
                <w:rFonts w:cstheme="minorHAnsi"/>
              </w:rPr>
              <w:t>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4ACA2AF" w14:textId="5BC2F49B" w:rsidR="000A1933" w:rsidRPr="00A847B7" w:rsidRDefault="000A1933" w:rsidP="000A1933">
            <w:pPr>
              <w:spacing w:beforeAutospacing="1" w:after="100" w:afterAutospacing="1"/>
              <w:rPr>
                <w:rFonts w:cstheme="minorHAnsi"/>
              </w:rPr>
            </w:pPr>
            <w:r w:rsidRPr="00A847B7">
              <w:rPr>
                <w:rFonts w:cstheme="minorHAnsi"/>
              </w:rPr>
              <w:t>392</w:t>
            </w:r>
          </w:p>
        </w:tc>
      </w:tr>
      <w:tr w:rsidR="000A1933" w:rsidRPr="00A847B7" w14:paraId="093E039C"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C5E09E5" w14:textId="4389CC4D" w:rsidR="000A1933" w:rsidRPr="00A847B7" w:rsidRDefault="000A1933" w:rsidP="000A1933">
            <w:pPr>
              <w:spacing w:beforeAutospacing="1" w:after="100" w:afterAutospacing="1"/>
              <w:rPr>
                <w:rFonts w:cstheme="minorHAnsi"/>
              </w:rPr>
            </w:pPr>
            <w:r w:rsidRPr="00A847B7">
              <w:rPr>
                <w:rFonts w:cstheme="minorHAnsi"/>
              </w:rPr>
              <w:t>141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EAE6B9D" w14:textId="612ECFAC" w:rsidR="000A1933" w:rsidRPr="00A847B7" w:rsidRDefault="000A1933" w:rsidP="000A1933">
            <w:pPr>
              <w:spacing w:beforeAutospacing="1" w:after="100" w:afterAutospacing="1"/>
              <w:rPr>
                <w:rFonts w:cstheme="minorHAnsi"/>
              </w:rPr>
            </w:pPr>
            <w:r w:rsidRPr="00A847B7">
              <w:rPr>
                <w:rFonts w:cstheme="minorHAnsi"/>
              </w:rPr>
              <w:t>409</w:t>
            </w:r>
          </w:p>
        </w:tc>
      </w:tr>
      <w:tr w:rsidR="000A1933" w:rsidRPr="00A847B7" w14:paraId="1C422FEB"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B1D2FCB" w14:textId="186F898E" w:rsidR="000A1933" w:rsidRPr="00A847B7" w:rsidRDefault="000A1933" w:rsidP="000A1933">
            <w:pPr>
              <w:spacing w:beforeAutospacing="1" w:after="100" w:afterAutospacing="1"/>
              <w:rPr>
                <w:rFonts w:cstheme="minorHAnsi"/>
              </w:rPr>
            </w:pPr>
            <w:r w:rsidRPr="00A847B7">
              <w:rPr>
                <w:rFonts w:cstheme="minorHAnsi"/>
              </w:rPr>
              <w:t>142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9BF5A76" w14:textId="5BE1F2DE" w:rsidR="000A1933" w:rsidRPr="00A847B7" w:rsidRDefault="000A1933" w:rsidP="000A1933">
            <w:pPr>
              <w:spacing w:beforeAutospacing="1" w:after="100" w:afterAutospacing="1"/>
              <w:rPr>
                <w:rFonts w:cstheme="minorHAnsi"/>
              </w:rPr>
            </w:pPr>
            <w:r w:rsidRPr="00A847B7">
              <w:rPr>
                <w:rFonts w:cstheme="minorHAnsi"/>
              </w:rPr>
              <w:t>426</w:t>
            </w:r>
          </w:p>
        </w:tc>
      </w:tr>
      <w:tr w:rsidR="000A1933" w:rsidRPr="00A847B7" w14:paraId="3A7152C2"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234FB9A" w14:textId="09FCCF6D" w:rsidR="000A1933" w:rsidRPr="00A847B7" w:rsidRDefault="000A1933" w:rsidP="000A1933">
            <w:pPr>
              <w:spacing w:beforeAutospacing="1" w:after="100" w:afterAutospacing="1"/>
              <w:rPr>
                <w:rFonts w:cstheme="minorHAnsi"/>
              </w:rPr>
            </w:pPr>
            <w:r w:rsidRPr="00A847B7">
              <w:rPr>
                <w:rFonts w:cstheme="minorHAnsi"/>
              </w:rPr>
              <w:t>143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5A50362" w14:textId="062F1262" w:rsidR="000A1933" w:rsidRPr="00A847B7" w:rsidRDefault="000A1933" w:rsidP="000A1933">
            <w:pPr>
              <w:spacing w:beforeAutospacing="1" w:after="100" w:afterAutospacing="1"/>
              <w:rPr>
                <w:rFonts w:cstheme="minorHAnsi"/>
              </w:rPr>
            </w:pPr>
            <w:r w:rsidRPr="00A847B7">
              <w:rPr>
                <w:rFonts w:cstheme="minorHAnsi"/>
              </w:rPr>
              <w:t>443</w:t>
            </w:r>
          </w:p>
        </w:tc>
      </w:tr>
      <w:tr w:rsidR="000A1933" w:rsidRPr="00A847B7" w14:paraId="3448B384"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8809ECA" w14:textId="42AE3CF9" w:rsidR="000A1933" w:rsidRPr="00A847B7" w:rsidRDefault="000A1933" w:rsidP="000A1933">
            <w:pPr>
              <w:spacing w:beforeAutospacing="1" w:after="100" w:afterAutospacing="1"/>
              <w:rPr>
                <w:rFonts w:cstheme="minorHAnsi"/>
              </w:rPr>
            </w:pPr>
            <w:r w:rsidRPr="00A847B7">
              <w:rPr>
                <w:rFonts w:cstheme="minorHAnsi"/>
              </w:rPr>
              <w:t>144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9587BB4" w14:textId="56E0E403" w:rsidR="000A1933" w:rsidRPr="00A847B7" w:rsidRDefault="000A1933" w:rsidP="000A1933">
            <w:pPr>
              <w:spacing w:beforeAutospacing="1" w:after="100" w:afterAutospacing="1"/>
              <w:rPr>
                <w:rFonts w:cstheme="minorHAnsi"/>
              </w:rPr>
            </w:pPr>
            <w:r w:rsidRPr="00A847B7">
              <w:rPr>
                <w:rFonts w:cstheme="minorHAnsi"/>
              </w:rPr>
              <w:t>461</w:t>
            </w:r>
          </w:p>
        </w:tc>
      </w:tr>
      <w:tr w:rsidR="000A1933" w:rsidRPr="00A847B7" w14:paraId="337903A1"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41B93F6" w14:textId="3165F506" w:rsidR="000A1933" w:rsidRPr="00A847B7" w:rsidRDefault="000A1933" w:rsidP="000A1933">
            <w:pPr>
              <w:spacing w:beforeAutospacing="1" w:after="100" w:afterAutospacing="1"/>
              <w:rPr>
                <w:rFonts w:cstheme="minorHAnsi"/>
              </w:rPr>
            </w:pPr>
            <w:r w:rsidRPr="00A847B7">
              <w:rPr>
                <w:rFonts w:cstheme="minorHAnsi"/>
              </w:rPr>
              <w:t>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1084060" w14:textId="0C981997" w:rsidR="000A1933" w:rsidRPr="00A847B7" w:rsidRDefault="000A1933" w:rsidP="000A1933">
            <w:pPr>
              <w:spacing w:beforeAutospacing="1" w:after="100" w:afterAutospacing="1"/>
              <w:rPr>
                <w:rFonts w:cstheme="minorHAnsi"/>
              </w:rPr>
            </w:pPr>
            <w:r w:rsidRPr="00A847B7">
              <w:rPr>
                <w:rFonts w:cstheme="minorHAnsi"/>
              </w:rPr>
              <w:t>479</w:t>
            </w:r>
          </w:p>
        </w:tc>
      </w:tr>
      <w:tr w:rsidR="000A1933" w:rsidRPr="00A847B7" w14:paraId="18A85202"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48D1719" w14:textId="2F75B57B" w:rsidR="000A1933" w:rsidRPr="00A847B7" w:rsidRDefault="000A1933" w:rsidP="000A1933">
            <w:pPr>
              <w:spacing w:beforeAutospacing="1" w:after="100" w:afterAutospacing="1"/>
              <w:rPr>
                <w:rFonts w:cstheme="minorHAnsi"/>
              </w:rPr>
            </w:pPr>
            <w:r w:rsidRPr="00A847B7">
              <w:rPr>
                <w:rFonts w:cstheme="minorHAnsi"/>
              </w:rPr>
              <w:t>146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3BBEB3A" w14:textId="421A68CF" w:rsidR="000A1933" w:rsidRPr="00A847B7" w:rsidRDefault="000A1933" w:rsidP="000A1933">
            <w:pPr>
              <w:spacing w:beforeAutospacing="1" w:after="100" w:afterAutospacing="1"/>
              <w:rPr>
                <w:rFonts w:cstheme="minorHAnsi"/>
              </w:rPr>
            </w:pPr>
            <w:r w:rsidRPr="00A847B7">
              <w:rPr>
                <w:rFonts w:cstheme="minorHAnsi"/>
              </w:rPr>
              <w:t>482</w:t>
            </w:r>
          </w:p>
        </w:tc>
      </w:tr>
      <w:tr w:rsidR="000A1933" w:rsidRPr="00A847B7" w14:paraId="40D4371D"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C5EC76F" w14:textId="51C00267" w:rsidR="000A1933" w:rsidRPr="00A847B7" w:rsidRDefault="000A1933" w:rsidP="000A1933">
            <w:pPr>
              <w:spacing w:beforeAutospacing="1" w:after="100" w:afterAutospacing="1"/>
              <w:rPr>
                <w:rFonts w:cstheme="minorHAnsi"/>
              </w:rPr>
            </w:pPr>
            <w:r w:rsidRPr="00A847B7">
              <w:rPr>
                <w:rFonts w:cstheme="minorHAnsi"/>
              </w:rPr>
              <w:t>147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B15A359" w14:textId="0A339476" w:rsidR="000A1933" w:rsidRPr="00A847B7" w:rsidRDefault="000A1933" w:rsidP="000A1933">
            <w:pPr>
              <w:spacing w:beforeAutospacing="1" w:after="100" w:afterAutospacing="1"/>
              <w:rPr>
                <w:rFonts w:cstheme="minorHAnsi"/>
              </w:rPr>
            </w:pPr>
            <w:r w:rsidRPr="00A847B7">
              <w:rPr>
                <w:rFonts w:cstheme="minorHAnsi"/>
              </w:rPr>
              <w:t>500</w:t>
            </w:r>
          </w:p>
        </w:tc>
      </w:tr>
      <w:tr w:rsidR="000A1933" w:rsidRPr="00A847B7" w14:paraId="362521B8"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8532E93" w14:textId="4E2917A3" w:rsidR="000A1933" w:rsidRPr="00A847B7" w:rsidRDefault="000A1933" w:rsidP="000A1933">
            <w:pPr>
              <w:spacing w:beforeAutospacing="1" w:after="100" w:afterAutospacing="1"/>
              <w:rPr>
                <w:rFonts w:cstheme="minorHAnsi"/>
              </w:rPr>
            </w:pPr>
            <w:r w:rsidRPr="00A847B7">
              <w:rPr>
                <w:rFonts w:cstheme="minorHAnsi"/>
              </w:rPr>
              <w:t>148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A2E8B7B" w14:textId="77D31C60" w:rsidR="000A1933" w:rsidRPr="00A847B7" w:rsidRDefault="000A1933" w:rsidP="000A1933">
            <w:pPr>
              <w:spacing w:beforeAutospacing="1" w:after="100" w:afterAutospacing="1"/>
              <w:rPr>
                <w:rFonts w:cstheme="minorHAnsi"/>
              </w:rPr>
            </w:pPr>
            <w:r w:rsidRPr="00A847B7">
              <w:rPr>
                <w:rFonts w:cstheme="minorHAnsi"/>
              </w:rPr>
              <w:t>518</w:t>
            </w:r>
          </w:p>
        </w:tc>
      </w:tr>
      <w:tr w:rsidR="000A1933" w:rsidRPr="00A847B7" w14:paraId="14BE550E"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98B6FFA" w14:textId="197CA979" w:rsidR="000A1933" w:rsidRPr="00A847B7" w:rsidRDefault="000A1933" w:rsidP="000A1933">
            <w:pPr>
              <w:spacing w:beforeAutospacing="1" w:after="100" w:afterAutospacing="1"/>
              <w:rPr>
                <w:rFonts w:cstheme="minorHAnsi"/>
              </w:rPr>
            </w:pPr>
            <w:r w:rsidRPr="00A847B7">
              <w:rPr>
                <w:rFonts w:cstheme="minorHAnsi"/>
              </w:rPr>
              <w:t>149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553A563" w14:textId="78F480D6" w:rsidR="000A1933" w:rsidRPr="00A847B7" w:rsidRDefault="000A1933" w:rsidP="000A1933">
            <w:pPr>
              <w:spacing w:beforeAutospacing="1" w:after="100" w:afterAutospacing="1"/>
              <w:rPr>
                <w:rFonts w:cstheme="minorHAnsi"/>
              </w:rPr>
            </w:pPr>
            <w:r w:rsidRPr="00A847B7">
              <w:rPr>
                <w:rFonts w:cstheme="minorHAnsi"/>
              </w:rPr>
              <w:t>551</w:t>
            </w:r>
          </w:p>
        </w:tc>
      </w:tr>
      <w:tr w:rsidR="000A1933" w:rsidRPr="00A847B7" w14:paraId="67A1974D"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4D1AA90" w14:textId="5E7E57F4" w:rsidR="000A1933" w:rsidRPr="00A847B7" w:rsidRDefault="000A1933" w:rsidP="000A1933">
            <w:pPr>
              <w:spacing w:beforeAutospacing="1" w:after="100" w:afterAutospacing="1"/>
              <w:rPr>
                <w:rFonts w:cstheme="minorHAnsi"/>
              </w:rPr>
            </w:pPr>
            <w:r w:rsidRPr="00A847B7">
              <w:rPr>
                <w:rFonts w:cstheme="minorHAnsi"/>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A894428" w14:textId="56FF9C95" w:rsidR="000A1933" w:rsidRPr="00A847B7" w:rsidRDefault="000A1933" w:rsidP="000A1933">
            <w:pPr>
              <w:spacing w:beforeAutospacing="1" w:after="100" w:afterAutospacing="1"/>
              <w:rPr>
                <w:rFonts w:cstheme="minorHAnsi"/>
              </w:rPr>
            </w:pPr>
            <w:r w:rsidRPr="00A847B7">
              <w:rPr>
                <w:rFonts w:cstheme="minorHAnsi"/>
              </w:rPr>
              <w:t>600</w:t>
            </w:r>
          </w:p>
        </w:tc>
      </w:tr>
      <w:tr w:rsidR="000A1933" w:rsidRPr="00A847B7" w14:paraId="713FD54B"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D364A80" w14:textId="3001130B" w:rsidR="000A1933" w:rsidRPr="00A847B7" w:rsidRDefault="000A1933" w:rsidP="000A1933">
            <w:pPr>
              <w:spacing w:beforeAutospacing="1" w:after="100" w:afterAutospacing="1"/>
              <w:rPr>
                <w:rFonts w:cstheme="minorHAnsi"/>
              </w:rPr>
            </w:pPr>
            <w:r w:rsidRPr="00A847B7">
              <w:rPr>
                <w:rFonts w:cstheme="minorHAnsi"/>
              </w:rPr>
              <w:t>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6D4EF0F" w14:textId="2726F04C" w:rsidR="000A1933" w:rsidRPr="00A847B7" w:rsidRDefault="000A1933" w:rsidP="000A1933">
            <w:pPr>
              <w:spacing w:beforeAutospacing="1" w:after="100" w:afterAutospacing="1"/>
              <w:rPr>
                <w:rFonts w:cstheme="minorHAnsi"/>
              </w:rPr>
            </w:pPr>
            <w:r w:rsidRPr="00A847B7">
              <w:rPr>
                <w:rFonts w:cstheme="minorHAnsi"/>
              </w:rPr>
              <w:t>664</w:t>
            </w:r>
          </w:p>
        </w:tc>
      </w:tr>
      <w:tr w:rsidR="000A1933" w:rsidRPr="00A847B7" w14:paraId="00994E84"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8E68413" w14:textId="344459F3" w:rsidR="000A1933" w:rsidRPr="00A847B7" w:rsidRDefault="000A1933" w:rsidP="000A1933">
            <w:pPr>
              <w:spacing w:beforeAutospacing="1" w:after="100" w:afterAutospacing="1"/>
              <w:rPr>
                <w:rFonts w:cstheme="minorHAnsi"/>
              </w:rPr>
            </w:pPr>
            <w:r w:rsidRPr="00A847B7">
              <w:rPr>
                <w:rFonts w:cstheme="minorHAnsi"/>
              </w:rPr>
              <w:t>152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E65A10B" w14:textId="1BDD6A3B" w:rsidR="000A1933" w:rsidRPr="00A847B7" w:rsidRDefault="000A1933" w:rsidP="000A1933">
            <w:pPr>
              <w:spacing w:beforeAutospacing="1" w:after="100" w:afterAutospacing="1"/>
              <w:rPr>
                <w:rFonts w:cstheme="minorHAnsi"/>
              </w:rPr>
            </w:pPr>
            <w:r w:rsidRPr="00A847B7">
              <w:rPr>
                <w:rFonts w:cstheme="minorHAnsi"/>
              </w:rPr>
              <w:t>730</w:t>
            </w:r>
          </w:p>
        </w:tc>
      </w:tr>
      <w:tr w:rsidR="000A1933" w:rsidRPr="00A847B7" w14:paraId="28C28FF3"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465DDA5" w14:textId="3D3B87A9" w:rsidR="000A1933" w:rsidRPr="00A847B7" w:rsidRDefault="000A1933" w:rsidP="000A1933">
            <w:pPr>
              <w:spacing w:beforeAutospacing="1" w:after="100" w:afterAutospacing="1"/>
              <w:rPr>
                <w:rFonts w:cstheme="minorHAnsi"/>
              </w:rPr>
            </w:pPr>
            <w:r w:rsidRPr="00A847B7">
              <w:rPr>
                <w:rFonts w:cstheme="minorHAnsi"/>
              </w:rPr>
              <w:t>153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2F4C58E" w14:textId="18410C03" w:rsidR="000A1933" w:rsidRPr="00A847B7" w:rsidRDefault="000A1933" w:rsidP="000A1933">
            <w:pPr>
              <w:spacing w:beforeAutospacing="1" w:after="100" w:afterAutospacing="1"/>
              <w:rPr>
                <w:rFonts w:cstheme="minorHAnsi"/>
              </w:rPr>
            </w:pPr>
            <w:r w:rsidRPr="00A847B7">
              <w:rPr>
                <w:rFonts w:cstheme="minorHAnsi"/>
              </w:rPr>
              <w:t>796</w:t>
            </w:r>
          </w:p>
        </w:tc>
      </w:tr>
      <w:tr w:rsidR="000A1933" w:rsidRPr="00A847B7" w14:paraId="7B38F5F7"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B192ADE" w14:textId="2FD023B4" w:rsidR="000A1933" w:rsidRPr="00A847B7" w:rsidRDefault="000A1933" w:rsidP="000A1933">
            <w:pPr>
              <w:spacing w:beforeAutospacing="1" w:after="100" w:afterAutospacing="1"/>
              <w:rPr>
                <w:rFonts w:cstheme="minorHAnsi"/>
              </w:rPr>
            </w:pPr>
            <w:r w:rsidRPr="00A847B7">
              <w:rPr>
                <w:rFonts w:cstheme="minorHAnsi"/>
              </w:rPr>
              <w:t>154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F8E50B8" w14:textId="127699DF" w:rsidR="000A1933" w:rsidRPr="00A847B7" w:rsidRDefault="000A1933" w:rsidP="000A1933">
            <w:pPr>
              <w:spacing w:beforeAutospacing="1" w:after="100" w:afterAutospacing="1"/>
              <w:rPr>
                <w:rFonts w:cstheme="minorHAnsi"/>
              </w:rPr>
            </w:pPr>
            <w:r w:rsidRPr="00A847B7">
              <w:rPr>
                <w:rFonts w:cstheme="minorHAnsi"/>
              </w:rPr>
              <w:t>847</w:t>
            </w:r>
          </w:p>
        </w:tc>
      </w:tr>
      <w:tr w:rsidR="000A1933" w:rsidRPr="00A847B7" w14:paraId="1BB42565"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341084E" w14:textId="5EF68AE7" w:rsidR="000A1933" w:rsidRPr="00A847B7" w:rsidRDefault="000A1933" w:rsidP="000A1933">
            <w:pPr>
              <w:spacing w:beforeAutospacing="1" w:after="100" w:afterAutospacing="1"/>
              <w:rPr>
                <w:rFonts w:cstheme="minorHAnsi"/>
              </w:rPr>
            </w:pPr>
            <w:r w:rsidRPr="00A847B7">
              <w:rPr>
                <w:rFonts w:cstheme="minorHAnsi"/>
              </w:rPr>
              <w:t>155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0E870AE" w14:textId="6AF9BE20" w:rsidR="000A1933" w:rsidRPr="00A847B7" w:rsidRDefault="000A1933" w:rsidP="000A1933">
            <w:pPr>
              <w:spacing w:beforeAutospacing="1" w:after="100" w:afterAutospacing="1"/>
              <w:rPr>
                <w:rFonts w:cstheme="minorHAnsi"/>
              </w:rPr>
            </w:pPr>
            <w:r w:rsidRPr="00A847B7">
              <w:rPr>
                <w:rFonts w:cstheme="minorHAnsi"/>
              </w:rPr>
              <w:t>899</w:t>
            </w:r>
          </w:p>
        </w:tc>
      </w:tr>
      <w:tr w:rsidR="000A1933" w:rsidRPr="00A847B7" w14:paraId="2E414B0E"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90B6609" w14:textId="333BA9F1" w:rsidR="000A1933" w:rsidRPr="00A847B7" w:rsidRDefault="000A1933" w:rsidP="000A1933">
            <w:pPr>
              <w:spacing w:beforeAutospacing="1" w:after="100" w:afterAutospacing="1"/>
              <w:rPr>
                <w:rFonts w:cstheme="minorHAnsi"/>
              </w:rPr>
            </w:pPr>
            <w:r w:rsidRPr="00A847B7">
              <w:rPr>
                <w:rFonts w:cstheme="minorHAnsi"/>
              </w:rPr>
              <w:t>156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5565902" w14:textId="09FFC1B9" w:rsidR="000A1933" w:rsidRPr="00A847B7" w:rsidRDefault="000A1933" w:rsidP="000A1933">
            <w:pPr>
              <w:spacing w:beforeAutospacing="1" w:after="100" w:afterAutospacing="1"/>
              <w:rPr>
                <w:rFonts w:cstheme="minorHAnsi"/>
              </w:rPr>
            </w:pPr>
            <w:r w:rsidRPr="00A847B7">
              <w:rPr>
                <w:rFonts w:cstheme="minorHAnsi"/>
              </w:rPr>
              <w:t>952</w:t>
            </w:r>
          </w:p>
        </w:tc>
      </w:tr>
      <w:tr w:rsidR="000A1933" w:rsidRPr="00A847B7" w14:paraId="3F2E6C9F"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9E931B4" w14:textId="12F35D38" w:rsidR="000A1933" w:rsidRPr="00A847B7" w:rsidRDefault="000A1933" w:rsidP="000A1933">
            <w:pPr>
              <w:spacing w:beforeAutospacing="1" w:after="100" w:afterAutospacing="1"/>
              <w:rPr>
                <w:rFonts w:cstheme="minorHAnsi"/>
              </w:rPr>
            </w:pPr>
            <w:r w:rsidRPr="00A847B7">
              <w:rPr>
                <w:rFonts w:cstheme="minorHAnsi"/>
              </w:rPr>
              <w:t>157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2248329" w14:textId="33B77F7E" w:rsidR="000A1933" w:rsidRPr="00A847B7" w:rsidRDefault="000A1933" w:rsidP="000A1933">
            <w:pPr>
              <w:spacing w:beforeAutospacing="1" w:after="100" w:afterAutospacing="1"/>
              <w:rPr>
                <w:rFonts w:cstheme="minorHAnsi"/>
              </w:rPr>
            </w:pPr>
            <w:r w:rsidRPr="00A847B7">
              <w:rPr>
                <w:rFonts w:cstheme="minorHAnsi"/>
              </w:rPr>
              <w:t>1 005</w:t>
            </w:r>
          </w:p>
        </w:tc>
      </w:tr>
      <w:tr w:rsidR="000A1933" w:rsidRPr="00A847B7" w14:paraId="7E16B247"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309E627" w14:textId="1D4BD894" w:rsidR="000A1933" w:rsidRPr="00A847B7" w:rsidRDefault="000A1933" w:rsidP="000A1933">
            <w:pPr>
              <w:spacing w:beforeAutospacing="1" w:after="100" w:afterAutospacing="1"/>
              <w:rPr>
                <w:rFonts w:cstheme="minorHAnsi"/>
              </w:rPr>
            </w:pPr>
            <w:r w:rsidRPr="00A847B7">
              <w:rPr>
                <w:rFonts w:cstheme="minorHAnsi"/>
              </w:rPr>
              <w:t>158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DCF5091" w14:textId="21A2E1D6" w:rsidR="000A1933" w:rsidRPr="00A847B7" w:rsidRDefault="000A1933" w:rsidP="000A1933">
            <w:pPr>
              <w:spacing w:beforeAutospacing="1" w:after="100" w:afterAutospacing="1"/>
              <w:rPr>
                <w:rFonts w:cstheme="minorHAnsi"/>
              </w:rPr>
            </w:pPr>
            <w:r w:rsidRPr="00A847B7">
              <w:rPr>
                <w:rFonts w:cstheme="minorHAnsi"/>
              </w:rPr>
              <w:t>1 059</w:t>
            </w:r>
          </w:p>
        </w:tc>
      </w:tr>
      <w:tr w:rsidR="000A1933" w:rsidRPr="00A847B7" w14:paraId="47E4D4DF"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7C2489A" w14:textId="01C07831" w:rsidR="000A1933" w:rsidRPr="00A847B7" w:rsidRDefault="000A1933" w:rsidP="000A1933">
            <w:pPr>
              <w:spacing w:beforeAutospacing="1" w:after="100" w:afterAutospacing="1"/>
              <w:rPr>
                <w:rFonts w:cstheme="minorHAnsi"/>
              </w:rPr>
            </w:pPr>
            <w:r w:rsidRPr="00A847B7">
              <w:rPr>
                <w:rFonts w:cstheme="minorHAnsi"/>
              </w:rPr>
              <w:t>159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3680AB3" w14:textId="00BE9926" w:rsidR="000A1933" w:rsidRPr="00A847B7" w:rsidRDefault="000A1933" w:rsidP="000A1933">
            <w:pPr>
              <w:spacing w:beforeAutospacing="1" w:after="100" w:afterAutospacing="1"/>
              <w:rPr>
                <w:rFonts w:cstheme="minorHAnsi"/>
              </w:rPr>
            </w:pPr>
            <w:r w:rsidRPr="00A847B7">
              <w:rPr>
                <w:rFonts w:cstheme="minorHAnsi"/>
              </w:rPr>
              <w:t>1 113</w:t>
            </w:r>
          </w:p>
        </w:tc>
      </w:tr>
      <w:tr w:rsidR="000A1933" w:rsidRPr="00A847B7" w14:paraId="681E6203"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0C75285" w14:textId="4FCF9BC8" w:rsidR="000A1933" w:rsidRPr="00A847B7" w:rsidRDefault="000A1933" w:rsidP="000A1933">
            <w:pPr>
              <w:spacing w:beforeAutospacing="1" w:after="100" w:afterAutospacing="1"/>
              <w:rPr>
                <w:rFonts w:cstheme="minorHAnsi"/>
              </w:rPr>
            </w:pPr>
            <w:r w:rsidRPr="00A847B7">
              <w:rPr>
                <w:rFonts w:cstheme="minorHAnsi"/>
              </w:rPr>
              <w:t>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9B5742F" w14:textId="2B060872" w:rsidR="000A1933" w:rsidRPr="00A847B7" w:rsidRDefault="000A1933" w:rsidP="000A1933">
            <w:pPr>
              <w:spacing w:beforeAutospacing="1" w:after="100" w:afterAutospacing="1"/>
              <w:rPr>
                <w:rFonts w:cstheme="minorHAnsi"/>
              </w:rPr>
            </w:pPr>
            <w:r w:rsidRPr="00A847B7">
              <w:rPr>
                <w:rFonts w:cstheme="minorHAnsi"/>
              </w:rPr>
              <w:t>1 168</w:t>
            </w:r>
          </w:p>
        </w:tc>
      </w:tr>
      <w:tr w:rsidR="000A1933" w:rsidRPr="00A847B7" w14:paraId="06F6E093"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0A30559" w14:textId="6A983966" w:rsidR="000A1933" w:rsidRPr="00A847B7" w:rsidRDefault="000A1933" w:rsidP="000A1933">
            <w:pPr>
              <w:spacing w:beforeAutospacing="1" w:after="100" w:afterAutospacing="1"/>
              <w:rPr>
                <w:rFonts w:cstheme="minorHAnsi"/>
              </w:rPr>
            </w:pPr>
            <w:r w:rsidRPr="00A847B7">
              <w:rPr>
                <w:rFonts w:cstheme="minorHAnsi"/>
              </w:rPr>
              <w:t>161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91115A1" w14:textId="217EB564" w:rsidR="000A1933" w:rsidRPr="00A847B7" w:rsidRDefault="000A1933" w:rsidP="000A1933">
            <w:pPr>
              <w:spacing w:beforeAutospacing="1" w:after="100" w:afterAutospacing="1"/>
              <w:rPr>
                <w:rFonts w:cstheme="minorHAnsi"/>
              </w:rPr>
            </w:pPr>
            <w:r w:rsidRPr="00A847B7">
              <w:rPr>
                <w:rFonts w:cstheme="minorHAnsi"/>
              </w:rPr>
              <w:t>1 224</w:t>
            </w:r>
          </w:p>
        </w:tc>
      </w:tr>
      <w:tr w:rsidR="000A1933" w:rsidRPr="00A847B7" w14:paraId="7C6CCFC8"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81228D1" w14:textId="6CDEE48E" w:rsidR="000A1933" w:rsidRPr="00A847B7" w:rsidRDefault="000A1933" w:rsidP="000A1933">
            <w:pPr>
              <w:spacing w:beforeAutospacing="1" w:after="100" w:afterAutospacing="1"/>
              <w:rPr>
                <w:rFonts w:cstheme="minorHAnsi"/>
              </w:rPr>
            </w:pPr>
            <w:r w:rsidRPr="00A847B7">
              <w:rPr>
                <w:rFonts w:cstheme="minorHAnsi"/>
              </w:rPr>
              <w:t>162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BB4A35A" w14:textId="1501703F" w:rsidR="000A1933" w:rsidRPr="00A847B7" w:rsidRDefault="000A1933" w:rsidP="000A1933">
            <w:pPr>
              <w:spacing w:beforeAutospacing="1" w:after="100" w:afterAutospacing="1"/>
              <w:rPr>
                <w:rFonts w:cstheme="minorHAnsi"/>
              </w:rPr>
            </w:pPr>
            <w:r w:rsidRPr="00A847B7">
              <w:rPr>
                <w:rFonts w:cstheme="minorHAnsi"/>
              </w:rPr>
              <w:t>1 280</w:t>
            </w:r>
          </w:p>
        </w:tc>
      </w:tr>
      <w:tr w:rsidR="000A1933" w:rsidRPr="00A847B7" w14:paraId="3FCBFF95"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56C21E4" w14:textId="3DF30802" w:rsidR="000A1933" w:rsidRPr="00A847B7" w:rsidRDefault="000A1933" w:rsidP="000A1933">
            <w:pPr>
              <w:spacing w:beforeAutospacing="1" w:after="100" w:afterAutospacing="1"/>
              <w:rPr>
                <w:rFonts w:cstheme="minorHAnsi"/>
              </w:rPr>
            </w:pPr>
            <w:r w:rsidRPr="00A847B7">
              <w:rPr>
                <w:rFonts w:cstheme="minorHAnsi"/>
              </w:rPr>
              <w:t>163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05D19F1" w14:textId="733BD17A" w:rsidR="000A1933" w:rsidRPr="00A847B7" w:rsidRDefault="000A1933" w:rsidP="000A1933">
            <w:pPr>
              <w:spacing w:beforeAutospacing="1" w:after="100" w:afterAutospacing="1"/>
              <w:rPr>
                <w:rFonts w:cstheme="minorHAnsi"/>
              </w:rPr>
            </w:pPr>
            <w:r w:rsidRPr="00A847B7">
              <w:rPr>
                <w:rFonts w:cstheme="minorHAnsi"/>
              </w:rPr>
              <w:t>1 337</w:t>
            </w:r>
          </w:p>
        </w:tc>
      </w:tr>
      <w:tr w:rsidR="000A1933" w:rsidRPr="00A847B7" w14:paraId="46C396E5"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018C788" w14:textId="2F870846" w:rsidR="000A1933" w:rsidRPr="00A847B7" w:rsidRDefault="000A1933" w:rsidP="000A1933">
            <w:pPr>
              <w:spacing w:beforeAutospacing="1" w:after="100" w:afterAutospacing="1"/>
              <w:rPr>
                <w:rFonts w:cstheme="minorHAnsi"/>
              </w:rPr>
            </w:pPr>
            <w:r w:rsidRPr="00A847B7">
              <w:rPr>
                <w:rFonts w:cstheme="minorHAnsi"/>
              </w:rPr>
              <w:t>164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1AB5C10" w14:textId="58E01A6F" w:rsidR="000A1933" w:rsidRPr="00A847B7" w:rsidRDefault="000A1933" w:rsidP="000A1933">
            <w:pPr>
              <w:spacing w:beforeAutospacing="1" w:after="100" w:afterAutospacing="1"/>
              <w:rPr>
                <w:rFonts w:cstheme="minorHAnsi"/>
              </w:rPr>
            </w:pPr>
            <w:r w:rsidRPr="00A847B7">
              <w:rPr>
                <w:rFonts w:cstheme="minorHAnsi"/>
              </w:rPr>
              <w:t>1 394</w:t>
            </w:r>
          </w:p>
        </w:tc>
      </w:tr>
      <w:tr w:rsidR="000A1933" w:rsidRPr="00A847B7" w14:paraId="16BEBD71"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880B0AC" w14:textId="6A552D35" w:rsidR="000A1933" w:rsidRPr="00A847B7" w:rsidRDefault="000A1933" w:rsidP="000A1933">
            <w:pPr>
              <w:spacing w:beforeAutospacing="1" w:after="100" w:afterAutospacing="1"/>
              <w:rPr>
                <w:rFonts w:cstheme="minorHAnsi"/>
              </w:rPr>
            </w:pPr>
            <w:r w:rsidRPr="00A847B7">
              <w:rPr>
                <w:rFonts w:cstheme="minorHAnsi"/>
              </w:rPr>
              <w:t>165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C069C63" w14:textId="28630624" w:rsidR="000A1933" w:rsidRPr="00A847B7" w:rsidRDefault="000A1933" w:rsidP="000A1933">
            <w:pPr>
              <w:spacing w:beforeAutospacing="1" w:after="100" w:afterAutospacing="1"/>
              <w:rPr>
                <w:rFonts w:cstheme="minorHAnsi"/>
              </w:rPr>
            </w:pPr>
            <w:r w:rsidRPr="00A847B7">
              <w:rPr>
                <w:rFonts w:cstheme="minorHAnsi"/>
              </w:rPr>
              <w:t>1 452</w:t>
            </w:r>
          </w:p>
        </w:tc>
      </w:tr>
      <w:tr w:rsidR="000A1933" w:rsidRPr="00A847B7" w14:paraId="04E66939"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E7655DE" w14:textId="60B44AE7" w:rsidR="000A1933" w:rsidRPr="00A847B7" w:rsidRDefault="000A1933" w:rsidP="000A1933">
            <w:pPr>
              <w:spacing w:beforeAutospacing="1" w:after="100" w:afterAutospacing="1"/>
              <w:rPr>
                <w:rFonts w:cstheme="minorHAnsi"/>
              </w:rPr>
            </w:pPr>
            <w:r w:rsidRPr="00A847B7">
              <w:rPr>
                <w:rFonts w:cstheme="minorHAnsi"/>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CC8F9DF" w14:textId="79EF698B" w:rsidR="000A1933" w:rsidRPr="00A847B7" w:rsidRDefault="000A1933" w:rsidP="000A1933">
            <w:pPr>
              <w:spacing w:beforeAutospacing="1" w:after="100" w:afterAutospacing="1"/>
              <w:rPr>
                <w:rFonts w:cstheme="minorHAnsi"/>
              </w:rPr>
            </w:pPr>
            <w:r w:rsidRPr="00A847B7">
              <w:rPr>
                <w:rFonts w:cstheme="minorHAnsi"/>
              </w:rPr>
              <w:t>1 511</w:t>
            </w:r>
          </w:p>
        </w:tc>
      </w:tr>
      <w:tr w:rsidR="000A1933" w:rsidRPr="00A847B7" w14:paraId="03E63FDF"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65F61D6" w14:textId="7FAA7B65" w:rsidR="000A1933" w:rsidRPr="00A847B7" w:rsidRDefault="000A1933" w:rsidP="000A1933">
            <w:pPr>
              <w:spacing w:beforeAutospacing="1" w:after="100" w:afterAutospacing="1"/>
              <w:rPr>
                <w:rFonts w:cstheme="minorHAnsi"/>
              </w:rPr>
            </w:pPr>
            <w:r w:rsidRPr="00A847B7">
              <w:rPr>
                <w:rFonts w:cstheme="minorHAnsi"/>
              </w:rPr>
              <w:t>167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4391612" w14:textId="70B0EADC" w:rsidR="000A1933" w:rsidRPr="00A847B7" w:rsidRDefault="000A1933" w:rsidP="000A1933">
            <w:pPr>
              <w:spacing w:beforeAutospacing="1" w:after="100" w:afterAutospacing="1"/>
              <w:rPr>
                <w:rFonts w:cstheme="minorHAnsi"/>
              </w:rPr>
            </w:pPr>
            <w:r w:rsidRPr="00A847B7">
              <w:rPr>
                <w:rFonts w:cstheme="minorHAnsi"/>
              </w:rPr>
              <w:t>1 570</w:t>
            </w:r>
          </w:p>
        </w:tc>
      </w:tr>
      <w:tr w:rsidR="000A1933" w:rsidRPr="00A847B7" w14:paraId="7D5D490C"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32D0C94" w14:textId="4A4CDF15" w:rsidR="000A1933" w:rsidRPr="00A847B7" w:rsidRDefault="000A1933" w:rsidP="000A1933">
            <w:pPr>
              <w:spacing w:beforeAutospacing="1" w:after="100" w:afterAutospacing="1"/>
              <w:rPr>
                <w:rFonts w:cstheme="minorHAnsi"/>
              </w:rPr>
            </w:pPr>
            <w:r w:rsidRPr="00A847B7">
              <w:rPr>
                <w:rFonts w:cstheme="minorHAnsi"/>
              </w:rPr>
              <w:t>168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24856F1" w14:textId="4E2EF361" w:rsidR="000A1933" w:rsidRPr="00A847B7" w:rsidRDefault="000A1933" w:rsidP="000A1933">
            <w:pPr>
              <w:spacing w:beforeAutospacing="1" w:after="100" w:afterAutospacing="1"/>
              <w:rPr>
                <w:rFonts w:cstheme="minorHAnsi"/>
              </w:rPr>
            </w:pPr>
            <w:r w:rsidRPr="00A847B7">
              <w:rPr>
                <w:rFonts w:cstheme="minorHAnsi"/>
              </w:rPr>
              <w:t>1 630</w:t>
            </w:r>
          </w:p>
        </w:tc>
      </w:tr>
      <w:tr w:rsidR="000A1933" w:rsidRPr="00A847B7" w14:paraId="06F0220B"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EC8535B" w14:textId="0216F92E" w:rsidR="000A1933" w:rsidRPr="00A847B7" w:rsidRDefault="000A1933" w:rsidP="000A1933">
            <w:pPr>
              <w:spacing w:beforeAutospacing="1" w:after="100" w:afterAutospacing="1"/>
              <w:rPr>
                <w:rFonts w:cstheme="minorHAnsi"/>
              </w:rPr>
            </w:pPr>
            <w:r w:rsidRPr="00A847B7">
              <w:rPr>
                <w:rFonts w:cstheme="minorHAnsi"/>
              </w:rPr>
              <w:t>169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632CFF4" w14:textId="7A3BBB02" w:rsidR="000A1933" w:rsidRPr="00A847B7" w:rsidRDefault="000A1933" w:rsidP="000A1933">
            <w:pPr>
              <w:spacing w:beforeAutospacing="1" w:after="100" w:afterAutospacing="1"/>
              <w:rPr>
                <w:rFonts w:cstheme="minorHAnsi"/>
              </w:rPr>
            </w:pPr>
            <w:r w:rsidRPr="00A847B7">
              <w:rPr>
                <w:rFonts w:cstheme="minorHAnsi"/>
              </w:rPr>
              <w:t>1 690</w:t>
            </w:r>
          </w:p>
        </w:tc>
      </w:tr>
      <w:tr w:rsidR="000A1933" w:rsidRPr="00A847B7" w14:paraId="367D876F"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556C036" w14:textId="4662174D" w:rsidR="000A1933" w:rsidRPr="00A847B7" w:rsidRDefault="000A1933" w:rsidP="000A1933">
            <w:pPr>
              <w:spacing w:beforeAutospacing="1" w:after="100" w:afterAutospacing="1"/>
              <w:rPr>
                <w:rFonts w:cstheme="minorHAnsi"/>
              </w:rPr>
            </w:pPr>
            <w:r w:rsidRPr="00A847B7">
              <w:rPr>
                <w:rFonts w:cstheme="minorHAnsi"/>
              </w:rPr>
              <w:t>170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C18A4A5" w14:textId="608235B5" w:rsidR="000A1933" w:rsidRPr="00A847B7" w:rsidRDefault="000A1933" w:rsidP="000A1933">
            <w:pPr>
              <w:spacing w:beforeAutospacing="1" w:after="100" w:afterAutospacing="1"/>
              <w:rPr>
                <w:rFonts w:cstheme="minorHAnsi"/>
              </w:rPr>
            </w:pPr>
            <w:r w:rsidRPr="00A847B7">
              <w:rPr>
                <w:rFonts w:cstheme="minorHAnsi"/>
              </w:rPr>
              <w:t>1 751</w:t>
            </w:r>
          </w:p>
        </w:tc>
      </w:tr>
      <w:tr w:rsidR="000A1933" w:rsidRPr="00A847B7" w14:paraId="41581242"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8C18837" w14:textId="3C24CAA7" w:rsidR="000A1933" w:rsidRPr="00A847B7" w:rsidRDefault="000A1933" w:rsidP="000A1933">
            <w:pPr>
              <w:spacing w:beforeAutospacing="1" w:after="100" w:afterAutospacing="1"/>
              <w:rPr>
                <w:rFonts w:cstheme="minorHAnsi"/>
              </w:rPr>
            </w:pPr>
            <w:r w:rsidRPr="00A847B7">
              <w:rPr>
                <w:rFonts w:cstheme="minorHAnsi"/>
              </w:rPr>
              <w:t>171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3936620" w14:textId="7E5355DD" w:rsidR="000A1933" w:rsidRPr="00A847B7" w:rsidRDefault="000A1933" w:rsidP="000A1933">
            <w:pPr>
              <w:spacing w:beforeAutospacing="1" w:after="100" w:afterAutospacing="1"/>
              <w:rPr>
                <w:rFonts w:cstheme="minorHAnsi"/>
              </w:rPr>
            </w:pPr>
            <w:r w:rsidRPr="00A847B7">
              <w:rPr>
                <w:rFonts w:cstheme="minorHAnsi"/>
              </w:rPr>
              <w:t>1 813</w:t>
            </w:r>
          </w:p>
        </w:tc>
      </w:tr>
      <w:tr w:rsidR="000A1933" w:rsidRPr="00A847B7" w14:paraId="3461AEC7"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AC15527" w14:textId="6A7F45CD" w:rsidR="000A1933" w:rsidRPr="00A847B7" w:rsidRDefault="000A1933" w:rsidP="000A1933">
            <w:pPr>
              <w:spacing w:beforeAutospacing="1" w:after="100" w:afterAutospacing="1"/>
              <w:rPr>
                <w:rFonts w:cstheme="minorHAnsi"/>
              </w:rPr>
            </w:pPr>
            <w:r w:rsidRPr="00A847B7">
              <w:rPr>
                <w:rFonts w:cstheme="minorHAnsi"/>
              </w:rPr>
              <w:lastRenderedPageBreak/>
              <w:t>172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5EC9795" w14:textId="5E11FBD1" w:rsidR="000A1933" w:rsidRPr="00A847B7" w:rsidRDefault="000A1933" w:rsidP="000A1933">
            <w:pPr>
              <w:spacing w:beforeAutospacing="1" w:after="100" w:afterAutospacing="1"/>
              <w:rPr>
                <w:rFonts w:cstheme="minorHAnsi"/>
              </w:rPr>
            </w:pPr>
            <w:r w:rsidRPr="00A847B7">
              <w:rPr>
                <w:rFonts w:cstheme="minorHAnsi"/>
              </w:rPr>
              <w:t>1 875</w:t>
            </w:r>
          </w:p>
        </w:tc>
      </w:tr>
      <w:tr w:rsidR="000A1933" w:rsidRPr="00A847B7" w14:paraId="535ACCDD"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27AC703" w14:textId="2FA5C136" w:rsidR="000A1933" w:rsidRPr="00A847B7" w:rsidRDefault="000A1933" w:rsidP="000A1933">
            <w:pPr>
              <w:spacing w:beforeAutospacing="1" w:after="100" w:afterAutospacing="1"/>
              <w:rPr>
                <w:rFonts w:cstheme="minorHAnsi"/>
              </w:rPr>
            </w:pPr>
            <w:r w:rsidRPr="00A847B7">
              <w:rPr>
                <w:rFonts w:cstheme="minorHAnsi"/>
              </w:rPr>
              <w:t>173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B3172D7" w14:textId="72F65691" w:rsidR="000A1933" w:rsidRPr="00A847B7" w:rsidRDefault="000A1933" w:rsidP="000A1933">
            <w:pPr>
              <w:spacing w:beforeAutospacing="1" w:after="100" w:afterAutospacing="1"/>
              <w:rPr>
                <w:rFonts w:cstheme="minorHAnsi"/>
              </w:rPr>
            </w:pPr>
            <w:r w:rsidRPr="00A847B7">
              <w:rPr>
                <w:rFonts w:cstheme="minorHAnsi"/>
              </w:rPr>
              <w:t>1 938</w:t>
            </w:r>
          </w:p>
        </w:tc>
      </w:tr>
      <w:tr w:rsidR="000A1933" w:rsidRPr="00A847B7" w14:paraId="78A2B21A"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D720EE1" w14:textId="04F1F223" w:rsidR="000A1933" w:rsidRPr="00A847B7" w:rsidRDefault="000A1933" w:rsidP="000A1933">
            <w:pPr>
              <w:spacing w:beforeAutospacing="1" w:after="100" w:afterAutospacing="1"/>
              <w:rPr>
                <w:rFonts w:cstheme="minorHAnsi"/>
              </w:rPr>
            </w:pPr>
            <w:r w:rsidRPr="00A847B7">
              <w:rPr>
                <w:rFonts w:cstheme="minorHAnsi"/>
              </w:rPr>
              <w:t>174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BB1AA59" w14:textId="6F63EA1D" w:rsidR="000A1933" w:rsidRPr="00A847B7" w:rsidRDefault="000A1933" w:rsidP="000A1933">
            <w:pPr>
              <w:spacing w:beforeAutospacing="1" w:after="100" w:afterAutospacing="1"/>
              <w:rPr>
                <w:rFonts w:cstheme="minorHAnsi"/>
              </w:rPr>
            </w:pPr>
            <w:r w:rsidRPr="00A847B7">
              <w:rPr>
                <w:rFonts w:cstheme="minorHAnsi"/>
              </w:rPr>
              <w:t>2 001</w:t>
            </w:r>
          </w:p>
        </w:tc>
      </w:tr>
      <w:tr w:rsidR="000A1933" w:rsidRPr="00A847B7" w14:paraId="45661690"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49798DE" w14:textId="50E2E10F" w:rsidR="000A1933" w:rsidRPr="00A847B7" w:rsidRDefault="000A1933" w:rsidP="000A1933">
            <w:pPr>
              <w:spacing w:beforeAutospacing="1" w:after="100" w:afterAutospacing="1"/>
              <w:rPr>
                <w:rFonts w:cstheme="minorHAnsi"/>
              </w:rPr>
            </w:pPr>
            <w:r w:rsidRPr="00A847B7">
              <w:rPr>
                <w:rFonts w:cstheme="minorHAnsi"/>
              </w:rPr>
              <w:t>175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6D03539" w14:textId="67195B09" w:rsidR="000A1933" w:rsidRPr="00A847B7" w:rsidRDefault="000A1933" w:rsidP="000A1933">
            <w:pPr>
              <w:spacing w:beforeAutospacing="1" w:after="100" w:afterAutospacing="1"/>
              <w:rPr>
                <w:rFonts w:cstheme="minorHAnsi"/>
              </w:rPr>
            </w:pPr>
            <w:r w:rsidRPr="00A847B7">
              <w:rPr>
                <w:rFonts w:cstheme="minorHAnsi"/>
              </w:rPr>
              <w:t>2 065</w:t>
            </w:r>
          </w:p>
        </w:tc>
      </w:tr>
      <w:tr w:rsidR="000A1933" w:rsidRPr="00A847B7" w14:paraId="3F67A5BF"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87C7A03" w14:textId="2AE0ED11" w:rsidR="000A1933" w:rsidRPr="00A847B7" w:rsidRDefault="000A1933" w:rsidP="000A1933">
            <w:pPr>
              <w:spacing w:beforeAutospacing="1" w:after="100" w:afterAutospacing="1"/>
              <w:rPr>
                <w:rFonts w:cstheme="minorHAnsi"/>
              </w:rPr>
            </w:pPr>
            <w:r w:rsidRPr="00A847B7">
              <w:rPr>
                <w:rFonts w:cstheme="minorHAnsi"/>
              </w:rPr>
              <w:t>176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A61ADEA" w14:textId="52C655E4" w:rsidR="000A1933" w:rsidRPr="00A847B7" w:rsidRDefault="000A1933" w:rsidP="000A1933">
            <w:pPr>
              <w:spacing w:beforeAutospacing="1" w:after="100" w:afterAutospacing="1"/>
              <w:rPr>
                <w:rFonts w:cstheme="minorHAnsi"/>
              </w:rPr>
            </w:pPr>
            <w:r w:rsidRPr="00A847B7">
              <w:rPr>
                <w:rFonts w:cstheme="minorHAnsi"/>
              </w:rPr>
              <w:t>2 130</w:t>
            </w:r>
          </w:p>
        </w:tc>
      </w:tr>
      <w:tr w:rsidR="000A1933" w:rsidRPr="00A847B7" w14:paraId="0157EFB2"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64E58D9" w14:textId="11F37F3E" w:rsidR="000A1933" w:rsidRPr="00A847B7" w:rsidRDefault="000A1933" w:rsidP="000A1933">
            <w:pPr>
              <w:spacing w:beforeAutospacing="1" w:after="100" w:afterAutospacing="1"/>
              <w:rPr>
                <w:rFonts w:cstheme="minorHAnsi"/>
              </w:rPr>
            </w:pPr>
            <w:r w:rsidRPr="00A847B7">
              <w:rPr>
                <w:rFonts w:cstheme="minorHAnsi"/>
              </w:rPr>
              <w:t>177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6B322C0" w14:textId="1DD9DBB4" w:rsidR="000A1933" w:rsidRPr="00A847B7" w:rsidRDefault="000A1933" w:rsidP="000A1933">
            <w:pPr>
              <w:spacing w:beforeAutospacing="1" w:after="100" w:afterAutospacing="1"/>
              <w:rPr>
                <w:rFonts w:cstheme="minorHAnsi"/>
              </w:rPr>
            </w:pPr>
            <w:r w:rsidRPr="00A847B7">
              <w:rPr>
                <w:rFonts w:cstheme="minorHAnsi"/>
              </w:rPr>
              <w:t>2 195</w:t>
            </w:r>
          </w:p>
        </w:tc>
      </w:tr>
      <w:tr w:rsidR="000A1933" w:rsidRPr="00A847B7" w14:paraId="73AB5026"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5933072" w14:textId="45652DBD" w:rsidR="000A1933" w:rsidRPr="00A847B7" w:rsidRDefault="000A1933" w:rsidP="000A1933">
            <w:pPr>
              <w:spacing w:beforeAutospacing="1" w:after="100" w:afterAutospacing="1"/>
              <w:rPr>
                <w:rFonts w:cstheme="minorHAnsi"/>
              </w:rPr>
            </w:pPr>
            <w:r w:rsidRPr="00A847B7">
              <w:rPr>
                <w:rFonts w:cstheme="minorHAnsi"/>
              </w:rPr>
              <w:t>178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AB64269" w14:textId="49CE53FE" w:rsidR="000A1933" w:rsidRPr="00A847B7" w:rsidRDefault="000A1933" w:rsidP="000A1933">
            <w:pPr>
              <w:spacing w:beforeAutospacing="1" w:after="100" w:afterAutospacing="1"/>
              <w:rPr>
                <w:rFonts w:cstheme="minorHAnsi"/>
              </w:rPr>
            </w:pPr>
            <w:r w:rsidRPr="00A847B7">
              <w:rPr>
                <w:rFonts w:cstheme="minorHAnsi"/>
              </w:rPr>
              <w:t>2 261</w:t>
            </w:r>
          </w:p>
        </w:tc>
      </w:tr>
      <w:tr w:rsidR="000A1933" w:rsidRPr="00A847B7" w14:paraId="4B42202A"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E2EBFFD" w14:textId="559878AF" w:rsidR="000A1933" w:rsidRPr="00A847B7" w:rsidRDefault="000A1933" w:rsidP="000A1933">
            <w:pPr>
              <w:spacing w:beforeAutospacing="1" w:after="100" w:afterAutospacing="1"/>
              <w:rPr>
                <w:rFonts w:cstheme="minorHAnsi"/>
              </w:rPr>
            </w:pPr>
            <w:r w:rsidRPr="00A847B7">
              <w:rPr>
                <w:rFonts w:cstheme="minorHAnsi"/>
              </w:rPr>
              <w:t>179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287FBE4" w14:textId="0B791BAE" w:rsidR="000A1933" w:rsidRPr="00A847B7" w:rsidRDefault="000A1933" w:rsidP="000A1933">
            <w:pPr>
              <w:spacing w:beforeAutospacing="1" w:after="100" w:afterAutospacing="1"/>
              <w:rPr>
                <w:rFonts w:cstheme="minorHAnsi"/>
              </w:rPr>
            </w:pPr>
            <w:r w:rsidRPr="00A847B7">
              <w:rPr>
                <w:rFonts w:cstheme="minorHAnsi"/>
              </w:rPr>
              <w:t>2 327</w:t>
            </w:r>
          </w:p>
        </w:tc>
      </w:tr>
      <w:tr w:rsidR="000A1933" w:rsidRPr="00A847B7" w14:paraId="59FD78A5"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2D8C95E" w14:textId="555AC749" w:rsidR="000A1933" w:rsidRPr="00A847B7" w:rsidRDefault="000A1933" w:rsidP="000A1933">
            <w:pPr>
              <w:spacing w:beforeAutospacing="1" w:after="100" w:afterAutospacing="1"/>
              <w:rPr>
                <w:rFonts w:cstheme="minorHAnsi"/>
              </w:rPr>
            </w:pPr>
            <w:r w:rsidRPr="00A847B7">
              <w:rPr>
                <w:rFonts w:cstheme="minorHAnsi"/>
              </w:rPr>
              <w:t>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1B1FA63" w14:textId="4027A4F9" w:rsidR="000A1933" w:rsidRPr="00A847B7" w:rsidRDefault="000A1933" w:rsidP="000A1933">
            <w:pPr>
              <w:spacing w:beforeAutospacing="1" w:after="100" w:afterAutospacing="1"/>
              <w:rPr>
                <w:rFonts w:cstheme="minorHAnsi"/>
              </w:rPr>
            </w:pPr>
            <w:r w:rsidRPr="00A847B7">
              <w:rPr>
                <w:rFonts w:cstheme="minorHAnsi"/>
              </w:rPr>
              <w:t>2 394</w:t>
            </w:r>
          </w:p>
        </w:tc>
      </w:tr>
      <w:tr w:rsidR="000A1933" w:rsidRPr="00A847B7" w14:paraId="01D4E048"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C0A3B37" w14:textId="169C2313" w:rsidR="000A1933" w:rsidRPr="00A847B7" w:rsidRDefault="000A1933" w:rsidP="000A1933">
            <w:pPr>
              <w:spacing w:beforeAutospacing="1" w:after="100" w:afterAutospacing="1"/>
              <w:rPr>
                <w:rFonts w:cstheme="minorHAnsi"/>
              </w:rPr>
            </w:pPr>
            <w:r w:rsidRPr="00A847B7">
              <w:rPr>
                <w:rFonts w:cstheme="minorHAnsi"/>
              </w:rPr>
              <w:t>181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F8E8EAF" w14:textId="4BF0B83A" w:rsidR="000A1933" w:rsidRPr="00A847B7" w:rsidRDefault="000A1933" w:rsidP="000A1933">
            <w:pPr>
              <w:spacing w:beforeAutospacing="1" w:after="100" w:afterAutospacing="1"/>
              <w:rPr>
                <w:rFonts w:cstheme="minorHAnsi"/>
              </w:rPr>
            </w:pPr>
            <w:r w:rsidRPr="00A847B7">
              <w:rPr>
                <w:rFonts w:cstheme="minorHAnsi"/>
              </w:rPr>
              <w:t>2 480</w:t>
            </w:r>
          </w:p>
        </w:tc>
      </w:tr>
      <w:tr w:rsidR="000A1933" w:rsidRPr="00A847B7" w14:paraId="36F0BBAD"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EACD324" w14:textId="7EFA446C" w:rsidR="000A1933" w:rsidRPr="00A847B7" w:rsidRDefault="000A1933" w:rsidP="000A1933">
            <w:pPr>
              <w:spacing w:beforeAutospacing="1" w:after="100" w:afterAutospacing="1"/>
              <w:rPr>
                <w:rFonts w:cstheme="minorHAnsi"/>
              </w:rPr>
            </w:pPr>
            <w:r w:rsidRPr="00A847B7">
              <w:rPr>
                <w:rFonts w:cstheme="minorHAnsi"/>
              </w:rPr>
              <w:t>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72CF3A2" w14:textId="6CD865C1" w:rsidR="000A1933" w:rsidRPr="00A847B7" w:rsidRDefault="000A1933" w:rsidP="000A1933">
            <w:pPr>
              <w:spacing w:beforeAutospacing="1" w:after="100" w:afterAutospacing="1"/>
              <w:rPr>
                <w:rFonts w:cstheme="minorHAnsi"/>
              </w:rPr>
            </w:pPr>
            <w:r w:rsidRPr="00A847B7">
              <w:rPr>
                <w:rFonts w:cstheme="minorHAnsi"/>
              </w:rPr>
              <w:t>2 548</w:t>
            </w:r>
          </w:p>
        </w:tc>
      </w:tr>
      <w:tr w:rsidR="000A1933" w:rsidRPr="00A847B7" w14:paraId="3E04012C"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C5CA2BB" w14:textId="621FF019" w:rsidR="000A1933" w:rsidRPr="00A847B7" w:rsidRDefault="000A1933" w:rsidP="000A1933">
            <w:pPr>
              <w:spacing w:beforeAutospacing="1" w:after="100" w:afterAutospacing="1"/>
              <w:rPr>
                <w:rFonts w:cstheme="minorHAnsi"/>
              </w:rPr>
            </w:pPr>
            <w:r w:rsidRPr="00A847B7">
              <w:rPr>
                <w:rFonts w:cstheme="minorHAnsi"/>
              </w:rPr>
              <w:t>183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8DBCA56" w14:textId="44C49167" w:rsidR="000A1933" w:rsidRPr="00A847B7" w:rsidRDefault="000A1933" w:rsidP="000A1933">
            <w:pPr>
              <w:spacing w:beforeAutospacing="1" w:after="100" w:afterAutospacing="1"/>
              <w:rPr>
                <w:rFonts w:cstheme="minorHAnsi"/>
              </w:rPr>
            </w:pPr>
            <w:r w:rsidRPr="00A847B7">
              <w:rPr>
                <w:rFonts w:cstheme="minorHAnsi"/>
              </w:rPr>
              <w:t>2 617</w:t>
            </w:r>
          </w:p>
        </w:tc>
      </w:tr>
      <w:tr w:rsidR="000A1933" w:rsidRPr="00A847B7" w14:paraId="2D00EEB8"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AADC948" w14:textId="7E4ADB80" w:rsidR="000A1933" w:rsidRPr="00A847B7" w:rsidRDefault="000A1933" w:rsidP="000A1933">
            <w:pPr>
              <w:spacing w:beforeAutospacing="1" w:after="100" w:afterAutospacing="1"/>
              <w:rPr>
                <w:rFonts w:cstheme="minorHAnsi"/>
              </w:rPr>
            </w:pPr>
            <w:r w:rsidRPr="00A847B7">
              <w:rPr>
                <w:rFonts w:cstheme="minorHAnsi"/>
              </w:rPr>
              <w:t>184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80F8FE5" w14:textId="440AF2A9" w:rsidR="000A1933" w:rsidRPr="00A847B7" w:rsidRDefault="000A1933" w:rsidP="000A1933">
            <w:pPr>
              <w:spacing w:beforeAutospacing="1" w:after="100" w:afterAutospacing="1"/>
              <w:rPr>
                <w:rFonts w:cstheme="minorHAnsi"/>
              </w:rPr>
            </w:pPr>
            <w:r w:rsidRPr="00A847B7">
              <w:rPr>
                <w:rFonts w:cstheme="minorHAnsi"/>
              </w:rPr>
              <w:t>2 686</w:t>
            </w:r>
          </w:p>
        </w:tc>
      </w:tr>
      <w:tr w:rsidR="000A1933" w:rsidRPr="00A847B7" w14:paraId="4EFD4567"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7D2CCA8" w14:textId="18D3B756" w:rsidR="000A1933" w:rsidRPr="00A847B7" w:rsidRDefault="000A1933" w:rsidP="000A1933">
            <w:pPr>
              <w:spacing w:beforeAutospacing="1" w:after="100" w:afterAutospacing="1"/>
              <w:rPr>
                <w:rFonts w:cstheme="minorHAnsi"/>
              </w:rPr>
            </w:pPr>
            <w:r w:rsidRPr="00A847B7">
              <w:rPr>
                <w:rFonts w:cstheme="minorHAnsi"/>
              </w:rPr>
              <w:t>185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D020B45" w14:textId="730C19DA" w:rsidR="000A1933" w:rsidRPr="00A847B7" w:rsidRDefault="000A1933" w:rsidP="000A1933">
            <w:pPr>
              <w:spacing w:beforeAutospacing="1" w:after="100" w:afterAutospacing="1"/>
              <w:rPr>
                <w:rFonts w:cstheme="minorHAnsi"/>
              </w:rPr>
            </w:pPr>
            <w:r w:rsidRPr="00A847B7">
              <w:rPr>
                <w:rFonts w:cstheme="minorHAnsi"/>
              </w:rPr>
              <w:t>2 757</w:t>
            </w:r>
          </w:p>
        </w:tc>
      </w:tr>
      <w:tr w:rsidR="000A1933" w:rsidRPr="00A847B7" w14:paraId="0CB02F5F"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55C7215" w14:textId="0D2D1F35" w:rsidR="000A1933" w:rsidRPr="00A847B7" w:rsidRDefault="000A1933" w:rsidP="000A1933">
            <w:pPr>
              <w:spacing w:beforeAutospacing="1" w:after="100" w:afterAutospacing="1"/>
              <w:rPr>
                <w:rFonts w:cstheme="minorHAnsi"/>
              </w:rPr>
            </w:pPr>
            <w:r w:rsidRPr="00A847B7">
              <w:rPr>
                <w:rFonts w:cstheme="minorHAnsi"/>
              </w:rPr>
              <w:t>186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6917E86" w14:textId="3248C5F2" w:rsidR="000A1933" w:rsidRPr="00A847B7" w:rsidRDefault="000A1933" w:rsidP="000A1933">
            <w:pPr>
              <w:spacing w:beforeAutospacing="1" w:after="100" w:afterAutospacing="1"/>
              <w:rPr>
                <w:rFonts w:cstheme="minorHAnsi"/>
              </w:rPr>
            </w:pPr>
            <w:r w:rsidRPr="00A847B7">
              <w:rPr>
                <w:rFonts w:cstheme="minorHAnsi"/>
              </w:rPr>
              <w:t>2 827</w:t>
            </w:r>
          </w:p>
        </w:tc>
      </w:tr>
      <w:tr w:rsidR="000A1933" w:rsidRPr="00A847B7" w14:paraId="1AD6C05F"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E1613EB" w14:textId="1712FA3D" w:rsidR="000A1933" w:rsidRPr="00A847B7" w:rsidRDefault="000A1933" w:rsidP="000A1933">
            <w:pPr>
              <w:spacing w:beforeAutospacing="1" w:after="100" w:afterAutospacing="1"/>
              <w:rPr>
                <w:rFonts w:cstheme="minorHAnsi"/>
              </w:rPr>
            </w:pPr>
            <w:r w:rsidRPr="00A847B7">
              <w:rPr>
                <w:rFonts w:cstheme="minorHAnsi"/>
              </w:rPr>
              <w:t>187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007185C" w14:textId="2CDE913C" w:rsidR="000A1933" w:rsidRPr="00A847B7" w:rsidRDefault="000A1933" w:rsidP="000A1933">
            <w:pPr>
              <w:spacing w:beforeAutospacing="1" w:after="100" w:afterAutospacing="1"/>
              <w:rPr>
                <w:rFonts w:cstheme="minorHAnsi"/>
              </w:rPr>
            </w:pPr>
            <w:r w:rsidRPr="00A847B7">
              <w:rPr>
                <w:rFonts w:cstheme="minorHAnsi"/>
              </w:rPr>
              <w:t>2 899</w:t>
            </w:r>
          </w:p>
        </w:tc>
      </w:tr>
      <w:tr w:rsidR="000A1933" w:rsidRPr="00A847B7" w14:paraId="2A99C830"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B9EABCB" w14:textId="4E16C2A9" w:rsidR="000A1933" w:rsidRPr="00A847B7" w:rsidRDefault="000A1933" w:rsidP="000A1933">
            <w:pPr>
              <w:spacing w:beforeAutospacing="1" w:after="100" w:afterAutospacing="1"/>
              <w:rPr>
                <w:rFonts w:cstheme="minorHAnsi"/>
              </w:rPr>
            </w:pPr>
            <w:r w:rsidRPr="00A847B7">
              <w:rPr>
                <w:rFonts w:cstheme="minorHAnsi"/>
              </w:rPr>
              <w:t>188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13155D3" w14:textId="717666BD" w:rsidR="000A1933" w:rsidRPr="00A847B7" w:rsidRDefault="000A1933" w:rsidP="000A1933">
            <w:pPr>
              <w:spacing w:beforeAutospacing="1" w:after="100" w:afterAutospacing="1"/>
              <w:rPr>
                <w:rFonts w:cstheme="minorHAnsi"/>
              </w:rPr>
            </w:pPr>
            <w:r w:rsidRPr="00A847B7">
              <w:rPr>
                <w:rFonts w:cstheme="minorHAnsi"/>
              </w:rPr>
              <w:t>2 970</w:t>
            </w:r>
          </w:p>
        </w:tc>
      </w:tr>
      <w:tr w:rsidR="000A1933" w:rsidRPr="00A847B7" w14:paraId="4E55DC77"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8A1AA95" w14:textId="5A36B8B1" w:rsidR="000A1933" w:rsidRPr="00A847B7" w:rsidRDefault="000A1933" w:rsidP="000A1933">
            <w:pPr>
              <w:spacing w:beforeAutospacing="1" w:after="100" w:afterAutospacing="1"/>
              <w:rPr>
                <w:rFonts w:cstheme="minorHAnsi"/>
              </w:rPr>
            </w:pPr>
            <w:r w:rsidRPr="00A847B7">
              <w:rPr>
                <w:rFonts w:cstheme="minorHAnsi"/>
              </w:rPr>
              <w:t>189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D1A0B78" w14:textId="6650467C" w:rsidR="000A1933" w:rsidRPr="00A847B7" w:rsidRDefault="000A1933" w:rsidP="000A1933">
            <w:pPr>
              <w:spacing w:beforeAutospacing="1" w:after="100" w:afterAutospacing="1"/>
              <w:rPr>
                <w:rFonts w:cstheme="minorHAnsi"/>
              </w:rPr>
            </w:pPr>
            <w:r w:rsidRPr="00A847B7">
              <w:rPr>
                <w:rFonts w:cstheme="minorHAnsi"/>
              </w:rPr>
              <w:t>3 043</w:t>
            </w:r>
          </w:p>
        </w:tc>
      </w:tr>
      <w:tr w:rsidR="000A1933" w:rsidRPr="00A847B7" w14:paraId="54EC7026"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EF7A5DC" w14:textId="00583C57" w:rsidR="000A1933" w:rsidRPr="00A847B7" w:rsidRDefault="000A1933" w:rsidP="000A1933">
            <w:pPr>
              <w:spacing w:beforeAutospacing="1" w:after="100" w:afterAutospacing="1"/>
              <w:rPr>
                <w:rFonts w:cstheme="minorHAnsi"/>
              </w:rPr>
            </w:pPr>
            <w:r w:rsidRPr="00A847B7">
              <w:rPr>
                <w:rFonts w:cstheme="minorHAnsi"/>
              </w:rPr>
              <w:t>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DA2C097" w14:textId="30ACFD8E" w:rsidR="000A1933" w:rsidRPr="00A847B7" w:rsidRDefault="000A1933" w:rsidP="000A1933">
            <w:pPr>
              <w:spacing w:beforeAutospacing="1" w:after="100" w:afterAutospacing="1"/>
              <w:rPr>
                <w:rFonts w:cstheme="minorHAnsi"/>
              </w:rPr>
            </w:pPr>
            <w:r w:rsidRPr="00A847B7">
              <w:rPr>
                <w:rFonts w:cstheme="minorHAnsi"/>
              </w:rPr>
              <w:t>3 116</w:t>
            </w:r>
          </w:p>
        </w:tc>
      </w:tr>
      <w:tr w:rsidR="000A1933" w:rsidRPr="00A847B7" w14:paraId="60EBB8CF"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D974B88" w14:textId="540F8782" w:rsidR="000A1933" w:rsidRPr="00A847B7" w:rsidRDefault="000A1933" w:rsidP="000A1933">
            <w:pPr>
              <w:spacing w:beforeAutospacing="1" w:after="100" w:afterAutospacing="1"/>
              <w:rPr>
                <w:rFonts w:cstheme="minorHAnsi"/>
              </w:rPr>
            </w:pPr>
            <w:r w:rsidRPr="00A847B7">
              <w:rPr>
                <w:rFonts w:cstheme="minorHAnsi"/>
              </w:rPr>
              <w:t>191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0395F33" w14:textId="778809BF" w:rsidR="000A1933" w:rsidRPr="00A847B7" w:rsidRDefault="000A1933" w:rsidP="000A1933">
            <w:pPr>
              <w:spacing w:beforeAutospacing="1" w:after="100" w:afterAutospacing="1"/>
              <w:rPr>
                <w:rFonts w:cstheme="minorHAnsi"/>
              </w:rPr>
            </w:pPr>
            <w:r w:rsidRPr="00A847B7">
              <w:rPr>
                <w:rFonts w:cstheme="minorHAnsi"/>
              </w:rPr>
              <w:t>3 190</w:t>
            </w:r>
          </w:p>
        </w:tc>
      </w:tr>
      <w:tr w:rsidR="000A1933" w:rsidRPr="00A847B7" w14:paraId="04775793"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E1DCC05" w14:textId="72CE5F04" w:rsidR="000A1933" w:rsidRPr="00A847B7" w:rsidRDefault="000A1933" w:rsidP="000A1933">
            <w:pPr>
              <w:spacing w:beforeAutospacing="1" w:after="100" w:afterAutospacing="1"/>
              <w:rPr>
                <w:rFonts w:cstheme="minorHAnsi"/>
              </w:rPr>
            </w:pPr>
            <w:r w:rsidRPr="00A847B7">
              <w:rPr>
                <w:rFonts w:cstheme="minorHAnsi"/>
              </w:rPr>
              <w:t>192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828A817" w14:textId="38EAEA6F" w:rsidR="000A1933" w:rsidRPr="00A847B7" w:rsidRDefault="000A1933" w:rsidP="000A1933">
            <w:pPr>
              <w:spacing w:beforeAutospacing="1" w:after="100" w:afterAutospacing="1"/>
              <w:rPr>
                <w:rFonts w:cstheme="minorHAnsi"/>
              </w:rPr>
            </w:pPr>
            <w:r w:rsidRPr="00A847B7">
              <w:rPr>
                <w:rFonts w:cstheme="minorHAnsi"/>
              </w:rPr>
              <w:t>3 264</w:t>
            </w:r>
          </w:p>
        </w:tc>
      </w:tr>
      <w:tr w:rsidR="000A1933" w:rsidRPr="00A847B7" w14:paraId="26072970"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167532E" w14:textId="72200E0B" w:rsidR="000A1933" w:rsidRPr="00A847B7" w:rsidRDefault="000A1933" w:rsidP="000A1933">
            <w:pPr>
              <w:spacing w:beforeAutospacing="1" w:after="100" w:afterAutospacing="1"/>
              <w:rPr>
                <w:rFonts w:cstheme="minorHAnsi"/>
              </w:rPr>
            </w:pPr>
            <w:r w:rsidRPr="00A847B7">
              <w:rPr>
                <w:rFonts w:cstheme="minorHAnsi"/>
              </w:rPr>
              <w:t>193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3EEEF11" w14:textId="27307C84" w:rsidR="000A1933" w:rsidRPr="00A847B7" w:rsidRDefault="000A1933" w:rsidP="000A1933">
            <w:pPr>
              <w:spacing w:beforeAutospacing="1" w:after="100" w:afterAutospacing="1"/>
              <w:rPr>
                <w:rFonts w:cstheme="minorHAnsi"/>
              </w:rPr>
            </w:pPr>
            <w:r w:rsidRPr="00A847B7">
              <w:rPr>
                <w:rFonts w:cstheme="minorHAnsi"/>
              </w:rPr>
              <w:t>3 300</w:t>
            </w:r>
          </w:p>
        </w:tc>
      </w:tr>
      <w:tr w:rsidR="000A1933" w:rsidRPr="00A847B7" w14:paraId="0702DC73"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BCD7CE2" w14:textId="52C7A3EC" w:rsidR="000A1933" w:rsidRPr="00A847B7" w:rsidRDefault="000A1933" w:rsidP="000A1933">
            <w:pPr>
              <w:spacing w:beforeAutospacing="1" w:after="100" w:afterAutospacing="1"/>
              <w:rPr>
                <w:rFonts w:cstheme="minorHAnsi"/>
              </w:rPr>
            </w:pPr>
            <w:r w:rsidRPr="00A847B7">
              <w:rPr>
                <w:rFonts w:cstheme="minorHAnsi"/>
              </w:rPr>
              <w:t>194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53CEA15" w14:textId="0A25A5C7" w:rsidR="000A1933" w:rsidRPr="00A847B7" w:rsidRDefault="000A1933" w:rsidP="000A1933">
            <w:pPr>
              <w:spacing w:beforeAutospacing="1" w:after="100" w:afterAutospacing="1"/>
              <w:rPr>
                <w:rFonts w:cstheme="minorHAnsi"/>
              </w:rPr>
            </w:pPr>
            <w:r w:rsidRPr="00A847B7">
              <w:rPr>
                <w:rFonts w:cstheme="minorHAnsi"/>
              </w:rPr>
              <w:t>3 337</w:t>
            </w:r>
          </w:p>
        </w:tc>
      </w:tr>
      <w:tr w:rsidR="000A1933" w:rsidRPr="00A847B7" w14:paraId="2E6D0967"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3CFCE85" w14:textId="4FE86C2D" w:rsidR="000A1933" w:rsidRPr="00A847B7" w:rsidRDefault="000A1933" w:rsidP="000A1933">
            <w:pPr>
              <w:spacing w:beforeAutospacing="1" w:after="100" w:afterAutospacing="1"/>
              <w:rPr>
                <w:rFonts w:cstheme="minorHAnsi"/>
              </w:rPr>
            </w:pPr>
            <w:r w:rsidRPr="00A847B7">
              <w:rPr>
                <w:rFonts w:cstheme="minorHAnsi"/>
              </w:rPr>
              <w:t>195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6327446" w14:textId="61558441" w:rsidR="000A1933" w:rsidRPr="00A847B7" w:rsidRDefault="000A1933" w:rsidP="000A1933">
            <w:pPr>
              <w:spacing w:beforeAutospacing="1" w:after="100" w:afterAutospacing="1"/>
              <w:rPr>
                <w:rFonts w:cstheme="minorHAnsi"/>
              </w:rPr>
            </w:pPr>
            <w:r w:rsidRPr="00A847B7">
              <w:rPr>
                <w:rFonts w:cstheme="minorHAnsi"/>
              </w:rPr>
              <w:t>3 374</w:t>
            </w:r>
          </w:p>
        </w:tc>
      </w:tr>
      <w:tr w:rsidR="000A1933" w:rsidRPr="00A847B7" w14:paraId="56560437"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80E7130" w14:textId="228AD337" w:rsidR="000A1933" w:rsidRPr="00A847B7" w:rsidRDefault="000A1933" w:rsidP="000A1933">
            <w:pPr>
              <w:spacing w:beforeAutospacing="1" w:after="100" w:afterAutospacing="1"/>
              <w:rPr>
                <w:rFonts w:cstheme="minorHAnsi"/>
              </w:rPr>
            </w:pPr>
            <w:r w:rsidRPr="00A847B7">
              <w:rPr>
                <w:rFonts w:cstheme="minorHAnsi"/>
              </w:rPr>
              <w:t>196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D18FDD4" w14:textId="28BF9DF6" w:rsidR="000A1933" w:rsidRPr="00A847B7" w:rsidRDefault="000A1933" w:rsidP="000A1933">
            <w:pPr>
              <w:spacing w:beforeAutospacing="1" w:after="100" w:afterAutospacing="1"/>
              <w:rPr>
                <w:rFonts w:cstheme="minorHAnsi"/>
              </w:rPr>
            </w:pPr>
            <w:r w:rsidRPr="00A847B7">
              <w:rPr>
                <w:rFonts w:cstheme="minorHAnsi"/>
              </w:rPr>
              <w:t>3 410</w:t>
            </w:r>
          </w:p>
        </w:tc>
      </w:tr>
      <w:tr w:rsidR="000A1933" w:rsidRPr="00A847B7" w14:paraId="104620A9"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CEC9569" w14:textId="42D5A8CA" w:rsidR="000A1933" w:rsidRPr="00A847B7" w:rsidRDefault="000A1933" w:rsidP="000A1933">
            <w:pPr>
              <w:spacing w:beforeAutospacing="1" w:after="100" w:afterAutospacing="1"/>
              <w:rPr>
                <w:rFonts w:cstheme="minorHAnsi"/>
              </w:rPr>
            </w:pPr>
            <w:r w:rsidRPr="00A847B7">
              <w:rPr>
                <w:rFonts w:cstheme="minorHAnsi"/>
              </w:rPr>
              <w:t>197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B2CB868" w14:textId="5A1BB2DE" w:rsidR="000A1933" w:rsidRPr="00A847B7" w:rsidRDefault="000A1933" w:rsidP="000A1933">
            <w:pPr>
              <w:spacing w:beforeAutospacing="1" w:after="100" w:afterAutospacing="1"/>
              <w:rPr>
                <w:rFonts w:cstheme="minorHAnsi"/>
              </w:rPr>
            </w:pPr>
            <w:r w:rsidRPr="00A847B7">
              <w:rPr>
                <w:rFonts w:cstheme="minorHAnsi"/>
              </w:rPr>
              <w:t>3 448</w:t>
            </w:r>
          </w:p>
        </w:tc>
      </w:tr>
      <w:tr w:rsidR="000A1933" w:rsidRPr="00A847B7" w14:paraId="6B59A987"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D5FA25F" w14:textId="19B935FC" w:rsidR="000A1933" w:rsidRPr="00A847B7" w:rsidRDefault="000A1933" w:rsidP="000A1933">
            <w:pPr>
              <w:spacing w:beforeAutospacing="1" w:after="100" w:afterAutospacing="1"/>
              <w:rPr>
                <w:rFonts w:cstheme="minorHAnsi"/>
              </w:rPr>
            </w:pPr>
            <w:r w:rsidRPr="00A847B7">
              <w:rPr>
                <w:rFonts w:cstheme="minorHAnsi"/>
              </w:rPr>
              <w:t>198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8E51272" w14:textId="73A9D9F1" w:rsidR="000A1933" w:rsidRPr="00A847B7" w:rsidRDefault="000A1933" w:rsidP="000A1933">
            <w:pPr>
              <w:spacing w:beforeAutospacing="1" w:after="100" w:afterAutospacing="1"/>
              <w:rPr>
                <w:rFonts w:cstheme="minorHAnsi"/>
              </w:rPr>
            </w:pPr>
            <w:r w:rsidRPr="00A847B7">
              <w:rPr>
                <w:rFonts w:cstheme="minorHAnsi"/>
              </w:rPr>
              <w:t>3 485</w:t>
            </w:r>
          </w:p>
        </w:tc>
      </w:tr>
      <w:tr w:rsidR="000A1933" w:rsidRPr="00A847B7" w14:paraId="652E1704"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9C99D65" w14:textId="7158CDE6" w:rsidR="000A1933" w:rsidRPr="00A847B7" w:rsidRDefault="000A1933" w:rsidP="000A1933">
            <w:pPr>
              <w:spacing w:beforeAutospacing="1" w:after="100" w:afterAutospacing="1"/>
              <w:rPr>
                <w:rFonts w:cstheme="minorHAnsi"/>
              </w:rPr>
            </w:pPr>
            <w:r w:rsidRPr="00A847B7">
              <w:rPr>
                <w:rFonts w:cstheme="minorHAnsi"/>
              </w:rPr>
              <w:t>199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6A8278B" w14:textId="561AF6F3" w:rsidR="000A1933" w:rsidRPr="00A847B7" w:rsidRDefault="000A1933" w:rsidP="000A1933">
            <w:pPr>
              <w:spacing w:beforeAutospacing="1" w:after="100" w:afterAutospacing="1"/>
              <w:rPr>
                <w:rFonts w:cstheme="minorHAnsi"/>
              </w:rPr>
            </w:pPr>
            <w:r w:rsidRPr="00A847B7">
              <w:rPr>
                <w:rFonts w:cstheme="minorHAnsi"/>
              </w:rPr>
              <w:t>3 522</w:t>
            </w:r>
          </w:p>
        </w:tc>
      </w:tr>
      <w:tr w:rsidR="000A1933" w:rsidRPr="00A847B7" w14:paraId="4D2ED8A6"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435D350" w14:textId="76DFEA16" w:rsidR="000A1933" w:rsidRPr="00A847B7" w:rsidRDefault="000A1933" w:rsidP="000A1933">
            <w:pPr>
              <w:spacing w:beforeAutospacing="1" w:after="100" w:afterAutospacing="1"/>
              <w:rPr>
                <w:rFonts w:cstheme="minorHAnsi"/>
              </w:rPr>
            </w:pPr>
            <w:r w:rsidRPr="00A847B7">
              <w:rPr>
                <w:rFonts w:cstheme="minorHAnsi"/>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FF87C42" w14:textId="6380A09E" w:rsidR="000A1933" w:rsidRPr="00A847B7" w:rsidRDefault="000A1933" w:rsidP="000A1933">
            <w:pPr>
              <w:spacing w:beforeAutospacing="1" w:after="100" w:afterAutospacing="1"/>
              <w:rPr>
                <w:rFonts w:cstheme="minorHAnsi"/>
              </w:rPr>
            </w:pPr>
            <w:r w:rsidRPr="00A847B7">
              <w:rPr>
                <w:rFonts w:cstheme="minorHAnsi"/>
              </w:rPr>
              <w:t>3 580</w:t>
            </w:r>
          </w:p>
        </w:tc>
      </w:tr>
      <w:tr w:rsidR="000A1933" w:rsidRPr="00A847B7" w14:paraId="0A9D8069"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93A44A7" w14:textId="07243FD0" w:rsidR="000A1933" w:rsidRPr="00A847B7" w:rsidRDefault="000A1933" w:rsidP="000A1933">
            <w:pPr>
              <w:spacing w:beforeAutospacing="1" w:after="100" w:afterAutospacing="1"/>
              <w:rPr>
                <w:rFonts w:cstheme="minorHAnsi"/>
              </w:rPr>
            </w:pPr>
            <w:r w:rsidRPr="00A847B7">
              <w:rPr>
                <w:rFonts w:cstheme="minorHAnsi"/>
              </w:rPr>
              <w:t>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B68872B" w14:textId="589EAD28" w:rsidR="000A1933" w:rsidRPr="00A847B7" w:rsidRDefault="000A1933" w:rsidP="000A1933">
            <w:pPr>
              <w:spacing w:beforeAutospacing="1" w:after="100" w:afterAutospacing="1"/>
              <w:rPr>
                <w:rFonts w:cstheme="minorHAnsi"/>
              </w:rPr>
            </w:pPr>
            <w:r w:rsidRPr="00A847B7">
              <w:rPr>
                <w:rFonts w:cstheme="minorHAnsi"/>
              </w:rPr>
              <w:t>3 618</w:t>
            </w:r>
          </w:p>
        </w:tc>
      </w:tr>
      <w:tr w:rsidR="000A1933" w:rsidRPr="00A847B7" w14:paraId="4CCF8D72"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753EE0C" w14:textId="14B0BEBF" w:rsidR="000A1933" w:rsidRPr="00A847B7" w:rsidRDefault="000A1933" w:rsidP="000A1933">
            <w:pPr>
              <w:spacing w:beforeAutospacing="1" w:after="100" w:afterAutospacing="1"/>
              <w:rPr>
                <w:rFonts w:cstheme="minorHAnsi"/>
              </w:rPr>
            </w:pPr>
            <w:r w:rsidRPr="00A847B7">
              <w:rPr>
                <w:rFonts w:cstheme="minorHAnsi"/>
              </w:rPr>
              <w:t>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9E01B26" w14:textId="5A65B69D" w:rsidR="000A1933" w:rsidRPr="00A847B7" w:rsidRDefault="000A1933" w:rsidP="000A1933">
            <w:pPr>
              <w:spacing w:beforeAutospacing="1" w:after="100" w:afterAutospacing="1"/>
              <w:rPr>
                <w:rFonts w:cstheme="minorHAnsi"/>
              </w:rPr>
            </w:pPr>
            <w:r w:rsidRPr="00A847B7">
              <w:rPr>
                <w:rFonts w:cstheme="minorHAnsi"/>
              </w:rPr>
              <w:t>3 676</w:t>
            </w:r>
          </w:p>
        </w:tc>
      </w:tr>
      <w:tr w:rsidR="000A1933" w:rsidRPr="00A847B7" w14:paraId="08FBB711"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1723DC2" w14:textId="5B9250FE" w:rsidR="000A1933" w:rsidRPr="00A847B7" w:rsidRDefault="000A1933" w:rsidP="000A1933">
            <w:pPr>
              <w:spacing w:beforeAutospacing="1" w:after="100" w:afterAutospacing="1"/>
              <w:rPr>
                <w:rFonts w:cstheme="minorHAnsi"/>
              </w:rPr>
            </w:pPr>
            <w:r w:rsidRPr="00A847B7">
              <w:rPr>
                <w:rFonts w:cstheme="minorHAnsi"/>
              </w:rPr>
              <w:t>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6B8122C" w14:textId="0B1B9222" w:rsidR="000A1933" w:rsidRPr="00A847B7" w:rsidRDefault="000A1933" w:rsidP="000A1933">
            <w:pPr>
              <w:spacing w:beforeAutospacing="1" w:after="100" w:afterAutospacing="1"/>
              <w:rPr>
                <w:rFonts w:cstheme="minorHAnsi"/>
              </w:rPr>
            </w:pPr>
            <w:r w:rsidRPr="00A847B7">
              <w:rPr>
                <w:rFonts w:cstheme="minorHAnsi"/>
              </w:rPr>
              <w:t>3 735</w:t>
            </w:r>
          </w:p>
        </w:tc>
      </w:tr>
      <w:tr w:rsidR="000A1933" w:rsidRPr="00A847B7" w14:paraId="7618B6DE"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BAAC5BE" w14:textId="173A158A" w:rsidR="000A1933" w:rsidRPr="00A847B7" w:rsidRDefault="000A1933" w:rsidP="000A1933">
            <w:pPr>
              <w:spacing w:beforeAutospacing="1" w:after="100" w:afterAutospacing="1"/>
              <w:rPr>
                <w:rFonts w:cstheme="minorHAnsi"/>
              </w:rPr>
            </w:pPr>
            <w:r w:rsidRPr="00A847B7">
              <w:rPr>
                <w:rFonts w:cstheme="minorHAnsi"/>
              </w:rPr>
              <w:t>204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170D734" w14:textId="3BC1E7D0" w:rsidR="000A1933" w:rsidRPr="00A847B7" w:rsidRDefault="000A1933" w:rsidP="000A1933">
            <w:pPr>
              <w:spacing w:beforeAutospacing="1" w:after="100" w:afterAutospacing="1"/>
              <w:rPr>
                <w:rFonts w:cstheme="minorHAnsi"/>
              </w:rPr>
            </w:pPr>
            <w:r w:rsidRPr="00A847B7">
              <w:rPr>
                <w:rFonts w:cstheme="minorHAnsi"/>
              </w:rPr>
              <w:t>3 774</w:t>
            </w:r>
          </w:p>
        </w:tc>
      </w:tr>
      <w:tr w:rsidR="000A1933" w:rsidRPr="00A847B7" w14:paraId="2ABD1BC7"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D2C64A7" w14:textId="2A590CE0" w:rsidR="000A1933" w:rsidRPr="00A847B7" w:rsidRDefault="000A1933" w:rsidP="000A1933">
            <w:pPr>
              <w:spacing w:beforeAutospacing="1" w:after="100" w:afterAutospacing="1"/>
              <w:rPr>
                <w:rFonts w:cstheme="minorHAnsi"/>
              </w:rPr>
            </w:pPr>
            <w:r w:rsidRPr="00A847B7">
              <w:rPr>
                <w:rFonts w:cstheme="minorHAnsi"/>
              </w:rPr>
              <w:t>205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B1E1F61" w14:textId="18E6D8A7" w:rsidR="000A1933" w:rsidRPr="00A847B7" w:rsidRDefault="000A1933" w:rsidP="000A1933">
            <w:pPr>
              <w:spacing w:beforeAutospacing="1" w:after="100" w:afterAutospacing="1"/>
              <w:rPr>
                <w:rFonts w:cstheme="minorHAnsi"/>
              </w:rPr>
            </w:pPr>
            <w:r w:rsidRPr="00A847B7">
              <w:rPr>
                <w:rFonts w:cstheme="minorHAnsi"/>
              </w:rPr>
              <w:t>3 813</w:t>
            </w:r>
          </w:p>
        </w:tc>
      </w:tr>
      <w:tr w:rsidR="000A1933" w:rsidRPr="00A847B7" w14:paraId="2A6A6D97"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3DF7909" w14:textId="354FBAA1" w:rsidR="000A1933" w:rsidRPr="00A847B7" w:rsidRDefault="000A1933" w:rsidP="000A1933">
            <w:pPr>
              <w:spacing w:beforeAutospacing="1" w:after="100" w:afterAutospacing="1"/>
              <w:rPr>
                <w:rFonts w:cstheme="minorHAnsi"/>
              </w:rPr>
            </w:pPr>
            <w:r w:rsidRPr="00A847B7">
              <w:rPr>
                <w:rFonts w:cstheme="minorHAnsi"/>
              </w:rPr>
              <w:t>206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F331CA6" w14:textId="6B123A15" w:rsidR="000A1933" w:rsidRPr="00A847B7" w:rsidRDefault="000A1933" w:rsidP="000A1933">
            <w:pPr>
              <w:spacing w:beforeAutospacing="1" w:after="100" w:afterAutospacing="1"/>
              <w:rPr>
                <w:rFonts w:cstheme="minorHAnsi"/>
              </w:rPr>
            </w:pPr>
            <w:r w:rsidRPr="00A847B7">
              <w:rPr>
                <w:rFonts w:cstheme="minorHAnsi"/>
              </w:rPr>
              <w:t>3 852</w:t>
            </w:r>
          </w:p>
        </w:tc>
      </w:tr>
      <w:tr w:rsidR="000A1933" w:rsidRPr="00A847B7" w14:paraId="5F8DDB59"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FFAF520" w14:textId="4EB77061" w:rsidR="000A1933" w:rsidRPr="00A847B7" w:rsidRDefault="000A1933" w:rsidP="000A1933">
            <w:pPr>
              <w:spacing w:beforeAutospacing="1" w:after="100" w:afterAutospacing="1"/>
              <w:rPr>
                <w:rFonts w:cstheme="minorHAnsi"/>
              </w:rPr>
            </w:pPr>
            <w:r w:rsidRPr="00A847B7">
              <w:rPr>
                <w:rFonts w:cstheme="minorHAnsi"/>
              </w:rPr>
              <w:t>207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99A9A19" w14:textId="354B3968" w:rsidR="000A1933" w:rsidRPr="00A847B7" w:rsidRDefault="000A1933" w:rsidP="000A1933">
            <w:pPr>
              <w:spacing w:beforeAutospacing="1" w:after="100" w:afterAutospacing="1"/>
              <w:rPr>
                <w:rFonts w:cstheme="minorHAnsi"/>
              </w:rPr>
            </w:pPr>
            <w:r w:rsidRPr="00A847B7">
              <w:rPr>
                <w:rFonts w:cstheme="minorHAnsi"/>
              </w:rPr>
              <w:t>3 892</w:t>
            </w:r>
          </w:p>
        </w:tc>
      </w:tr>
      <w:tr w:rsidR="000A1933" w:rsidRPr="00A847B7" w14:paraId="1EA12075"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024C277" w14:textId="6E5F146C" w:rsidR="000A1933" w:rsidRPr="00A847B7" w:rsidRDefault="000A1933" w:rsidP="000A1933">
            <w:pPr>
              <w:spacing w:beforeAutospacing="1" w:after="100" w:afterAutospacing="1"/>
              <w:rPr>
                <w:rFonts w:cstheme="minorHAnsi"/>
              </w:rPr>
            </w:pPr>
            <w:r w:rsidRPr="00A847B7">
              <w:rPr>
                <w:rFonts w:cstheme="minorHAnsi"/>
              </w:rPr>
              <w:t>208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D4546F6" w14:textId="21E61556" w:rsidR="000A1933" w:rsidRPr="00A847B7" w:rsidRDefault="000A1933" w:rsidP="000A1933">
            <w:pPr>
              <w:spacing w:beforeAutospacing="1" w:after="100" w:afterAutospacing="1"/>
              <w:rPr>
                <w:rFonts w:cstheme="minorHAnsi"/>
              </w:rPr>
            </w:pPr>
            <w:r w:rsidRPr="00A847B7">
              <w:rPr>
                <w:rFonts w:cstheme="minorHAnsi"/>
              </w:rPr>
              <w:t>3 952</w:t>
            </w:r>
          </w:p>
        </w:tc>
      </w:tr>
      <w:tr w:rsidR="000A1933" w:rsidRPr="00A847B7" w14:paraId="23450001"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666F9BA" w14:textId="509F759C" w:rsidR="000A1933" w:rsidRPr="00A847B7" w:rsidRDefault="000A1933" w:rsidP="000A1933">
            <w:pPr>
              <w:spacing w:beforeAutospacing="1" w:after="100" w:afterAutospacing="1"/>
              <w:rPr>
                <w:rFonts w:cstheme="minorHAnsi"/>
              </w:rPr>
            </w:pPr>
            <w:r w:rsidRPr="00A847B7">
              <w:rPr>
                <w:rFonts w:cstheme="minorHAnsi"/>
              </w:rPr>
              <w:t>209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7872A83" w14:textId="12CD53D2" w:rsidR="000A1933" w:rsidRPr="00A847B7" w:rsidRDefault="000A1933" w:rsidP="000A1933">
            <w:pPr>
              <w:spacing w:beforeAutospacing="1" w:after="100" w:afterAutospacing="1"/>
              <w:rPr>
                <w:rFonts w:cstheme="minorHAnsi"/>
              </w:rPr>
            </w:pPr>
            <w:r w:rsidRPr="00A847B7">
              <w:rPr>
                <w:rFonts w:cstheme="minorHAnsi"/>
              </w:rPr>
              <w:t>3 992</w:t>
            </w:r>
          </w:p>
        </w:tc>
      </w:tr>
      <w:tr w:rsidR="000A1933" w:rsidRPr="00A847B7" w14:paraId="595E28BF"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91DE12F" w14:textId="106FBD9D" w:rsidR="000A1933" w:rsidRPr="00A847B7" w:rsidRDefault="000A1933" w:rsidP="000A1933">
            <w:pPr>
              <w:spacing w:beforeAutospacing="1" w:after="100" w:afterAutospacing="1"/>
              <w:rPr>
                <w:rFonts w:cstheme="minorHAnsi"/>
              </w:rPr>
            </w:pPr>
            <w:r w:rsidRPr="00A847B7">
              <w:rPr>
                <w:rFonts w:cstheme="minorHAnsi"/>
              </w:rPr>
              <w:t>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A54921A" w14:textId="6A154F04" w:rsidR="000A1933" w:rsidRPr="00A847B7" w:rsidRDefault="000A1933" w:rsidP="000A1933">
            <w:pPr>
              <w:spacing w:beforeAutospacing="1" w:after="100" w:afterAutospacing="1"/>
              <w:rPr>
                <w:rFonts w:cstheme="minorHAnsi"/>
              </w:rPr>
            </w:pPr>
            <w:r w:rsidRPr="00A847B7">
              <w:rPr>
                <w:rFonts w:cstheme="minorHAnsi"/>
              </w:rPr>
              <w:t>4 032</w:t>
            </w:r>
          </w:p>
        </w:tc>
      </w:tr>
      <w:tr w:rsidR="000A1933" w:rsidRPr="00A847B7" w14:paraId="0CBD6EE1"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C4DFA43" w14:textId="29C9DEA4" w:rsidR="000A1933" w:rsidRPr="00A847B7" w:rsidRDefault="000A1933" w:rsidP="000A1933">
            <w:pPr>
              <w:spacing w:beforeAutospacing="1" w:after="100" w:afterAutospacing="1"/>
              <w:rPr>
                <w:rFonts w:cstheme="minorHAnsi"/>
              </w:rPr>
            </w:pPr>
            <w:r w:rsidRPr="00A847B7">
              <w:rPr>
                <w:rFonts w:cstheme="minorHAnsi"/>
              </w:rPr>
              <w:lastRenderedPageBreak/>
              <w:t>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6868BC5" w14:textId="4E854157" w:rsidR="000A1933" w:rsidRPr="00A847B7" w:rsidRDefault="000A1933" w:rsidP="000A1933">
            <w:pPr>
              <w:spacing w:beforeAutospacing="1" w:after="100" w:afterAutospacing="1"/>
              <w:rPr>
                <w:rFonts w:cstheme="minorHAnsi"/>
              </w:rPr>
            </w:pPr>
            <w:r w:rsidRPr="00A847B7">
              <w:rPr>
                <w:rFonts w:cstheme="minorHAnsi"/>
              </w:rPr>
              <w:t>4 072</w:t>
            </w:r>
          </w:p>
        </w:tc>
      </w:tr>
      <w:tr w:rsidR="000A1933" w:rsidRPr="00A847B7" w14:paraId="11055B51"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A5367BB" w14:textId="406F12AB" w:rsidR="000A1933" w:rsidRPr="00A847B7" w:rsidRDefault="000A1933" w:rsidP="000A1933">
            <w:pPr>
              <w:spacing w:beforeAutospacing="1" w:after="100" w:afterAutospacing="1"/>
              <w:rPr>
                <w:rFonts w:cstheme="minorHAnsi"/>
              </w:rPr>
            </w:pPr>
            <w:r w:rsidRPr="00A847B7">
              <w:rPr>
                <w:rFonts w:cstheme="minorHAnsi"/>
              </w:rPr>
              <w:t>212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CBF6167" w14:textId="69288E3B" w:rsidR="000A1933" w:rsidRPr="00A847B7" w:rsidRDefault="000A1933" w:rsidP="000A1933">
            <w:pPr>
              <w:spacing w:beforeAutospacing="1" w:after="100" w:afterAutospacing="1"/>
              <w:rPr>
                <w:rFonts w:cstheme="minorHAnsi"/>
              </w:rPr>
            </w:pPr>
            <w:r w:rsidRPr="00A847B7">
              <w:rPr>
                <w:rFonts w:cstheme="minorHAnsi"/>
              </w:rPr>
              <w:t>4 113</w:t>
            </w:r>
          </w:p>
        </w:tc>
      </w:tr>
      <w:tr w:rsidR="000A1933" w:rsidRPr="00A847B7" w14:paraId="6A9AE43A"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58CFEB5" w14:textId="002C02D7" w:rsidR="000A1933" w:rsidRPr="00A847B7" w:rsidRDefault="000A1933" w:rsidP="000A1933">
            <w:pPr>
              <w:spacing w:beforeAutospacing="1" w:after="100" w:afterAutospacing="1"/>
              <w:rPr>
                <w:rFonts w:cstheme="minorHAnsi"/>
              </w:rPr>
            </w:pPr>
            <w:r w:rsidRPr="00A847B7">
              <w:rPr>
                <w:rFonts w:cstheme="minorHAnsi"/>
              </w:rPr>
              <w:t>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D1415C8" w14:textId="53E54F4A" w:rsidR="000A1933" w:rsidRPr="00A847B7" w:rsidRDefault="000A1933" w:rsidP="000A1933">
            <w:pPr>
              <w:spacing w:beforeAutospacing="1" w:after="100" w:afterAutospacing="1"/>
              <w:rPr>
                <w:rFonts w:cstheme="minorHAnsi"/>
              </w:rPr>
            </w:pPr>
            <w:r w:rsidRPr="00A847B7">
              <w:rPr>
                <w:rFonts w:cstheme="minorHAnsi"/>
              </w:rPr>
              <w:t>4 175</w:t>
            </w:r>
          </w:p>
        </w:tc>
      </w:tr>
      <w:tr w:rsidR="000A1933" w:rsidRPr="00A847B7" w14:paraId="1935E7E8"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332686D" w14:textId="3375A7FB" w:rsidR="000A1933" w:rsidRPr="00A847B7" w:rsidRDefault="000A1933" w:rsidP="000A1933">
            <w:pPr>
              <w:spacing w:beforeAutospacing="1" w:after="100" w:afterAutospacing="1"/>
              <w:rPr>
                <w:rFonts w:cstheme="minorHAnsi"/>
              </w:rPr>
            </w:pPr>
            <w:r w:rsidRPr="00A847B7">
              <w:rPr>
                <w:rFonts w:cstheme="minorHAnsi"/>
              </w:rPr>
              <w:t>214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FDCF1E4" w14:textId="1F1FAC44" w:rsidR="000A1933" w:rsidRPr="00A847B7" w:rsidRDefault="000A1933" w:rsidP="000A1933">
            <w:pPr>
              <w:spacing w:beforeAutospacing="1" w:after="100" w:afterAutospacing="1"/>
              <w:rPr>
                <w:rFonts w:cstheme="minorHAnsi"/>
              </w:rPr>
            </w:pPr>
            <w:r w:rsidRPr="00A847B7">
              <w:rPr>
                <w:rFonts w:cstheme="minorHAnsi"/>
              </w:rPr>
              <w:t>4 216</w:t>
            </w:r>
          </w:p>
        </w:tc>
      </w:tr>
      <w:tr w:rsidR="000A1933" w:rsidRPr="00A847B7" w14:paraId="3AA2A6C1"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40E61C8" w14:textId="43BA12AA" w:rsidR="000A1933" w:rsidRPr="00A847B7" w:rsidRDefault="000A1933" w:rsidP="000A1933">
            <w:pPr>
              <w:spacing w:beforeAutospacing="1" w:after="100" w:afterAutospacing="1"/>
              <w:rPr>
                <w:rFonts w:cstheme="minorHAnsi"/>
              </w:rPr>
            </w:pPr>
            <w:r w:rsidRPr="00A847B7">
              <w:rPr>
                <w:rFonts w:cstheme="minorHAnsi"/>
              </w:rPr>
              <w:t>215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6CA1FD4" w14:textId="1D207323" w:rsidR="000A1933" w:rsidRPr="00A847B7" w:rsidRDefault="000A1933" w:rsidP="000A1933">
            <w:pPr>
              <w:spacing w:beforeAutospacing="1" w:after="100" w:afterAutospacing="1"/>
              <w:rPr>
                <w:rFonts w:cstheme="minorHAnsi"/>
              </w:rPr>
            </w:pPr>
            <w:r w:rsidRPr="00A847B7">
              <w:rPr>
                <w:rFonts w:cstheme="minorHAnsi"/>
              </w:rPr>
              <w:t>4 257</w:t>
            </w:r>
          </w:p>
        </w:tc>
      </w:tr>
      <w:tr w:rsidR="000A1933" w:rsidRPr="00A847B7" w14:paraId="02CC5D53"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CE40D4A" w14:textId="546ADAC0" w:rsidR="000A1933" w:rsidRPr="00A847B7" w:rsidRDefault="000A1933" w:rsidP="000A1933">
            <w:pPr>
              <w:spacing w:beforeAutospacing="1" w:after="100" w:afterAutospacing="1"/>
              <w:rPr>
                <w:rFonts w:cstheme="minorHAnsi"/>
              </w:rPr>
            </w:pPr>
            <w:r w:rsidRPr="00A847B7">
              <w:rPr>
                <w:rFonts w:cstheme="minorHAnsi"/>
              </w:rPr>
              <w:t>216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3DE74D3" w14:textId="00EDD5AB" w:rsidR="000A1933" w:rsidRPr="00A847B7" w:rsidRDefault="000A1933" w:rsidP="000A1933">
            <w:pPr>
              <w:spacing w:beforeAutospacing="1" w:after="100" w:afterAutospacing="1"/>
              <w:rPr>
                <w:rFonts w:cstheme="minorHAnsi"/>
              </w:rPr>
            </w:pPr>
            <w:r w:rsidRPr="00A847B7">
              <w:rPr>
                <w:rFonts w:cstheme="minorHAnsi"/>
              </w:rPr>
              <w:t>4 298</w:t>
            </w:r>
          </w:p>
        </w:tc>
      </w:tr>
      <w:tr w:rsidR="000A1933" w:rsidRPr="00A847B7" w14:paraId="43CD7690"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524E50F" w14:textId="2256CD2C" w:rsidR="000A1933" w:rsidRPr="00A847B7" w:rsidRDefault="000A1933" w:rsidP="000A1933">
            <w:pPr>
              <w:spacing w:beforeAutospacing="1" w:after="100" w:afterAutospacing="1"/>
              <w:rPr>
                <w:rFonts w:cstheme="minorHAnsi"/>
              </w:rPr>
            </w:pPr>
            <w:r w:rsidRPr="00A847B7">
              <w:rPr>
                <w:rFonts w:cstheme="minorHAnsi"/>
              </w:rPr>
              <w:t>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3745B3A" w14:textId="3F2AAD54" w:rsidR="000A1933" w:rsidRPr="00A847B7" w:rsidRDefault="000A1933" w:rsidP="000A1933">
            <w:pPr>
              <w:spacing w:beforeAutospacing="1" w:after="100" w:afterAutospacing="1"/>
              <w:rPr>
                <w:rFonts w:cstheme="minorHAnsi"/>
              </w:rPr>
            </w:pPr>
            <w:r w:rsidRPr="00A847B7">
              <w:rPr>
                <w:rFonts w:cstheme="minorHAnsi"/>
              </w:rPr>
              <w:t>4 340</w:t>
            </w:r>
          </w:p>
        </w:tc>
      </w:tr>
      <w:tr w:rsidR="000A1933" w:rsidRPr="00A847B7" w14:paraId="29F048A9"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C4A494E" w14:textId="7709C728" w:rsidR="000A1933" w:rsidRPr="00A847B7" w:rsidRDefault="000A1933" w:rsidP="000A1933">
            <w:pPr>
              <w:spacing w:beforeAutospacing="1" w:after="100" w:afterAutospacing="1"/>
              <w:rPr>
                <w:rFonts w:cstheme="minorHAnsi"/>
              </w:rPr>
            </w:pPr>
            <w:r w:rsidRPr="00A847B7">
              <w:rPr>
                <w:rFonts w:cstheme="minorHAnsi"/>
              </w:rPr>
              <w:t>218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8EB0AC2" w14:textId="63484FCC" w:rsidR="000A1933" w:rsidRPr="00A847B7" w:rsidRDefault="000A1933" w:rsidP="000A1933">
            <w:pPr>
              <w:spacing w:beforeAutospacing="1" w:after="100" w:afterAutospacing="1"/>
              <w:rPr>
                <w:rFonts w:cstheme="minorHAnsi"/>
              </w:rPr>
            </w:pPr>
            <w:r w:rsidRPr="00A847B7">
              <w:rPr>
                <w:rFonts w:cstheme="minorHAnsi"/>
              </w:rPr>
              <w:t>4 404</w:t>
            </w:r>
          </w:p>
        </w:tc>
      </w:tr>
      <w:tr w:rsidR="000A1933" w:rsidRPr="00A847B7" w14:paraId="67B4E187"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2203385" w14:textId="4D2A2FE2" w:rsidR="000A1933" w:rsidRPr="00A847B7" w:rsidRDefault="000A1933" w:rsidP="000A1933">
            <w:pPr>
              <w:spacing w:beforeAutospacing="1" w:after="100" w:afterAutospacing="1"/>
              <w:rPr>
                <w:rFonts w:cstheme="minorHAnsi"/>
              </w:rPr>
            </w:pPr>
            <w:r w:rsidRPr="00A847B7">
              <w:rPr>
                <w:rFonts w:cstheme="minorHAnsi"/>
              </w:rPr>
              <w:t>219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8652AAB" w14:textId="682A3A12" w:rsidR="000A1933" w:rsidRPr="00A847B7" w:rsidRDefault="000A1933" w:rsidP="000A1933">
            <w:pPr>
              <w:spacing w:beforeAutospacing="1" w:after="100" w:afterAutospacing="1"/>
              <w:rPr>
                <w:rFonts w:cstheme="minorHAnsi"/>
              </w:rPr>
            </w:pPr>
            <w:r w:rsidRPr="00A847B7">
              <w:rPr>
                <w:rFonts w:cstheme="minorHAnsi"/>
              </w:rPr>
              <w:t>4 446</w:t>
            </w:r>
          </w:p>
        </w:tc>
      </w:tr>
      <w:tr w:rsidR="000A1933" w:rsidRPr="00A847B7" w14:paraId="3C38FE37"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13CECEF" w14:textId="667BCFBC" w:rsidR="000A1933" w:rsidRPr="00A847B7" w:rsidRDefault="000A1933" w:rsidP="000A1933">
            <w:pPr>
              <w:spacing w:beforeAutospacing="1" w:after="100" w:afterAutospacing="1"/>
              <w:rPr>
                <w:rFonts w:cstheme="minorHAnsi"/>
              </w:rPr>
            </w:pPr>
            <w:r w:rsidRPr="00A847B7">
              <w:rPr>
                <w:rFonts w:cstheme="minorHAnsi"/>
              </w:rPr>
              <w:t>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95A4E16" w14:textId="3702B322" w:rsidR="000A1933" w:rsidRPr="00A847B7" w:rsidRDefault="000A1933" w:rsidP="000A1933">
            <w:pPr>
              <w:spacing w:beforeAutospacing="1" w:after="100" w:afterAutospacing="1"/>
              <w:rPr>
                <w:rFonts w:cstheme="minorHAnsi"/>
              </w:rPr>
            </w:pPr>
            <w:r w:rsidRPr="00A847B7">
              <w:rPr>
                <w:rFonts w:cstheme="minorHAnsi"/>
              </w:rPr>
              <w:t>4 488</w:t>
            </w:r>
          </w:p>
        </w:tc>
      </w:tr>
      <w:tr w:rsidR="000A1933" w:rsidRPr="00A847B7" w14:paraId="54CFDC21"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17D4A69" w14:textId="36DD48F2" w:rsidR="000A1933" w:rsidRPr="00A847B7" w:rsidRDefault="000A1933" w:rsidP="000A1933">
            <w:pPr>
              <w:spacing w:beforeAutospacing="1" w:after="100" w:afterAutospacing="1"/>
              <w:rPr>
                <w:rFonts w:cstheme="minorHAnsi"/>
              </w:rPr>
            </w:pPr>
            <w:r w:rsidRPr="00A847B7">
              <w:rPr>
                <w:rFonts w:cstheme="minorHAnsi"/>
              </w:rPr>
              <w:t>221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E9C9474" w14:textId="7D9EFD15" w:rsidR="000A1933" w:rsidRPr="00A847B7" w:rsidRDefault="000A1933" w:rsidP="000A1933">
            <w:pPr>
              <w:spacing w:beforeAutospacing="1" w:after="100" w:afterAutospacing="1"/>
              <w:rPr>
                <w:rFonts w:cstheme="minorHAnsi"/>
              </w:rPr>
            </w:pPr>
            <w:r w:rsidRPr="00A847B7">
              <w:rPr>
                <w:rFonts w:cstheme="minorHAnsi"/>
              </w:rPr>
              <w:t>4 531</w:t>
            </w:r>
          </w:p>
        </w:tc>
      </w:tr>
      <w:tr w:rsidR="000A1933" w:rsidRPr="00A847B7" w14:paraId="4257D4D3"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53CCA56" w14:textId="62444A19" w:rsidR="000A1933" w:rsidRPr="00A847B7" w:rsidRDefault="000A1933" w:rsidP="000A1933">
            <w:pPr>
              <w:spacing w:beforeAutospacing="1" w:after="100" w:afterAutospacing="1"/>
              <w:rPr>
                <w:rFonts w:cstheme="minorHAnsi"/>
              </w:rPr>
            </w:pPr>
            <w:r w:rsidRPr="00A847B7">
              <w:rPr>
                <w:rFonts w:cstheme="minorHAnsi"/>
              </w:rPr>
              <w:t>222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82B11BE" w14:textId="576017BF" w:rsidR="000A1933" w:rsidRPr="00A847B7" w:rsidRDefault="000A1933" w:rsidP="000A1933">
            <w:pPr>
              <w:spacing w:beforeAutospacing="1" w:after="100" w:afterAutospacing="1"/>
              <w:rPr>
                <w:rFonts w:cstheme="minorHAnsi"/>
              </w:rPr>
            </w:pPr>
            <w:r w:rsidRPr="00A847B7">
              <w:rPr>
                <w:rFonts w:cstheme="minorHAnsi"/>
              </w:rPr>
              <w:t>4 573</w:t>
            </w:r>
          </w:p>
        </w:tc>
      </w:tr>
      <w:tr w:rsidR="000A1933" w:rsidRPr="00A847B7" w14:paraId="0EC585CE"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E8C7AEB" w14:textId="70DB8748" w:rsidR="000A1933" w:rsidRPr="00A847B7" w:rsidRDefault="000A1933" w:rsidP="000A1933">
            <w:pPr>
              <w:spacing w:beforeAutospacing="1" w:after="100" w:afterAutospacing="1"/>
              <w:rPr>
                <w:rFonts w:cstheme="minorHAnsi"/>
              </w:rPr>
            </w:pPr>
            <w:r w:rsidRPr="00A847B7">
              <w:rPr>
                <w:rFonts w:cstheme="minorHAnsi"/>
              </w:rPr>
              <w:t>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E54622A" w14:textId="1C7BE3D0" w:rsidR="000A1933" w:rsidRPr="00A847B7" w:rsidRDefault="000A1933" w:rsidP="000A1933">
            <w:pPr>
              <w:spacing w:beforeAutospacing="1" w:after="100" w:afterAutospacing="1"/>
              <w:rPr>
                <w:rFonts w:cstheme="minorHAnsi"/>
              </w:rPr>
            </w:pPr>
            <w:r w:rsidRPr="00A847B7">
              <w:rPr>
                <w:rFonts w:cstheme="minorHAnsi"/>
              </w:rPr>
              <w:t>4 638</w:t>
            </w:r>
          </w:p>
        </w:tc>
      </w:tr>
      <w:tr w:rsidR="000A1933" w:rsidRPr="00A847B7" w14:paraId="1DE46690"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AAAF8E4" w14:textId="30E1CC12" w:rsidR="000A1933" w:rsidRPr="00A847B7" w:rsidRDefault="000A1933" w:rsidP="000A1933">
            <w:pPr>
              <w:spacing w:beforeAutospacing="1" w:after="100" w:afterAutospacing="1"/>
              <w:rPr>
                <w:rFonts w:cstheme="minorHAnsi"/>
              </w:rPr>
            </w:pPr>
            <w:r w:rsidRPr="00A847B7">
              <w:rPr>
                <w:rFonts w:cstheme="minorHAnsi"/>
              </w:rPr>
              <w:t>224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C1B207E" w14:textId="57DF6BD7" w:rsidR="000A1933" w:rsidRPr="00A847B7" w:rsidRDefault="000A1933" w:rsidP="000A1933">
            <w:pPr>
              <w:spacing w:beforeAutospacing="1" w:after="100" w:afterAutospacing="1"/>
              <w:rPr>
                <w:rFonts w:cstheme="minorHAnsi"/>
              </w:rPr>
            </w:pPr>
            <w:r w:rsidRPr="00A847B7">
              <w:rPr>
                <w:rFonts w:cstheme="minorHAnsi"/>
              </w:rPr>
              <w:t>4 682</w:t>
            </w:r>
          </w:p>
        </w:tc>
      </w:tr>
      <w:tr w:rsidR="000A1933" w:rsidRPr="00A847B7" w14:paraId="1FBD0CD3"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E3F5D48" w14:textId="615E8C34" w:rsidR="000A1933" w:rsidRPr="00A847B7" w:rsidRDefault="000A1933" w:rsidP="000A1933">
            <w:pPr>
              <w:spacing w:beforeAutospacing="1" w:after="100" w:afterAutospacing="1"/>
              <w:rPr>
                <w:rFonts w:cstheme="minorHAnsi"/>
              </w:rPr>
            </w:pPr>
            <w:r w:rsidRPr="00A847B7">
              <w:rPr>
                <w:rFonts w:cstheme="minorHAnsi"/>
              </w:rPr>
              <w:t>225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FEA6B1F" w14:textId="313909AC" w:rsidR="000A1933" w:rsidRPr="00A847B7" w:rsidRDefault="000A1933" w:rsidP="000A1933">
            <w:pPr>
              <w:spacing w:beforeAutospacing="1" w:after="100" w:afterAutospacing="1"/>
              <w:rPr>
                <w:rFonts w:cstheme="minorHAnsi"/>
              </w:rPr>
            </w:pPr>
            <w:r w:rsidRPr="00A847B7">
              <w:rPr>
                <w:rFonts w:cstheme="minorHAnsi"/>
              </w:rPr>
              <w:t>4 725</w:t>
            </w:r>
          </w:p>
        </w:tc>
      </w:tr>
      <w:tr w:rsidR="000A1933" w:rsidRPr="00A847B7" w14:paraId="31BB194A"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2A1BF83" w14:textId="0335938A" w:rsidR="000A1933" w:rsidRPr="00A847B7" w:rsidRDefault="000A1933" w:rsidP="000A1933">
            <w:pPr>
              <w:spacing w:beforeAutospacing="1" w:after="100" w:afterAutospacing="1"/>
              <w:rPr>
                <w:rFonts w:cstheme="minorHAnsi"/>
              </w:rPr>
            </w:pPr>
            <w:r w:rsidRPr="00A847B7">
              <w:rPr>
                <w:rFonts w:cstheme="minorHAnsi"/>
              </w:rPr>
              <w:t>226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23CDBA9" w14:textId="7434DAE8" w:rsidR="000A1933" w:rsidRPr="00A847B7" w:rsidRDefault="000A1933" w:rsidP="000A1933">
            <w:pPr>
              <w:spacing w:beforeAutospacing="1" w:after="100" w:afterAutospacing="1"/>
              <w:rPr>
                <w:rFonts w:cstheme="minorHAnsi"/>
              </w:rPr>
            </w:pPr>
            <w:r w:rsidRPr="00A847B7">
              <w:rPr>
                <w:rFonts w:cstheme="minorHAnsi"/>
              </w:rPr>
              <w:t>4 769</w:t>
            </w:r>
          </w:p>
        </w:tc>
      </w:tr>
      <w:tr w:rsidR="000A1933" w:rsidRPr="00A847B7" w14:paraId="3D7A9977"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1C60352" w14:textId="3969D725" w:rsidR="000A1933" w:rsidRPr="00A847B7" w:rsidRDefault="000A1933" w:rsidP="000A1933">
            <w:pPr>
              <w:spacing w:beforeAutospacing="1" w:after="100" w:afterAutospacing="1"/>
              <w:rPr>
                <w:rFonts w:cstheme="minorHAnsi"/>
              </w:rPr>
            </w:pPr>
            <w:r w:rsidRPr="00A847B7">
              <w:rPr>
                <w:rFonts w:cstheme="minorHAnsi"/>
              </w:rPr>
              <w:t>227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47A6004" w14:textId="2ABEE4CD" w:rsidR="000A1933" w:rsidRPr="00A847B7" w:rsidRDefault="000A1933" w:rsidP="000A1933">
            <w:pPr>
              <w:spacing w:beforeAutospacing="1" w:after="100" w:afterAutospacing="1"/>
              <w:rPr>
                <w:rFonts w:cstheme="minorHAnsi"/>
              </w:rPr>
            </w:pPr>
            <w:r w:rsidRPr="00A847B7">
              <w:rPr>
                <w:rFonts w:cstheme="minorHAnsi"/>
              </w:rPr>
              <w:t>4 812</w:t>
            </w:r>
          </w:p>
        </w:tc>
      </w:tr>
      <w:tr w:rsidR="000A1933" w:rsidRPr="00A847B7" w14:paraId="7DE24555"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35E51DC" w14:textId="2C6F8142" w:rsidR="000A1933" w:rsidRPr="00A847B7" w:rsidRDefault="000A1933" w:rsidP="000A1933">
            <w:pPr>
              <w:spacing w:beforeAutospacing="1" w:after="100" w:afterAutospacing="1"/>
              <w:rPr>
                <w:rFonts w:cstheme="minorHAnsi"/>
              </w:rPr>
            </w:pPr>
            <w:r w:rsidRPr="00A847B7">
              <w:rPr>
                <w:rFonts w:cstheme="minorHAnsi"/>
              </w:rPr>
              <w:t>228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4772069" w14:textId="785C6350" w:rsidR="000A1933" w:rsidRPr="00A847B7" w:rsidRDefault="000A1933" w:rsidP="000A1933">
            <w:pPr>
              <w:spacing w:beforeAutospacing="1" w:after="100" w:afterAutospacing="1"/>
              <w:rPr>
                <w:rFonts w:cstheme="minorHAnsi"/>
              </w:rPr>
            </w:pPr>
            <w:r w:rsidRPr="00A847B7">
              <w:rPr>
                <w:rFonts w:cstheme="minorHAnsi"/>
              </w:rPr>
              <w:t>4 880</w:t>
            </w:r>
          </w:p>
        </w:tc>
      </w:tr>
      <w:tr w:rsidR="000A1933" w:rsidRPr="00A847B7" w14:paraId="3C9551F9"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C8ACB28" w14:textId="4CBE9126" w:rsidR="000A1933" w:rsidRPr="00A847B7" w:rsidRDefault="000A1933" w:rsidP="000A1933">
            <w:pPr>
              <w:spacing w:beforeAutospacing="1" w:after="100" w:afterAutospacing="1"/>
              <w:rPr>
                <w:rFonts w:cstheme="minorHAnsi"/>
              </w:rPr>
            </w:pPr>
            <w:r w:rsidRPr="00A847B7">
              <w:rPr>
                <w:rFonts w:cstheme="minorHAnsi"/>
              </w:rPr>
              <w:t>229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3A0B259" w14:textId="0B5AE1E9" w:rsidR="000A1933" w:rsidRPr="00A847B7" w:rsidRDefault="000A1933" w:rsidP="000A1933">
            <w:pPr>
              <w:spacing w:beforeAutospacing="1" w:after="100" w:afterAutospacing="1"/>
              <w:rPr>
                <w:rFonts w:cstheme="minorHAnsi"/>
              </w:rPr>
            </w:pPr>
            <w:r w:rsidRPr="00A847B7">
              <w:rPr>
                <w:rFonts w:cstheme="minorHAnsi"/>
              </w:rPr>
              <w:t>4 924</w:t>
            </w:r>
          </w:p>
        </w:tc>
      </w:tr>
      <w:tr w:rsidR="000A1933" w:rsidRPr="00A847B7" w14:paraId="576E7B08"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7769B58" w14:textId="45D34648" w:rsidR="000A1933" w:rsidRPr="00A847B7" w:rsidRDefault="000A1933" w:rsidP="000A1933">
            <w:pPr>
              <w:spacing w:beforeAutospacing="1" w:after="100" w:afterAutospacing="1"/>
              <w:rPr>
                <w:rFonts w:cstheme="minorHAnsi"/>
              </w:rPr>
            </w:pPr>
            <w:r w:rsidRPr="00A847B7">
              <w:rPr>
                <w:rFonts w:cstheme="minorHAnsi"/>
              </w:rPr>
              <w:t>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C32494D" w14:textId="38996636" w:rsidR="000A1933" w:rsidRPr="00A847B7" w:rsidRDefault="000A1933" w:rsidP="000A1933">
            <w:pPr>
              <w:spacing w:beforeAutospacing="1" w:after="100" w:afterAutospacing="1"/>
              <w:rPr>
                <w:rFonts w:cstheme="minorHAnsi"/>
              </w:rPr>
            </w:pPr>
            <w:r w:rsidRPr="00A847B7">
              <w:rPr>
                <w:rFonts w:cstheme="minorHAnsi"/>
              </w:rPr>
              <w:t>4 968</w:t>
            </w:r>
          </w:p>
        </w:tc>
      </w:tr>
      <w:tr w:rsidR="000A1933" w:rsidRPr="00A847B7" w14:paraId="76A9847C"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472D5AC" w14:textId="553C0C13" w:rsidR="000A1933" w:rsidRPr="00A847B7" w:rsidRDefault="000A1933" w:rsidP="000A1933">
            <w:pPr>
              <w:spacing w:beforeAutospacing="1" w:after="100" w:afterAutospacing="1"/>
              <w:rPr>
                <w:rFonts w:cstheme="minorHAnsi"/>
              </w:rPr>
            </w:pPr>
            <w:r w:rsidRPr="00A847B7">
              <w:rPr>
                <w:rFonts w:cstheme="minorHAnsi"/>
              </w:rPr>
              <w:t>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47BF351" w14:textId="6FF2F2CA" w:rsidR="000A1933" w:rsidRPr="00A847B7" w:rsidRDefault="000A1933" w:rsidP="000A1933">
            <w:pPr>
              <w:spacing w:beforeAutospacing="1" w:after="100" w:afterAutospacing="1"/>
              <w:rPr>
                <w:rFonts w:cstheme="minorHAnsi"/>
              </w:rPr>
            </w:pPr>
            <w:r w:rsidRPr="00A847B7">
              <w:rPr>
                <w:rFonts w:cstheme="minorHAnsi"/>
              </w:rPr>
              <w:t>5 036</w:t>
            </w:r>
          </w:p>
        </w:tc>
      </w:tr>
      <w:tr w:rsidR="000A1933" w:rsidRPr="00A847B7" w14:paraId="373FA65C"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04C844D" w14:textId="7BA81F86" w:rsidR="000A1933" w:rsidRPr="00A847B7" w:rsidRDefault="000A1933" w:rsidP="000A1933">
            <w:pPr>
              <w:spacing w:beforeAutospacing="1" w:after="100" w:afterAutospacing="1"/>
              <w:rPr>
                <w:rFonts w:cstheme="minorHAnsi"/>
              </w:rPr>
            </w:pPr>
            <w:r w:rsidRPr="00A847B7">
              <w:rPr>
                <w:rFonts w:cstheme="minorHAnsi"/>
              </w:rPr>
              <w:t>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27C7688" w14:textId="56593308" w:rsidR="000A1933" w:rsidRPr="00A847B7" w:rsidRDefault="000A1933" w:rsidP="000A1933">
            <w:pPr>
              <w:spacing w:beforeAutospacing="1" w:after="100" w:afterAutospacing="1"/>
              <w:rPr>
                <w:rFonts w:cstheme="minorHAnsi"/>
              </w:rPr>
            </w:pPr>
            <w:r w:rsidRPr="00A847B7">
              <w:rPr>
                <w:rFonts w:cstheme="minorHAnsi"/>
              </w:rPr>
              <w:t>5 081</w:t>
            </w:r>
          </w:p>
        </w:tc>
      </w:tr>
      <w:tr w:rsidR="000A1933" w:rsidRPr="00A847B7" w14:paraId="5F9C5AE2"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FDDE5CD" w14:textId="7BCE43B9" w:rsidR="000A1933" w:rsidRPr="00A847B7" w:rsidRDefault="000A1933" w:rsidP="000A1933">
            <w:pPr>
              <w:spacing w:beforeAutospacing="1" w:after="100" w:afterAutospacing="1"/>
              <w:rPr>
                <w:rFonts w:cstheme="minorHAnsi"/>
              </w:rPr>
            </w:pPr>
            <w:r w:rsidRPr="00A847B7">
              <w:rPr>
                <w:rFonts w:cstheme="minorHAnsi"/>
              </w:rPr>
              <w:t>233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EC59CCD" w14:textId="3707994A" w:rsidR="000A1933" w:rsidRPr="00A847B7" w:rsidRDefault="000A1933" w:rsidP="000A1933">
            <w:pPr>
              <w:spacing w:beforeAutospacing="1" w:after="100" w:afterAutospacing="1"/>
              <w:rPr>
                <w:rFonts w:cstheme="minorHAnsi"/>
              </w:rPr>
            </w:pPr>
            <w:r w:rsidRPr="00A847B7">
              <w:rPr>
                <w:rFonts w:cstheme="minorHAnsi"/>
              </w:rPr>
              <w:t>5 150</w:t>
            </w:r>
          </w:p>
        </w:tc>
      </w:tr>
      <w:tr w:rsidR="000A1933" w:rsidRPr="00A847B7" w14:paraId="74BA4BAA"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C5783F2" w14:textId="33090DB7" w:rsidR="000A1933" w:rsidRPr="00A847B7" w:rsidRDefault="000A1933" w:rsidP="000A1933">
            <w:pPr>
              <w:spacing w:beforeAutospacing="1" w:after="100" w:afterAutospacing="1"/>
              <w:rPr>
                <w:rFonts w:cstheme="minorHAnsi"/>
              </w:rPr>
            </w:pPr>
            <w:r w:rsidRPr="00A847B7">
              <w:rPr>
                <w:rFonts w:cstheme="minorHAnsi"/>
              </w:rPr>
              <w:t>234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46D8759" w14:textId="39908E7D" w:rsidR="000A1933" w:rsidRPr="00A847B7" w:rsidRDefault="000A1933" w:rsidP="000A1933">
            <w:pPr>
              <w:spacing w:beforeAutospacing="1" w:after="100" w:afterAutospacing="1"/>
              <w:rPr>
                <w:rFonts w:cstheme="minorHAnsi"/>
              </w:rPr>
            </w:pPr>
            <w:r w:rsidRPr="00A847B7">
              <w:rPr>
                <w:rFonts w:cstheme="minorHAnsi"/>
              </w:rPr>
              <w:t>5 218</w:t>
            </w:r>
          </w:p>
        </w:tc>
      </w:tr>
      <w:tr w:rsidR="000A1933" w:rsidRPr="00A847B7" w14:paraId="03197547"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9F5B07F" w14:textId="7D5FE28B" w:rsidR="000A1933" w:rsidRPr="00A847B7" w:rsidRDefault="000A1933" w:rsidP="000A1933">
            <w:pPr>
              <w:spacing w:beforeAutospacing="1" w:after="100" w:afterAutospacing="1"/>
              <w:rPr>
                <w:rFonts w:cstheme="minorHAnsi"/>
              </w:rPr>
            </w:pPr>
            <w:r w:rsidRPr="00A847B7">
              <w:rPr>
                <w:rFonts w:cstheme="minorHAnsi"/>
              </w:rPr>
              <w:t>235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180B5CD" w14:textId="79B72CBF" w:rsidR="000A1933" w:rsidRPr="00A847B7" w:rsidRDefault="000A1933" w:rsidP="000A1933">
            <w:pPr>
              <w:spacing w:beforeAutospacing="1" w:after="100" w:afterAutospacing="1"/>
              <w:rPr>
                <w:rFonts w:cstheme="minorHAnsi"/>
              </w:rPr>
            </w:pPr>
            <w:r w:rsidRPr="00A847B7">
              <w:rPr>
                <w:rFonts w:cstheme="minorHAnsi"/>
              </w:rPr>
              <w:t>5 288</w:t>
            </w:r>
          </w:p>
        </w:tc>
      </w:tr>
      <w:tr w:rsidR="000A1933" w:rsidRPr="00A847B7" w14:paraId="57DCB9F3"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2B4D93F" w14:textId="6282F01F" w:rsidR="000A1933" w:rsidRPr="00A847B7" w:rsidRDefault="000A1933" w:rsidP="000A1933">
            <w:pPr>
              <w:spacing w:beforeAutospacing="1" w:after="100" w:afterAutospacing="1"/>
              <w:rPr>
                <w:rFonts w:cstheme="minorHAnsi"/>
              </w:rPr>
            </w:pPr>
            <w:r w:rsidRPr="00A847B7">
              <w:rPr>
                <w:rFonts w:cstheme="minorHAnsi"/>
              </w:rPr>
              <w:t>236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EFEFF0F" w14:textId="033C8557" w:rsidR="000A1933" w:rsidRPr="00A847B7" w:rsidRDefault="000A1933" w:rsidP="000A1933">
            <w:pPr>
              <w:spacing w:beforeAutospacing="1" w:after="100" w:afterAutospacing="1"/>
              <w:rPr>
                <w:rFonts w:cstheme="minorHAnsi"/>
              </w:rPr>
            </w:pPr>
            <w:r w:rsidRPr="00A847B7">
              <w:rPr>
                <w:rFonts w:cstheme="minorHAnsi"/>
              </w:rPr>
              <w:t>5 334</w:t>
            </w:r>
          </w:p>
        </w:tc>
      </w:tr>
      <w:tr w:rsidR="000A1933" w:rsidRPr="00A847B7" w14:paraId="544D8526"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9D67D89" w14:textId="5442B864" w:rsidR="000A1933" w:rsidRPr="00A847B7" w:rsidRDefault="000A1933" w:rsidP="000A1933">
            <w:pPr>
              <w:spacing w:beforeAutospacing="1" w:after="100" w:afterAutospacing="1"/>
              <w:rPr>
                <w:rFonts w:cstheme="minorHAnsi"/>
              </w:rPr>
            </w:pPr>
            <w:r w:rsidRPr="00A847B7">
              <w:rPr>
                <w:rFonts w:cstheme="minorHAnsi"/>
              </w:rPr>
              <w:t>237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49ADDF1" w14:textId="43D40816" w:rsidR="000A1933" w:rsidRPr="00A847B7" w:rsidRDefault="000A1933" w:rsidP="000A1933">
            <w:pPr>
              <w:spacing w:beforeAutospacing="1" w:after="100" w:afterAutospacing="1"/>
              <w:rPr>
                <w:rFonts w:cstheme="minorHAnsi"/>
              </w:rPr>
            </w:pPr>
            <w:r w:rsidRPr="00A847B7">
              <w:rPr>
                <w:rFonts w:cstheme="minorHAnsi"/>
              </w:rPr>
              <w:t>5 404</w:t>
            </w:r>
          </w:p>
        </w:tc>
      </w:tr>
      <w:tr w:rsidR="000A1933" w:rsidRPr="00A847B7" w14:paraId="41853955"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CF9E4F6" w14:textId="1EA8BA15" w:rsidR="000A1933" w:rsidRPr="00A847B7" w:rsidRDefault="000A1933" w:rsidP="000A1933">
            <w:pPr>
              <w:spacing w:beforeAutospacing="1" w:after="100" w:afterAutospacing="1"/>
              <w:rPr>
                <w:rFonts w:cstheme="minorHAnsi"/>
              </w:rPr>
            </w:pPr>
            <w:r w:rsidRPr="00A847B7">
              <w:rPr>
                <w:rFonts w:cstheme="minorHAnsi"/>
              </w:rPr>
              <w:t>238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9D18942" w14:textId="384717A6" w:rsidR="000A1933" w:rsidRPr="00A847B7" w:rsidRDefault="000A1933" w:rsidP="000A1933">
            <w:pPr>
              <w:spacing w:beforeAutospacing="1" w:after="100" w:afterAutospacing="1"/>
              <w:rPr>
                <w:rFonts w:cstheme="minorHAnsi"/>
              </w:rPr>
            </w:pPr>
            <w:r w:rsidRPr="00A847B7">
              <w:rPr>
                <w:rFonts w:cstheme="minorHAnsi"/>
              </w:rPr>
              <w:t>5 474</w:t>
            </w:r>
          </w:p>
        </w:tc>
      </w:tr>
      <w:tr w:rsidR="000A1933" w:rsidRPr="00A847B7" w14:paraId="40D22C68"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EF5365D" w14:textId="49F784BB" w:rsidR="000A1933" w:rsidRPr="00A847B7" w:rsidRDefault="000A1933" w:rsidP="000A1933">
            <w:pPr>
              <w:spacing w:beforeAutospacing="1" w:after="100" w:afterAutospacing="1"/>
              <w:rPr>
                <w:rFonts w:cstheme="minorHAnsi"/>
              </w:rPr>
            </w:pPr>
            <w:r w:rsidRPr="00A847B7">
              <w:rPr>
                <w:rFonts w:cstheme="minorHAnsi"/>
              </w:rPr>
              <w:t>239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0336860" w14:textId="1A631C1D" w:rsidR="000A1933" w:rsidRPr="00A847B7" w:rsidRDefault="000A1933" w:rsidP="000A1933">
            <w:pPr>
              <w:spacing w:beforeAutospacing="1" w:after="100" w:afterAutospacing="1"/>
              <w:rPr>
                <w:rFonts w:cstheme="minorHAnsi"/>
              </w:rPr>
            </w:pPr>
            <w:r w:rsidRPr="00A847B7">
              <w:rPr>
                <w:rFonts w:cstheme="minorHAnsi"/>
              </w:rPr>
              <w:t>5 521</w:t>
            </w:r>
          </w:p>
        </w:tc>
      </w:tr>
      <w:tr w:rsidR="000A1933" w:rsidRPr="00A847B7" w14:paraId="29F9A86B"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9FE63C0" w14:textId="37ABD040" w:rsidR="000A1933" w:rsidRPr="00A847B7" w:rsidRDefault="000A1933" w:rsidP="000A1933">
            <w:pPr>
              <w:spacing w:beforeAutospacing="1" w:after="100" w:afterAutospacing="1"/>
              <w:rPr>
                <w:rFonts w:cstheme="minorHAnsi"/>
              </w:rPr>
            </w:pPr>
            <w:r w:rsidRPr="00A847B7">
              <w:rPr>
                <w:rFonts w:cstheme="minorHAnsi"/>
              </w:rPr>
              <w:t>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F45B204" w14:textId="673A5215" w:rsidR="000A1933" w:rsidRPr="00A847B7" w:rsidRDefault="000A1933" w:rsidP="000A1933">
            <w:pPr>
              <w:spacing w:beforeAutospacing="1" w:after="100" w:afterAutospacing="1"/>
              <w:rPr>
                <w:rFonts w:cstheme="minorHAnsi"/>
              </w:rPr>
            </w:pPr>
            <w:r w:rsidRPr="00A847B7">
              <w:rPr>
                <w:rFonts w:cstheme="minorHAnsi"/>
              </w:rPr>
              <w:t>5 592</w:t>
            </w:r>
          </w:p>
        </w:tc>
      </w:tr>
      <w:tr w:rsidR="000A1933" w:rsidRPr="00A847B7" w14:paraId="3F6375BA"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9BECED6" w14:textId="55610AAE" w:rsidR="000A1933" w:rsidRPr="00A847B7" w:rsidRDefault="000A1933" w:rsidP="000A1933">
            <w:pPr>
              <w:spacing w:beforeAutospacing="1" w:after="100" w:afterAutospacing="1"/>
              <w:rPr>
                <w:rFonts w:cstheme="minorHAnsi"/>
              </w:rPr>
            </w:pPr>
            <w:r w:rsidRPr="00A847B7">
              <w:rPr>
                <w:rFonts w:cstheme="minorHAnsi"/>
              </w:rPr>
              <w:t>241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811C9E6" w14:textId="436BEFC2" w:rsidR="000A1933" w:rsidRPr="00A847B7" w:rsidRDefault="000A1933" w:rsidP="000A1933">
            <w:pPr>
              <w:spacing w:beforeAutospacing="1" w:after="100" w:afterAutospacing="1"/>
              <w:rPr>
                <w:rFonts w:cstheme="minorHAnsi"/>
              </w:rPr>
            </w:pPr>
            <w:r w:rsidRPr="00A847B7">
              <w:rPr>
                <w:rFonts w:cstheme="minorHAnsi"/>
              </w:rPr>
              <w:t>5 664</w:t>
            </w:r>
          </w:p>
        </w:tc>
      </w:tr>
      <w:tr w:rsidR="000A1933" w:rsidRPr="00A847B7" w14:paraId="5F4050F1"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5A83204" w14:textId="06E3907A" w:rsidR="000A1933" w:rsidRPr="00A847B7" w:rsidRDefault="000A1933" w:rsidP="000A1933">
            <w:pPr>
              <w:spacing w:beforeAutospacing="1" w:after="100" w:afterAutospacing="1"/>
              <w:rPr>
                <w:rFonts w:cstheme="minorHAnsi"/>
              </w:rPr>
            </w:pPr>
            <w:r w:rsidRPr="00A847B7">
              <w:rPr>
                <w:rFonts w:cstheme="minorHAnsi"/>
              </w:rPr>
              <w:t>242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093AE4E" w14:textId="1ED9B02F" w:rsidR="000A1933" w:rsidRPr="00A847B7" w:rsidRDefault="000A1933" w:rsidP="000A1933">
            <w:pPr>
              <w:spacing w:beforeAutospacing="1" w:after="100" w:afterAutospacing="1"/>
              <w:rPr>
                <w:rFonts w:cstheme="minorHAnsi"/>
              </w:rPr>
            </w:pPr>
            <w:r w:rsidRPr="00A847B7">
              <w:rPr>
                <w:rFonts w:cstheme="minorHAnsi"/>
              </w:rPr>
              <w:t>5 735</w:t>
            </w:r>
          </w:p>
        </w:tc>
      </w:tr>
      <w:tr w:rsidR="000A1933" w:rsidRPr="00A847B7" w14:paraId="4203A6A8"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16E0F8F" w14:textId="632A54EF" w:rsidR="000A1933" w:rsidRPr="00A847B7" w:rsidRDefault="000A1933" w:rsidP="000A1933">
            <w:pPr>
              <w:spacing w:beforeAutospacing="1" w:after="100" w:afterAutospacing="1"/>
              <w:rPr>
                <w:rFonts w:cstheme="minorHAnsi"/>
              </w:rPr>
            </w:pPr>
            <w:r w:rsidRPr="00A847B7">
              <w:rPr>
                <w:rFonts w:cstheme="minorHAnsi"/>
              </w:rPr>
              <w:t>243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657AAE8" w14:textId="2048B239" w:rsidR="000A1933" w:rsidRPr="00A847B7" w:rsidRDefault="000A1933" w:rsidP="000A1933">
            <w:pPr>
              <w:spacing w:beforeAutospacing="1" w:after="100" w:afterAutospacing="1"/>
              <w:rPr>
                <w:rFonts w:cstheme="minorHAnsi"/>
              </w:rPr>
            </w:pPr>
            <w:r w:rsidRPr="00A847B7">
              <w:rPr>
                <w:rFonts w:cstheme="minorHAnsi"/>
              </w:rPr>
              <w:t>5 783</w:t>
            </w:r>
          </w:p>
        </w:tc>
      </w:tr>
      <w:tr w:rsidR="000A1933" w:rsidRPr="00A847B7" w14:paraId="57EB4560"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11D4690" w14:textId="6A095300" w:rsidR="000A1933" w:rsidRPr="00A847B7" w:rsidRDefault="000A1933" w:rsidP="000A1933">
            <w:pPr>
              <w:spacing w:beforeAutospacing="1" w:after="100" w:afterAutospacing="1"/>
              <w:rPr>
                <w:rFonts w:cstheme="minorHAnsi"/>
              </w:rPr>
            </w:pPr>
            <w:r w:rsidRPr="00A847B7">
              <w:rPr>
                <w:rFonts w:cstheme="minorHAnsi"/>
              </w:rPr>
              <w:t>244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B28B962" w14:textId="1FEA028F" w:rsidR="000A1933" w:rsidRPr="00A847B7" w:rsidRDefault="000A1933" w:rsidP="000A1933">
            <w:pPr>
              <w:spacing w:beforeAutospacing="1" w:after="100" w:afterAutospacing="1"/>
              <w:rPr>
                <w:rFonts w:cstheme="minorHAnsi"/>
              </w:rPr>
            </w:pPr>
            <w:r w:rsidRPr="00A847B7">
              <w:rPr>
                <w:rFonts w:cstheme="minorHAnsi"/>
              </w:rPr>
              <w:t>5 856</w:t>
            </w:r>
          </w:p>
        </w:tc>
      </w:tr>
      <w:tr w:rsidR="000A1933" w:rsidRPr="00A847B7" w14:paraId="519B7EFE"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7D16204" w14:textId="02C222B6" w:rsidR="000A1933" w:rsidRPr="00A847B7" w:rsidRDefault="000A1933" w:rsidP="000A1933">
            <w:pPr>
              <w:spacing w:beforeAutospacing="1" w:after="100" w:afterAutospacing="1"/>
              <w:rPr>
                <w:rFonts w:cstheme="minorHAnsi"/>
              </w:rPr>
            </w:pPr>
            <w:r w:rsidRPr="00A847B7">
              <w:rPr>
                <w:rFonts w:cstheme="minorHAnsi"/>
              </w:rPr>
              <w:t>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6AA341B" w14:textId="6F70F739" w:rsidR="000A1933" w:rsidRPr="00A847B7" w:rsidRDefault="000A1933" w:rsidP="000A1933">
            <w:pPr>
              <w:spacing w:beforeAutospacing="1" w:after="100" w:afterAutospacing="1"/>
              <w:rPr>
                <w:rFonts w:cstheme="minorHAnsi"/>
              </w:rPr>
            </w:pPr>
            <w:r w:rsidRPr="00A847B7">
              <w:rPr>
                <w:rFonts w:cstheme="minorHAnsi"/>
              </w:rPr>
              <w:t>5 929</w:t>
            </w:r>
          </w:p>
        </w:tc>
      </w:tr>
      <w:tr w:rsidR="000A1933" w:rsidRPr="00A847B7" w14:paraId="2D955790"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563C8FD" w14:textId="6CBA4F52" w:rsidR="000A1933" w:rsidRPr="00A847B7" w:rsidRDefault="000A1933" w:rsidP="000A1933">
            <w:pPr>
              <w:spacing w:beforeAutospacing="1" w:after="100" w:afterAutospacing="1"/>
              <w:rPr>
                <w:rFonts w:cstheme="minorHAnsi"/>
              </w:rPr>
            </w:pPr>
            <w:r w:rsidRPr="00A847B7">
              <w:rPr>
                <w:rFonts w:cstheme="minorHAnsi"/>
              </w:rPr>
              <w:t>246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0226F45" w14:textId="5BC9264A" w:rsidR="000A1933" w:rsidRPr="00A847B7" w:rsidRDefault="000A1933" w:rsidP="000A1933">
            <w:pPr>
              <w:spacing w:beforeAutospacing="1" w:after="100" w:afterAutospacing="1"/>
              <w:rPr>
                <w:rFonts w:cstheme="minorHAnsi"/>
              </w:rPr>
            </w:pPr>
            <w:r w:rsidRPr="00A847B7">
              <w:rPr>
                <w:rFonts w:cstheme="minorHAnsi"/>
              </w:rPr>
              <w:t>6 002</w:t>
            </w:r>
          </w:p>
        </w:tc>
      </w:tr>
      <w:tr w:rsidR="000A1933" w:rsidRPr="00A847B7" w14:paraId="3437FCD4"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54CEFD3" w14:textId="4281E744" w:rsidR="000A1933" w:rsidRPr="00A847B7" w:rsidRDefault="000A1933" w:rsidP="000A1933">
            <w:pPr>
              <w:spacing w:beforeAutospacing="1" w:after="100" w:afterAutospacing="1"/>
              <w:rPr>
                <w:rFonts w:cstheme="minorHAnsi"/>
              </w:rPr>
            </w:pPr>
            <w:r w:rsidRPr="00A847B7">
              <w:rPr>
                <w:rFonts w:cstheme="minorHAnsi"/>
              </w:rPr>
              <w:t>247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3995A8E" w14:textId="4ECEC3F7" w:rsidR="000A1933" w:rsidRPr="00A847B7" w:rsidRDefault="000A1933" w:rsidP="000A1933">
            <w:pPr>
              <w:spacing w:beforeAutospacing="1" w:after="100" w:afterAutospacing="1"/>
              <w:rPr>
                <w:rFonts w:cstheme="minorHAnsi"/>
              </w:rPr>
            </w:pPr>
            <w:r w:rsidRPr="00A847B7">
              <w:rPr>
                <w:rFonts w:cstheme="minorHAnsi"/>
              </w:rPr>
              <w:t>6 052</w:t>
            </w:r>
          </w:p>
        </w:tc>
      </w:tr>
      <w:tr w:rsidR="000A1933" w:rsidRPr="00A847B7" w14:paraId="56E2A6AC"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2EB1DD1" w14:textId="0C91EA75" w:rsidR="000A1933" w:rsidRPr="00A847B7" w:rsidRDefault="000A1933" w:rsidP="000A1933">
            <w:pPr>
              <w:spacing w:beforeAutospacing="1" w:after="100" w:afterAutospacing="1"/>
              <w:rPr>
                <w:rFonts w:cstheme="minorHAnsi"/>
              </w:rPr>
            </w:pPr>
            <w:r w:rsidRPr="00A847B7">
              <w:rPr>
                <w:rFonts w:cstheme="minorHAnsi"/>
              </w:rPr>
              <w:t>248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0E3BBBB" w14:textId="6D40C7D3" w:rsidR="000A1933" w:rsidRPr="00A847B7" w:rsidRDefault="000A1933" w:rsidP="000A1933">
            <w:pPr>
              <w:spacing w:beforeAutospacing="1" w:after="100" w:afterAutospacing="1"/>
              <w:rPr>
                <w:rFonts w:cstheme="minorHAnsi"/>
              </w:rPr>
            </w:pPr>
            <w:r w:rsidRPr="00A847B7">
              <w:rPr>
                <w:rFonts w:cstheme="minorHAnsi"/>
              </w:rPr>
              <w:t>6 126</w:t>
            </w:r>
          </w:p>
        </w:tc>
      </w:tr>
      <w:tr w:rsidR="000A1933" w:rsidRPr="00A847B7" w14:paraId="0F39E553"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020E63B" w14:textId="54DC3A4F" w:rsidR="000A1933" w:rsidRPr="00A847B7" w:rsidRDefault="000A1933" w:rsidP="000A1933">
            <w:pPr>
              <w:spacing w:beforeAutospacing="1" w:after="100" w:afterAutospacing="1"/>
              <w:rPr>
                <w:rFonts w:cstheme="minorHAnsi"/>
              </w:rPr>
            </w:pPr>
            <w:r w:rsidRPr="00A847B7">
              <w:rPr>
                <w:rFonts w:cstheme="minorHAnsi"/>
              </w:rPr>
              <w:t>249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92D45CB" w14:textId="693ED579" w:rsidR="000A1933" w:rsidRPr="00A847B7" w:rsidRDefault="000A1933" w:rsidP="000A1933">
            <w:pPr>
              <w:spacing w:beforeAutospacing="1" w:after="100" w:afterAutospacing="1"/>
              <w:rPr>
                <w:rFonts w:cstheme="minorHAnsi"/>
              </w:rPr>
            </w:pPr>
            <w:r w:rsidRPr="00A847B7">
              <w:rPr>
                <w:rFonts w:cstheme="minorHAnsi"/>
              </w:rPr>
              <w:t>6 200</w:t>
            </w:r>
          </w:p>
        </w:tc>
      </w:tr>
      <w:tr w:rsidR="000A1933" w:rsidRPr="00A847B7" w14:paraId="60126385"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B1F699C" w14:textId="1FB5BE32" w:rsidR="000A1933" w:rsidRPr="00A847B7" w:rsidRDefault="000A1933" w:rsidP="000A1933">
            <w:pPr>
              <w:spacing w:beforeAutospacing="1" w:after="100" w:afterAutospacing="1"/>
              <w:rPr>
                <w:rFonts w:cstheme="minorHAnsi"/>
              </w:rPr>
            </w:pPr>
            <w:r w:rsidRPr="00A847B7">
              <w:rPr>
                <w:rFonts w:cstheme="minorHAnsi"/>
              </w:rPr>
              <w:lastRenderedPageBreak/>
              <w:t>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F2351F3" w14:textId="2A906B7C" w:rsidR="000A1933" w:rsidRPr="00A847B7" w:rsidRDefault="000A1933" w:rsidP="000A1933">
            <w:pPr>
              <w:spacing w:beforeAutospacing="1" w:after="100" w:afterAutospacing="1"/>
              <w:rPr>
                <w:rFonts w:cstheme="minorHAnsi"/>
              </w:rPr>
            </w:pPr>
            <w:r w:rsidRPr="00A847B7">
              <w:rPr>
                <w:rFonts w:cstheme="minorHAnsi"/>
              </w:rPr>
              <w:t>6 250</w:t>
            </w:r>
          </w:p>
        </w:tc>
      </w:tr>
      <w:tr w:rsidR="000A1933" w:rsidRPr="00A847B7" w14:paraId="1144F016"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C80BC75" w14:textId="1A4E414F" w:rsidR="000A1933" w:rsidRPr="00A847B7" w:rsidRDefault="000A1933" w:rsidP="000A1933">
            <w:pPr>
              <w:spacing w:beforeAutospacing="1" w:after="100" w:afterAutospacing="1"/>
              <w:rPr>
                <w:rFonts w:cstheme="minorHAnsi"/>
              </w:rPr>
            </w:pPr>
            <w:r w:rsidRPr="00A847B7">
              <w:rPr>
                <w:rFonts w:cstheme="minorHAnsi"/>
              </w:rPr>
              <w:t>251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1CAB7DC" w14:textId="01783670" w:rsidR="000A1933" w:rsidRPr="00A847B7" w:rsidRDefault="000A1933" w:rsidP="000A1933">
            <w:pPr>
              <w:spacing w:beforeAutospacing="1" w:after="100" w:afterAutospacing="1"/>
              <w:rPr>
                <w:rFonts w:cstheme="minorHAnsi"/>
              </w:rPr>
            </w:pPr>
            <w:r w:rsidRPr="00A847B7">
              <w:rPr>
                <w:rFonts w:cstheme="minorHAnsi"/>
              </w:rPr>
              <w:t>6 325</w:t>
            </w:r>
          </w:p>
        </w:tc>
      </w:tr>
      <w:tr w:rsidR="000A1933" w:rsidRPr="00A847B7" w14:paraId="7948E274"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CBB2D13" w14:textId="472C2F91" w:rsidR="000A1933" w:rsidRPr="00A847B7" w:rsidRDefault="000A1933" w:rsidP="000A1933">
            <w:pPr>
              <w:spacing w:beforeAutospacing="1" w:after="100" w:afterAutospacing="1"/>
              <w:rPr>
                <w:rFonts w:cstheme="minorHAnsi"/>
              </w:rPr>
            </w:pPr>
            <w:r w:rsidRPr="00A847B7">
              <w:rPr>
                <w:rFonts w:cstheme="minorHAnsi"/>
              </w:rPr>
              <w:t>252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3BCE467" w14:textId="7BCD179D" w:rsidR="000A1933" w:rsidRPr="00A847B7" w:rsidRDefault="000A1933" w:rsidP="000A1933">
            <w:pPr>
              <w:spacing w:beforeAutospacing="1" w:after="100" w:afterAutospacing="1"/>
              <w:rPr>
                <w:rFonts w:cstheme="minorHAnsi"/>
              </w:rPr>
            </w:pPr>
            <w:r w:rsidRPr="00A847B7">
              <w:rPr>
                <w:rFonts w:cstheme="minorHAnsi"/>
              </w:rPr>
              <w:t>6 401</w:t>
            </w:r>
          </w:p>
        </w:tc>
      </w:tr>
      <w:tr w:rsidR="000A1933" w:rsidRPr="00A847B7" w14:paraId="7944C678"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C246BDB" w14:textId="0529AC8A" w:rsidR="000A1933" w:rsidRPr="00A847B7" w:rsidRDefault="000A1933" w:rsidP="000A1933">
            <w:pPr>
              <w:spacing w:beforeAutospacing="1" w:after="100" w:afterAutospacing="1"/>
              <w:rPr>
                <w:rFonts w:cstheme="minorHAnsi"/>
              </w:rPr>
            </w:pPr>
            <w:r w:rsidRPr="00A847B7">
              <w:rPr>
                <w:rFonts w:cstheme="minorHAnsi"/>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C4AAA2B" w14:textId="060FD355" w:rsidR="000A1933" w:rsidRPr="00A847B7" w:rsidRDefault="000A1933" w:rsidP="000A1933">
            <w:pPr>
              <w:spacing w:beforeAutospacing="1" w:after="100" w:afterAutospacing="1"/>
              <w:rPr>
                <w:rFonts w:cstheme="minorHAnsi"/>
              </w:rPr>
            </w:pPr>
            <w:r w:rsidRPr="00A847B7">
              <w:rPr>
                <w:rFonts w:cstheme="minorHAnsi"/>
              </w:rPr>
              <w:t>6 477</w:t>
            </w:r>
          </w:p>
        </w:tc>
      </w:tr>
      <w:tr w:rsidR="000A1933" w:rsidRPr="00A847B7" w14:paraId="462EFAE6"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E7EDF9B" w14:textId="2ACCDBF6" w:rsidR="000A1933" w:rsidRPr="00A847B7" w:rsidRDefault="000A1933" w:rsidP="000A1933">
            <w:pPr>
              <w:spacing w:beforeAutospacing="1" w:after="100" w:afterAutospacing="1"/>
              <w:rPr>
                <w:rFonts w:cstheme="minorHAnsi"/>
              </w:rPr>
            </w:pPr>
            <w:r w:rsidRPr="00A847B7">
              <w:rPr>
                <w:rFonts w:cstheme="minorHAnsi"/>
              </w:rPr>
              <w:t>254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4551A72" w14:textId="282B151C" w:rsidR="000A1933" w:rsidRPr="00A847B7" w:rsidRDefault="000A1933" w:rsidP="000A1933">
            <w:pPr>
              <w:spacing w:beforeAutospacing="1" w:after="100" w:afterAutospacing="1"/>
              <w:rPr>
                <w:rFonts w:cstheme="minorHAnsi"/>
              </w:rPr>
            </w:pPr>
            <w:r w:rsidRPr="00A847B7">
              <w:rPr>
                <w:rFonts w:cstheme="minorHAnsi"/>
              </w:rPr>
              <w:t>6 528</w:t>
            </w:r>
          </w:p>
        </w:tc>
      </w:tr>
      <w:tr w:rsidR="000A1933" w:rsidRPr="00A847B7" w14:paraId="714031C0"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35C2844" w14:textId="101F3E31" w:rsidR="000A1933" w:rsidRPr="00A847B7" w:rsidRDefault="000A1933" w:rsidP="000A1933">
            <w:pPr>
              <w:spacing w:beforeAutospacing="1" w:after="100" w:afterAutospacing="1"/>
              <w:rPr>
                <w:rFonts w:cstheme="minorHAnsi"/>
              </w:rPr>
            </w:pPr>
            <w:r w:rsidRPr="00A847B7">
              <w:rPr>
                <w:rFonts w:cstheme="minorHAnsi"/>
              </w:rPr>
              <w:t>255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18182F5" w14:textId="17D5939D" w:rsidR="000A1933" w:rsidRPr="00A847B7" w:rsidRDefault="000A1933" w:rsidP="000A1933">
            <w:pPr>
              <w:spacing w:beforeAutospacing="1" w:after="100" w:afterAutospacing="1"/>
              <w:rPr>
                <w:rFonts w:cstheme="minorHAnsi"/>
              </w:rPr>
            </w:pPr>
            <w:r w:rsidRPr="00A847B7">
              <w:rPr>
                <w:rFonts w:cstheme="minorHAnsi"/>
              </w:rPr>
              <w:t>6 605</w:t>
            </w:r>
          </w:p>
        </w:tc>
      </w:tr>
      <w:tr w:rsidR="000A1933" w:rsidRPr="00A847B7" w14:paraId="3F78E1C9"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6C18637" w14:textId="19A19EC4" w:rsidR="000A1933" w:rsidRPr="00A847B7" w:rsidRDefault="000A1933" w:rsidP="000A1933">
            <w:pPr>
              <w:spacing w:beforeAutospacing="1" w:after="100" w:afterAutospacing="1"/>
              <w:rPr>
                <w:rFonts w:cstheme="minorHAnsi"/>
              </w:rPr>
            </w:pPr>
            <w:r w:rsidRPr="00A847B7">
              <w:rPr>
                <w:rFonts w:cstheme="minorHAnsi"/>
              </w:rPr>
              <w:t>256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946C260" w14:textId="778CA99A" w:rsidR="000A1933" w:rsidRPr="00A847B7" w:rsidRDefault="000A1933" w:rsidP="000A1933">
            <w:pPr>
              <w:spacing w:beforeAutospacing="1" w:after="100" w:afterAutospacing="1"/>
              <w:rPr>
                <w:rFonts w:cstheme="minorHAnsi"/>
              </w:rPr>
            </w:pPr>
            <w:r w:rsidRPr="00A847B7">
              <w:rPr>
                <w:rFonts w:cstheme="minorHAnsi"/>
              </w:rPr>
              <w:t>6 682</w:t>
            </w:r>
          </w:p>
        </w:tc>
      </w:tr>
      <w:tr w:rsidR="000A1933" w:rsidRPr="00A847B7" w14:paraId="1822C2DB"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B7ABF74" w14:textId="68548B2F" w:rsidR="000A1933" w:rsidRPr="00A847B7" w:rsidRDefault="000A1933" w:rsidP="000A1933">
            <w:pPr>
              <w:spacing w:beforeAutospacing="1" w:after="100" w:afterAutospacing="1"/>
              <w:rPr>
                <w:rFonts w:cstheme="minorHAnsi"/>
              </w:rPr>
            </w:pPr>
            <w:r w:rsidRPr="00A847B7">
              <w:rPr>
                <w:rFonts w:cstheme="minorHAnsi"/>
              </w:rPr>
              <w:t>257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F0F7A0A" w14:textId="6A53624B" w:rsidR="000A1933" w:rsidRPr="00A847B7" w:rsidRDefault="000A1933" w:rsidP="000A1933">
            <w:pPr>
              <w:spacing w:beforeAutospacing="1" w:after="100" w:afterAutospacing="1"/>
              <w:rPr>
                <w:rFonts w:cstheme="minorHAnsi"/>
              </w:rPr>
            </w:pPr>
            <w:r w:rsidRPr="00A847B7">
              <w:rPr>
                <w:rFonts w:cstheme="minorHAnsi"/>
              </w:rPr>
              <w:t>6 733</w:t>
            </w:r>
          </w:p>
        </w:tc>
      </w:tr>
      <w:tr w:rsidR="000A1933" w:rsidRPr="00A847B7" w14:paraId="2AF6729D"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899FA8B" w14:textId="0E6C7CF1" w:rsidR="000A1933" w:rsidRPr="00A847B7" w:rsidRDefault="000A1933" w:rsidP="000A1933">
            <w:pPr>
              <w:spacing w:beforeAutospacing="1" w:after="100" w:afterAutospacing="1"/>
              <w:rPr>
                <w:rFonts w:cstheme="minorHAnsi"/>
              </w:rPr>
            </w:pPr>
            <w:r w:rsidRPr="00A847B7">
              <w:rPr>
                <w:rFonts w:cstheme="minorHAnsi"/>
              </w:rPr>
              <w:t>258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62D55B4" w14:textId="1BEEC013" w:rsidR="000A1933" w:rsidRPr="00A847B7" w:rsidRDefault="000A1933" w:rsidP="000A1933">
            <w:pPr>
              <w:spacing w:beforeAutospacing="1" w:after="100" w:afterAutospacing="1"/>
              <w:rPr>
                <w:rFonts w:cstheme="minorHAnsi"/>
              </w:rPr>
            </w:pPr>
            <w:r w:rsidRPr="00A847B7">
              <w:rPr>
                <w:rFonts w:cstheme="minorHAnsi"/>
              </w:rPr>
              <w:t>6 811</w:t>
            </w:r>
          </w:p>
        </w:tc>
      </w:tr>
      <w:tr w:rsidR="000A1933" w:rsidRPr="00A847B7" w14:paraId="721958C1"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B97A9E8" w14:textId="7301EE7B" w:rsidR="000A1933" w:rsidRPr="00A847B7" w:rsidRDefault="000A1933" w:rsidP="000A1933">
            <w:pPr>
              <w:spacing w:beforeAutospacing="1" w:after="100" w:afterAutospacing="1"/>
              <w:rPr>
                <w:rFonts w:cstheme="minorHAnsi"/>
              </w:rPr>
            </w:pPr>
            <w:r w:rsidRPr="00A847B7">
              <w:rPr>
                <w:rFonts w:cstheme="minorHAnsi"/>
              </w:rPr>
              <w:t>259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45DFDF4" w14:textId="314B50CD" w:rsidR="000A1933" w:rsidRPr="00A847B7" w:rsidRDefault="000A1933" w:rsidP="000A1933">
            <w:pPr>
              <w:spacing w:beforeAutospacing="1" w:after="100" w:afterAutospacing="1"/>
              <w:rPr>
                <w:rFonts w:cstheme="minorHAnsi"/>
              </w:rPr>
            </w:pPr>
            <w:r w:rsidRPr="00A847B7">
              <w:rPr>
                <w:rFonts w:cstheme="minorHAnsi"/>
              </w:rPr>
              <w:t>6 889</w:t>
            </w:r>
          </w:p>
        </w:tc>
      </w:tr>
      <w:tr w:rsidR="000A1933" w:rsidRPr="00A847B7" w14:paraId="20542582"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16EE537" w14:textId="2C26E915" w:rsidR="000A1933" w:rsidRPr="00A847B7" w:rsidRDefault="000A1933" w:rsidP="000A1933">
            <w:pPr>
              <w:spacing w:beforeAutospacing="1" w:after="100" w:afterAutospacing="1"/>
              <w:rPr>
                <w:rFonts w:cstheme="minorHAnsi"/>
              </w:rPr>
            </w:pPr>
            <w:r w:rsidRPr="00A847B7">
              <w:rPr>
                <w:rFonts w:cstheme="minorHAnsi"/>
              </w:rPr>
              <w:t>260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65C479F" w14:textId="31678F48" w:rsidR="000A1933" w:rsidRPr="00A847B7" w:rsidRDefault="000A1933" w:rsidP="000A1933">
            <w:pPr>
              <w:spacing w:beforeAutospacing="1" w:after="100" w:afterAutospacing="1"/>
              <w:rPr>
                <w:rFonts w:cstheme="minorHAnsi"/>
              </w:rPr>
            </w:pPr>
            <w:r w:rsidRPr="00A847B7">
              <w:rPr>
                <w:rFonts w:cstheme="minorHAnsi"/>
              </w:rPr>
              <w:t>6 968</w:t>
            </w:r>
          </w:p>
        </w:tc>
      </w:tr>
      <w:tr w:rsidR="000A1933" w:rsidRPr="00A847B7" w14:paraId="61CEC248"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72FB475" w14:textId="6BC8A2F8" w:rsidR="000A1933" w:rsidRPr="00A847B7" w:rsidRDefault="000A1933" w:rsidP="000A1933">
            <w:pPr>
              <w:spacing w:beforeAutospacing="1" w:after="100" w:afterAutospacing="1"/>
              <w:rPr>
                <w:rFonts w:cstheme="minorHAnsi"/>
              </w:rPr>
            </w:pPr>
            <w:r w:rsidRPr="00A847B7">
              <w:rPr>
                <w:rFonts w:cstheme="minorHAnsi"/>
              </w:rPr>
              <w:t>261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C2ACA3D" w14:textId="6CF08995" w:rsidR="000A1933" w:rsidRPr="00A847B7" w:rsidRDefault="000A1933" w:rsidP="000A1933">
            <w:pPr>
              <w:spacing w:beforeAutospacing="1" w:after="100" w:afterAutospacing="1"/>
              <w:rPr>
                <w:rFonts w:cstheme="minorHAnsi"/>
              </w:rPr>
            </w:pPr>
            <w:r w:rsidRPr="00A847B7">
              <w:rPr>
                <w:rFonts w:cstheme="minorHAnsi"/>
              </w:rPr>
              <w:t>7 047</w:t>
            </w:r>
          </w:p>
        </w:tc>
      </w:tr>
      <w:tr w:rsidR="000A1933" w:rsidRPr="00A847B7" w14:paraId="1C633F14"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40025F0" w14:textId="0B20E3DB" w:rsidR="000A1933" w:rsidRPr="00A847B7" w:rsidRDefault="000A1933" w:rsidP="000A1933">
            <w:pPr>
              <w:spacing w:beforeAutospacing="1" w:after="100" w:afterAutospacing="1"/>
              <w:rPr>
                <w:rFonts w:cstheme="minorHAnsi"/>
              </w:rPr>
            </w:pPr>
            <w:r w:rsidRPr="00A847B7">
              <w:rPr>
                <w:rFonts w:cstheme="minorHAnsi"/>
              </w:rPr>
              <w:t>262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4BC439A" w14:textId="62DAFD75" w:rsidR="000A1933" w:rsidRPr="00A847B7" w:rsidRDefault="000A1933" w:rsidP="000A1933">
            <w:pPr>
              <w:spacing w:beforeAutospacing="1" w:after="100" w:afterAutospacing="1"/>
              <w:rPr>
                <w:rFonts w:cstheme="minorHAnsi"/>
              </w:rPr>
            </w:pPr>
            <w:r w:rsidRPr="00A847B7">
              <w:rPr>
                <w:rFonts w:cstheme="minorHAnsi"/>
              </w:rPr>
              <w:t>7 126</w:t>
            </w:r>
          </w:p>
        </w:tc>
      </w:tr>
      <w:tr w:rsidR="000A1933" w:rsidRPr="00A847B7" w14:paraId="3231EE2D"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67791FF" w14:textId="07D2016F" w:rsidR="000A1933" w:rsidRPr="00A847B7" w:rsidRDefault="000A1933" w:rsidP="000A1933">
            <w:pPr>
              <w:spacing w:beforeAutospacing="1" w:after="100" w:afterAutospacing="1"/>
              <w:rPr>
                <w:rFonts w:cstheme="minorHAnsi"/>
              </w:rPr>
            </w:pPr>
            <w:r w:rsidRPr="00A847B7">
              <w:rPr>
                <w:rFonts w:cstheme="minorHAnsi"/>
              </w:rPr>
              <w:t>263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428B229" w14:textId="063A53BD" w:rsidR="000A1933" w:rsidRPr="00A847B7" w:rsidRDefault="000A1933" w:rsidP="000A1933">
            <w:pPr>
              <w:spacing w:beforeAutospacing="1" w:after="100" w:afterAutospacing="1"/>
              <w:rPr>
                <w:rFonts w:cstheme="minorHAnsi"/>
              </w:rPr>
            </w:pPr>
            <w:r w:rsidRPr="00A847B7">
              <w:rPr>
                <w:rFonts w:cstheme="minorHAnsi"/>
              </w:rPr>
              <w:t>7 206</w:t>
            </w:r>
          </w:p>
        </w:tc>
      </w:tr>
      <w:tr w:rsidR="000A1933" w:rsidRPr="00A847B7" w14:paraId="0CE551D7"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08AF05E" w14:textId="1E8DADA2" w:rsidR="000A1933" w:rsidRPr="00A847B7" w:rsidRDefault="000A1933" w:rsidP="000A1933">
            <w:pPr>
              <w:spacing w:beforeAutospacing="1" w:after="100" w:afterAutospacing="1"/>
              <w:rPr>
                <w:rFonts w:cstheme="minorHAnsi"/>
              </w:rPr>
            </w:pPr>
            <w:r w:rsidRPr="00A847B7">
              <w:rPr>
                <w:rFonts w:cstheme="minorHAnsi"/>
              </w:rPr>
              <w:t>264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D340C95" w14:textId="06AB3229" w:rsidR="000A1933" w:rsidRPr="00A847B7" w:rsidRDefault="000A1933" w:rsidP="000A1933">
            <w:pPr>
              <w:spacing w:beforeAutospacing="1" w:after="100" w:afterAutospacing="1"/>
              <w:rPr>
                <w:rFonts w:cstheme="minorHAnsi"/>
              </w:rPr>
            </w:pPr>
            <w:r w:rsidRPr="00A847B7">
              <w:rPr>
                <w:rFonts w:cstheme="minorHAnsi"/>
              </w:rPr>
              <w:t>7 286</w:t>
            </w:r>
          </w:p>
        </w:tc>
      </w:tr>
      <w:tr w:rsidR="000A1933" w:rsidRPr="00A847B7" w14:paraId="245A4FF4"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4815F06" w14:textId="3C4ADD12" w:rsidR="000A1933" w:rsidRPr="00A847B7" w:rsidRDefault="000A1933" w:rsidP="000A1933">
            <w:pPr>
              <w:spacing w:beforeAutospacing="1" w:after="100" w:afterAutospacing="1"/>
              <w:rPr>
                <w:rFonts w:cstheme="minorHAnsi"/>
              </w:rPr>
            </w:pPr>
            <w:r w:rsidRPr="00A847B7">
              <w:rPr>
                <w:rFonts w:cstheme="minorHAnsi"/>
              </w:rPr>
              <w:t>265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22752AF" w14:textId="70B000B8" w:rsidR="000A1933" w:rsidRPr="00A847B7" w:rsidRDefault="000A1933" w:rsidP="000A1933">
            <w:pPr>
              <w:spacing w:beforeAutospacing="1" w:after="100" w:afterAutospacing="1"/>
              <w:rPr>
                <w:rFonts w:cstheme="minorHAnsi"/>
              </w:rPr>
            </w:pPr>
            <w:r w:rsidRPr="00A847B7">
              <w:rPr>
                <w:rFonts w:cstheme="minorHAnsi"/>
              </w:rPr>
              <w:t>7 367</w:t>
            </w:r>
          </w:p>
        </w:tc>
      </w:tr>
      <w:tr w:rsidR="000A1933" w:rsidRPr="00A847B7" w14:paraId="062AB26B"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7BA0414" w14:textId="1F0FBE61" w:rsidR="000A1933" w:rsidRPr="00A847B7" w:rsidRDefault="000A1933" w:rsidP="000A1933">
            <w:pPr>
              <w:spacing w:beforeAutospacing="1" w:after="100" w:afterAutospacing="1"/>
              <w:rPr>
                <w:rFonts w:cstheme="minorHAnsi"/>
              </w:rPr>
            </w:pPr>
            <w:r w:rsidRPr="00A847B7">
              <w:rPr>
                <w:rFonts w:cstheme="minorHAnsi"/>
              </w:rPr>
              <w:t>266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63B5532" w14:textId="2B188B08" w:rsidR="000A1933" w:rsidRPr="00A847B7" w:rsidRDefault="000A1933" w:rsidP="000A1933">
            <w:pPr>
              <w:spacing w:beforeAutospacing="1" w:after="100" w:afterAutospacing="1"/>
              <w:rPr>
                <w:rFonts w:cstheme="minorHAnsi"/>
              </w:rPr>
            </w:pPr>
            <w:r w:rsidRPr="00A847B7">
              <w:rPr>
                <w:rFonts w:cstheme="minorHAnsi"/>
              </w:rPr>
              <w:t>7 448</w:t>
            </w:r>
          </w:p>
        </w:tc>
      </w:tr>
      <w:tr w:rsidR="000A1933" w:rsidRPr="00A847B7" w14:paraId="734D3F4D"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F0B6AC5" w14:textId="3A07439D" w:rsidR="000A1933" w:rsidRPr="00A847B7" w:rsidRDefault="000A1933" w:rsidP="000A1933">
            <w:pPr>
              <w:spacing w:beforeAutospacing="1" w:after="100" w:afterAutospacing="1"/>
              <w:rPr>
                <w:rFonts w:cstheme="minorHAnsi"/>
              </w:rPr>
            </w:pPr>
            <w:r w:rsidRPr="00A847B7">
              <w:rPr>
                <w:rFonts w:cstheme="minorHAnsi"/>
              </w:rPr>
              <w:t>267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40BCE5F" w14:textId="679A72DE" w:rsidR="000A1933" w:rsidRPr="00A847B7" w:rsidRDefault="000A1933" w:rsidP="000A1933">
            <w:pPr>
              <w:spacing w:beforeAutospacing="1" w:after="100" w:afterAutospacing="1"/>
              <w:rPr>
                <w:rFonts w:cstheme="minorHAnsi"/>
              </w:rPr>
            </w:pPr>
            <w:r w:rsidRPr="00A847B7">
              <w:rPr>
                <w:rFonts w:cstheme="minorHAnsi"/>
              </w:rPr>
              <w:t>7 529</w:t>
            </w:r>
          </w:p>
        </w:tc>
      </w:tr>
      <w:tr w:rsidR="000A1933" w:rsidRPr="00A847B7" w14:paraId="512197D2"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5824F20" w14:textId="43B9B69A" w:rsidR="000A1933" w:rsidRPr="00A847B7" w:rsidRDefault="000A1933" w:rsidP="000A1933">
            <w:pPr>
              <w:spacing w:beforeAutospacing="1" w:after="100" w:afterAutospacing="1"/>
              <w:rPr>
                <w:rFonts w:cstheme="minorHAnsi"/>
              </w:rPr>
            </w:pPr>
            <w:r w:rsidRPr="00A847B7">
              <w:rPr>
                <w:rFonts w:cstheme="minorHAnsi"/>
              </w:rPr>
              <w:t>268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3227D08" w14:textId="2B359AFF" w:rsidR="000A1933" w:rsidRPr="00A847B7" w:rsidRDefault="000A1933" w:rsidP="000A1933">
            <w:pPr>
              <w:spacing w:beforeAutospacing="1" w:after="100" w:afterAutospacing="1"/>
              <w:rPr>
                <w:rFonts w:cstheme="minorHAnsi"/>
              </w:rPr>
            </w:pPr>
            <w:r w:rsidRPr="00A847B7">
              <w:rPr>
                <w:rFonts w:cstheme="minorHAnsi"/>
              </w:rPr>
              <w:t>7 638</w:t>
            </w:r>
          </w:p>
        </w:tc>
      </w:tr>
      <w:tr w:rsidR="000A1933" w:rsidRPr="00A847B7" w14:paraId="3A6E8A8E"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0CA3AEB" w14:textId="469F003F" w:rsidR="000A1933" w:rsidRPr="00A847B7" w:rsidRDefault="000A1933" w:rsidP="000A1933">
            <w:pPr>
              <w:spacing w:beforeAutospacing="1" w:after="100" w:afterAutospacing="1"/>
              <w:rPr>
                <w:rFonts w:cstheme="minorHAnsi"/>
              </w:rPr>
            </w:pPr>
            <w:r w:rsidRPr="00A847B7">
              <w:rPr>
                <w:rFonts w:cstheme="minorHAnsi"/>
              </w:rPr>
              <w:t>269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94304DD" w14:textId="4287F524" w:rsidR="000A1933" w:rsidRPr="00A847B7" w:rsidRDefault="000A1933" w:rsidP="000A1933">
            <w:pPr>
              <w:spacing w:beforeAutospacing="1" w:after="100" w:afterAutospacing="1"/>
              <w:rPr>
                <w:rFonts w:cstheme="minorHAnsi"/>
              </w:rPr>
            </w:pPr>
            <w:r w:rsidRPr="00A847B7">
              <w:rPr>
                <w:rFonts w:cstheme="minorHAnsi"/>
              </w:rPr>
              <w:t>7 747</w:t>
            </w:r>
          </w:p>
        </w:tc>
      </w:tr>
    </w:tbl>
    <w:p w14:paraId="7F321069" w14:textId="18F6C9FA" w:rsidR="00C87A08" w:rsidRPr="00A847B7" w:rsidRDefault="00AF0842" w:rsidP="00EE0687">
      <w:pPr>
        <w:pStyle w:val="Paragraphedeliste"/>
        <w:numPr>
          <w:ilvl w:val="0"/>
          <w:numId w:val="113"/>
        </w:numPr>
        <w:spacing w:beforeAutospacing="1" w:after="100" w:afterAutospacing="1"/>
        <w:rPr>
          <w:rFonts w:cstheme="minorHAnsi"/>
        </w:rPr>
      </w:pPr>
      <w:r w:rsidRPr="00A847B7">
        <w:rPr>
          <w:rFonts w:cstheme="minorHAnsi"/>
        </w:rPr>
        <w:t>lorsque les émissions sont supérieures à 269 g/km, le tarif est égal au produit entre les émissions et 29 € par g/km.</w:t>
      </w:r>
    </w:p>
    <w:p w14:paraId="7AAB3A02" w14:textId="25754061" w:rsidR="00C87A08" w:rsidRPr="00A847B7" w:rsidRDefault="0077594F" w:rsidP="00361A7A">
      <w:pPr>
        <w:rPr>
          <w:rFonts w:cstheme="minorHAnsi"/>
        </w:rPr>
      </w:pPr>
      <w:r w:rsidRPr="00A847B7">
        <w:rPr>
          <w:rFonts w:cstheme="minorHAnsi"/>
        </w:rPr>
        <w:t>Le tarif de cette taxe est égal,</w:t>
      </w:r>
      <w:r w:rsidRPr="00A847B7">
        <w:t xml:space="preserve"> </w:t>
      </w:r>
      <w:r w:rsidRPr="00A847B7">
        <w:rPr>
          <w:rFonts w:cstheme="minorHAnsi"/>
        </w:rPr>
        <w:t>pour les véhicules ne relevant pas du nouveau dispositif d’immatriculation, ayant fait l’objet d’une réception européenne, immatriculés pour la première fois à compter du 1</w:t>
      </w:r>
      <w:r w:rsidRPr="00A847B7">
        <w:rPr>
          <w:rFonts w:cstheme="minorHAnsi"/>
          <w:vertAlign w:val="superscript"/>
        </w:rPr>
        <w:t>er</w:t>
      </w:r>
      <w:r w:rsidRPr="00A847B7">
        <w:rPr>
          <w:rFonts w:cstheme="minorHAnsi"/>
        </w:rPr>
        <w:t xml:space="preserve"> juin 2004 et qui n’étaient pas utilisés par le redevable avant le 1</w:t>
      </w:r>
      <w:r w:rsidRPr="00A847B7">
        <w:rPr>
          <w:rFonts w:cstheme="minorHAnsi"/>
          <w:vertAlign w:val="superscript"/>
        </w:rPr>
        <w:t>er</w:t>
      </w:r>
      <w:r w:rsidRPr="00A847B7">
        <w:rPr>
          <w:rFonts w:cstheme="minorHAnsi"/>
        </w:rPr>
        <w:t xml:space="preserve"> janvier 2006, au produit entre les émissions de dioxyde de carbone, exprimées en g/km, et un tarif unitaire, exprimé en euros par g/km, déterminé en fonction de ces mêmes émissions à partir du barème suivant :</w:t>
      </w:r>
    </w:p>
    <w:tbl>
      <w:tblPr>
        <w:tblW w:w="0" w:type="auto"/>
        <w:tblInd w:w="1333" w:type="dxa"/>
        <w:shd w:val="clear" w:color="auto" w:fill="FFFFFF"/>
        <w:tblCellMar>
          <w:left w:w="0" w:type="dxa"/>
          <w:right w:w="0" w:type="dxa"/>
        </w:tblCellMar>
        <w:tblLook w:val="04A0" w:firstRow="1" w:lastRow="0" w:firstColumn="1" w:lastColumn="0" w:noHBand="0" w:noVBand="1"/>
      </w:tblPr>
      <w:tblGrid>
        <w:gridCol w:w="3169"/>
        <w:gridCol w:w="3535"/>
      </w:tblGrid>
      <w:tr w:rsidR="00475765" w:rsidRPr="00A847B7" w14:paraId="0CA7357F" w14:textId="77777777" w:rsidTr="00475765">
        <w:tc>
          <w:tcPr>
            <w:tcW w:w="0" w:type="auto"/>
            <w:tcBorders>
              <w:top w:val="single" w:sz="6" w:space="0" w:color="000000"/>
              <w:left w:val="single" w:sz="6" w:space="0" w:color="000000"/>
              <w:bottom w:val="single" w:sz="6" w:space="0" w:color="000000"/>
              <w:right w:val="single" w:sz="6" w:space="0" w:color="000000"/>
            </w:tcBorders>
            <w:shd w:val="clear" w:color="auto" w:fill="297FD5" w:themeFill="accent3"/>
            <w:tcMar>
              <w:top w:w="30" w:type="dxa"/>
              <w:left w:w="75" w:type="dxa"/>
              <w:bottom w:w="30" w:type="dxa"/>
              <w:right w:w="75" w:type="dxa"/>
            </w:tcMar>
            <w:hideMark/>
          </w:tcPr>
          <w:p w14:paraId="14F2FCAC" w14:textId="77777777" w:rsidR="00475765" w:rsidRPr="00A847B7" w:rsidRDefault="00475765" w:rsidP="00475765">
            <w:pPr>
              <w:jc w:val="center"/>
              <w:rPr>
                <w:rFonts w:cstheme="minorHAnsi"/>
                <w:b/>
                <w:bCs/>
                <w:color w:val="FFFFFF" w:themeColor="background1"/>
                <w:sz w:val="22"/>
                <w:szCs w:val="22"/>
              </w:rPr>
            </w:pPr>
            <w:r w:rsidRPr="00A847B7">
              <w:rPr>
                <w:rFonts w:cstheme="minorHAnsi"/>
                <w:b/>
                <w:bCs/>
                <w:color w:val="FFFFFF" w:themeColor="background1"/>
                <w:sz w:val="22"/>
                <w:szCs w:val="22"/>
              </w:rPr>
              <w:t>Émissions de dioxyde de carbone</w:t>
            </w:r>
            <w:r w:rsidRPr="00A847B7">
              <w:rPr>
                <w:rFonts w:cstheme="minorHAnsi"/>
                <w:b/>
                <w:bCs/>
                <w:color w:val="FFFFFF" w:themeColor="background1"/>
                <w:sz w:val="22"/>
                <w:szCs w:val="22"/>
              </w:rPr>
              <w:br/>
              <w:t>(en grammes par kilomètre)</w:t>
            </w:r>
          </w:p>
        </w:tc>
        <w:tc>
          <w:tcPr>
            <w:tcW w:w="0" w:type="auto"/>
            <w:tcBorders>
              <w:top w:val="single" w:sz="6" w:space="0" w:color="000000"/>
              <w:left w:val="single" w:sz="6" w:space="0" w:color="000000"/>
              <w:bottom w:val="single" w:sz="6" w:space="0" w:color="000000"/>
              <w:right w:val="single" w:sz="6" w:space="0" w:color="000000"/>
            </w:tcBorders>
            <w:shd w:val="clear" w:color="auto" w:fill="297FD5" w:themeFill="accent3"/>
            <w:tcMar>
              <w:top w:w="30" w:type="dxa"/>
              <w:left w:w="75" w:type="dxa"/>
              <w:bottom w:w="30" w:type="dxa"/>
              <w:right w:w="75" w:type="dxa"/>
            </w:tcMar>
            <w:hideMark/>
          </w:tcPr>
          <w:p w14:paraId="48D41E9C" w14:textId="77777777" w:rsidR="00475765" w:rsidRPr="00A847B7" w:rsidRDefault="00475765" w:rsidP="00475765">
            <w:pPr>
              <w:jc w:val="center"/>
              <w:rPr>
                <w:rFonts w:cstheme="minorHAnsi"/>
                <w:b/>
                <w:bCs/>
                <w:color w:val="FFFFFF" w:themeColor="background1"/>
                <w:sz w:val="22"/>
                <w:szCs w:val="22"/>
              </w:rPr>
            </w:pPr>
            <w:r w:rsidRPr="00A847B7">
              <w:rPr>
                <w:rFonts w:cstheme="minorHAnsi"/>
                <w:b/>
                <w:bCs/>
                <w:color w:val="FFFFFF" w:themeColor="background1"/>
                <w:sz w:val="22"/>
                <w:szCs w:val="22"/>
              </w:rPr>
              <w:t>Tarif unitaire</w:t>
            </w:r>
            <w:r w:rsidRPr="00A847B7">
              <w:rPr>
                <w:rFonts w:cstheme="minorHAnsi"/>
                <w:b/>
                <w:bCs/>
                <w:color w:val="FFFFFF" w:themeColor="background1"/>
                <w:sz w:val="22"/>
                <w:szCs w:val="22"/>
              </w:rPr>
              <w:br/>
              <w:t>(en euros par gramme par kilomètre)</w:t>
            </w:r>
          </w:p>
        </w:tc>
      </w:tr>
      <w:tr w:rsidR="00475765" w:rsidRPr="00A847B7" w14:paraId="0CA61DF8" w14:textId="77777777" w:rsidTr="00475765">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5BBEF0E" w14:textId="6C8FFE8E" w:rsidR="00475765" w:rsidRPr="00A847B7" w:rsidRDefault="00475765" w:rsidP="00475765">
            <w:pPr>
              <w:rPr>
                <w:rFonts w:cstheme="minorHAnsi"/>
              </w:rPr>
            </w:pPr>
            <w:r w:rsidRPr="00A847B7">
              <w:rPr>
                <w:rFonts w:cstheme="minorHAnsi"/>
              </w:rPr>
              <w:t>inférieures ou égales à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5CE9C1E" w14:textId="1EE4C49E" w:rsidR="00475765" w:rsidRPr="00A847B7" w:rsidRDefault="00475765" w:rsidP="00475765">
            <w:pPr>
              <w:rPr>
                <w:rFonts w:cstheme="minorHAnsi"/>
              </w:rPr>
            </w:pPr>
            <w:r w:rsidRPr="00A847B7">
              <w:rPr>
                <w:rFonts w:cstheme="minorHAnsi"/>
              </w:rPr>
              <w:t>0</w:t>
            </w:r>
          </w:p>
        </w:tc>
      </w:tr>
      <w:tr w:rsidR="00475765" w:rsidRPr="00A847B7" w14:paraId="36BB1634" w14:textId="77777777" w:rsidTr="00475765">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BD87016" w14:textId="6B257E47" w:rsidR="00475765" w:rsidRPr="00A847B7" w:rsidRDefault="00475765" w:rsidP="00475765">
            <w:pPr>
              <w:rPr>
                <w:rFonts w:cstheme="minorHAnsi"/>
              </w:rPr>
            </w:pPr>
            <w:r w:rsidRPr="00A847B7">
              <w:rPr>
                <w:rFonts w:cstheme="minorHAnsi"/>
              </w:rPr>
              <w:t>de 21 à 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950D04A" w14:textId="4957A68F" w:rsidR="00475765" w:rsidRPr="00A847B7" w:rsidRDefault="00475765" w:rsidP="00475765">
            <w:pPr>
              <w:rPr>
                <w:rFonts w:cstheme="minorHAnsi"/>
              </w:rPr>
            </w:pPr>
            <w:r w:rsidRPr="00A847B7">
              <w:rPr>
                <w:rFonts w:cstheme="minorHAnsi"/>
              </w:rPr>
              <w:t>1</w:t>
            </w:r>
          </w:p>
        </w:tc>
      </w:tr>
      <w:tr w:rsidR="00475765" w:rsidRPr="00A847B7" w14:paraId="121E6E9F" w14:textId="77777777" w:rsidTr="00475765">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24FA1C1" w14:textId="186A4AD4" w:rsidR="00475765" w:rsidRPr="00A847B7" w:rsidRDefault="00475765" w:rsidP="00475765">
            <w:pPr>
              <w:rPr>
                <w:rFonts w:cstheme="minorHAnsi"/>
              </w:rPr>
            </w:pPr>
            <w:r w:rsidRPr="00A847B7">
              <w:rPr>
                <w:rFonts w:cstheme="minorHAnsi"/>
              </w:rPr>
              <w:t>de 61 à 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3FD534A" w14:textId="429D9407" w:rsidR="00475765" w:rsidRPr="00A847B7" w:rsidRDefault="00475765" w:rsidP="00475765">
            <w:pPr>
              <w:rPr>
                <w:rFonts w:cstheme="minorHAnsi"/>
              </w:rPr>
            </w:pPr>
            <w:r w:rsidRPr="00A847B7">
              <w:rPr>
                <w:rFonts w:cstheme="minorHAnsi"/>
              </w:rPr>
              <w:t>2</w:t>
            </w:r>
          </w:p>
        </w:tc>
      </w:tr>
      <w:tr w:rsidR="00475765" w:rsidRPr="00A847B7" w14:paraId="5E6473BE" w14:textId="77777777" w:rsidTr="00475765">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4867692" w14:textId="40C5632F" w:rsidR="00475765" w:rsidRPr="00A847B7" w:rsidRDefault="00475765" w:rsidP="00475765">
            <w:pPr>
              <w:rPr>
                <w:rFonts w:cstheme="minorHAnsi"/>
              </w:rPr>
            </w:pPr>
            <w:r w:rsidRPr="00A847B7">
              <w:rPr>
                <w:rFonts w:cstheme="minorHAnsi"/>
              </w:rPr>
              <w:t>de 101 à 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57F8A58" w14:textId="3244AB0F" w:rsidR="00475765" w:rsidRPr="00A847B7" w:rsidRDefault="00475765" w:rsidP="00475765">
            <w:pPr>
              <w:rPr>
                <w:rFonts w:cstheme="minorHAnsi"/>
              </w:rPr>
            </w:pPr>
            <w:r w:rsidRPr="00A847B7">
              <w:rPr>
                <w:rFonts w:cstheme="minorHAnsi"/>
              </w:rPr>
              <w:t>4,5</w:t>
            </w:r>
          </w:p>
        </w:tc>
      </w:tr>
      <w:tr w:rsidR="00475765" w:rsidRPr="00A847B7" w14:paraId="74AB2840" w14:textId="77777777" w:rsidTr="00475765">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EB938A8" w14:textId="6F7AD671" w:rsidR="00475765" w:rsidRPr="00A847B7" w:rsidRDefault="00475765" w:rsidP="00475765">
            <w:pPr>
              <w:rPr>
                <w:rFonts w:cstheme="minorHAnsi"/>
              </w:rPr>
            </w:pPr>
            <w:r w:rsidRPr="00A847B7">
              <w:rPr>
                <w:rFonts w:cstheme="minorHAnsi"/>
              </w:rPr>
              <w:lastRenderedPageBreak/>
              <w:t>de 121 à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2BF6FCE" w14:textId="0F63221D" w:rsidR="00475765" w:rsidRPr="00A847B7" w:rsidRDefault="00475765" w:rsidP="00475765">
            <w:pPr>
              <w:rPr>
                <w:rFonts w:cstheme="minorHAnsi"/>
              </w:rPr>
            </w:pPr>
            <w:r w:rsidRPr="00A847B7">
              <w:rPr>
                <w:rFonts w:cstheme="minorHAnsi"/>
              </w:rPr>
              <w:t>6,5</w:t>
            </w:r>
          </w:p>
        </w:tc>
      </w:tr>
      <w:tr w:rsidR="00475765" w:rsidRPr="00A847B7" w14:paraId="3557D906" w14:textId="77777777" w:rsidTr="00475765">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5341BDB" w14:textId="56819B1F" w:rsidR="00475765" w:rsidRPr="00A847B7" w:rsidRDefault="00475765" w:rsidP="00475765">
            <w:pPr>
              <w:rPr>
                <w:rFonts w:cstheme="minorHAnsi"/>
              </w:rPr>
            </w:pPr>
            <w:r w:rsidRPr="00A847B7">
              <w:rPr>
                <w:rFonts w:cstheme="minorHAnsi"/>
              </w:rPr>
              <w:t>de 141 à 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B1D7D19" w14:textId="692066D5" w:rsidR="00475765" w:rsidRPr="00A847B7" w:rsidRDefault="00475765" w:rsidP="00475765">
            <w:pPr>
              <w:rPr>
                <w:rFonts w:cstheme="minorHAnsi"/>
              </w:rPr>
            </w:pPr>
            <w:r w:rsidRPr="00A847B7">
              <w:rPr>
                <w:rFonts w:cstheme="minorHAnsi"/>
              </w:rPr>
              <w:t>13</w:t>
            </w:r>
          </w:p>
        </w:tc>
      </w:tr>
      <w:tr w:rsidR="00475765" w:rsidRPr="00A847B7" w14:paraId="730FE1C4" w14:textId="77777777" w:rsidTr="00475765">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62D96E5" w14:textId="4528C7A8" w:rsidR="00475765" w:rsidRPr="00A847B7" w:rsidRDefault="00475765" w:rsidP="00475765">
            <w:pPr>
              <w:rPr>
                <w:rFonts w:cstheme="minorHAnsi"/>
              </w:rPr>
            </w:pPr>
            <w:r w:rsidRPr="00A847B7">
              <w:rPr>
                <w:rFonts w:cstheme="minorHAnsi"/>
              </w:rPr>
              <w:t>de 161 à 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E028F42" w14:textId="1B15F157" w:rsidR="00475765" w:rsidRPr="00A847B7" w:rsidRDefault="00475765" w:rsidP="00475765">
            <w:pPr>
              <w:rPr>
                <w:rFonts w:cstheme="minorHAnsi"/>
              </w:rPr>
            </w:pPr>
            <w:r w:rsidRPr="00A847B7">
              <w:rPr>
                <w:rFonts w:cstheme="minorHAnsi"/>
              </w:rPr>
              <w:t>19,5</w:t>
            </w:r>
          </w:p>
        </w:tc>
      </w:tr>
      <w:tr w:rsidR="00475765" w:rsidRPr="00A847B7" w14:paraId="10B1D4E6" w14:textId="77777777" w:rsidTr="00475765">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3550301" w14:textId="4880583D" w:rsidR="00475765" w:rsidRPr="00A847B7" w:rsidRDefault="00475765" w:rsidP="00475765">
            <w:pPr>
              <w:rPr>
                <w:rFonts w:cstheme="minorHAnsi"/>
              </w:rPr>
            </w:pPr>
            <w:r w:rsidRPr="00A847B7">
              <w:rPr>
                <w:rFonts w:cstheme="minorHAnsi"/>
              </w:rPr>
              <w:t>de 201 à 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F611F4C" w14:textId="33D86907" w:rsidR="00475765" w:rsidRPr="00A847B7" w:rsidRDefault="00475765" w:rsidP="00475765">
            <w:pPr>
              <w:rPr>
                <w:rFonts w:cstheme="minorHAnsi"/>
              </w:rPr>
            </w:pPr>
            <w:r w:rsidRPr="00A847B7">
              <w:rPr>
                <w:rFonts w:cstheme="minorHAnsi"/>
              </w:rPr>
              <w:t>23,5</w:t>
            </w:r>
          </w:p>
        </w:tc>
      </w:tr>
      <w:tr w:rsidR="00475765" w:rsidRPr="00A847B7" w14:paraId="19ED9D02" w14:textId="77777777" w:rsidTr="00475765">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1412585" w14:textId="7EC5FEB0" w:rsidR="00475765" w:rsidRPr="00A847B7" w:rsidRDefault="00475765" w:rsidP="00475765">
            <w:pPr>
              <w:rPr>
                <w:rFonts w:cstheme="minorHAnsi"/>
              </w:rPr>
            </w:pPr>
            <w:r w:rsidRPr="00A847B7">
              <w:rPr>
                <w:rFonts w:cstheme="minorHAnsi"/>
              </w:rPr>
              <w:t>supérieures ou égales à 251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B490802" w14:textId="104203E4" w:rsidR="00475765" w:rsidRPr="00A847B7" w:rsidRDefault="00475765" w:rsidP="00475765">
            <w:pPr>
              <w:rPr>
                <w:rFonts w:cstheme="minorHAnsi"/>
              </w:rPr>
            </w:pPr>
            <w:r w:rsidRPr="00A847B7">
              <w:rPr>
                <w:rFonts w:cstheme="minorHAnsi"/>
              </w:rPr>
              <w:t>29</w:t>
            </w:r>
          </w:p>
        </w:tc>
      </w:tr>
    </w:tbl>
    <w:p w14:paraId="778D488A" w14:textId="7AA4E2DA" w:rsidR="00475765" w:rsidRPr="00A847B7" w:rsidRDefault="00EE3302" w:rsidP="00475765">
      <w:pPr>
        <w:rPr>
          <w:rFonts w:cstheme="minorHAnsi"/>
        </w:rPr>
      </w:pPr>
      <w:r w:rsidRPr="00A847B7">
        <w:rPr>
          <w:rFonts w:cstheme="minorHAnsi"/>
        </w:rPr>
        <w:t xml:space="preserve">Enfin, </w:t>
      </w:r>
      <w:r w:rsidR="00183079" w:rsidRPr="00A847B7">
        <w:rPr>
          <w:rFonts w:cstheme="minorHAnsi"/>
        </w:rPr>
        <w:t xml:space="preserve">pour tous les autres véhicules, </w:t>
      </w:r>
      <w:r w:rsidRPr="00A847B7">
        <w:rPr>
          <w:rFonts w:cstheme="minorHAnsi"/>
        </w:rPr>
        <w:t>le tarif de cette taxe est égal, au montant déterminé en fonction de la puissance administrative, exprimée en chevaux administratifs, à partir du barème suivant :</w:t>
      </w:r>
    </w:p>
    <w:tbl>
      <w:tblPr>
        <w:tblW w:w="0" w:type="auto"/>
        <w:tblInd w:w="2041" w:type="dxa"/>
        <w:shd w:val="clear" w:color="auto" w:fill="FFFFFF"/>
        <w:tblCellMar>
          <w:left w:w="0" w:type="dxa"/>
          <w:right w:w="0" w:type="dxa"/>
        </w:tblCellMar>
        <w:tblLook w:val="04A0" w:firstRow="1" w:lastRow="0" w:firstColumn="1" w:lastColumn="0" w:noHBand="0" w:noVBand="1"/>
      </w:tblPr>
      <w:tblGrid>
        <w:gridCol w:w="2422"/>
        <w:gridCol w:w="1736"/>
      </w:tblGrid>
      <w:tr w:rsidR="008858C3" w:rsidRPr="00A847B7" w14:paraId="02122037" w14:textId="77777777" w:rsidTr="008858C3">
        <w:tc>
          <w:tcPr>
            <w:tcW w:w="0" w:type="auto"/>
            <w:tcBorders>
              <w:top w:val="single" w:sz="6" w:space="0" w:color="000000"/>
              <w:left w:val="single" w:sz="6" w:space="0" w:color="000000"/>
              <w:bottom w:val="single" w:sz="6" w:space="0" w:color="000000"/>
              <w:right w:val="single" w:sz="6" w:space="0" w:color="000000"/>
            </w:tcBorders>
            <w:shd w:val="clear" w:color="auto" w:fill="297FD5" w:themeFill="accent3"/>
            <w:tcMar>
              <w:top w:w="30" w:type="dxa"/>
              <w:left w:w="75" w:type="dxa"/>
              <w:bottom w:w="30" w:type="dxa"/>
              <w:right w:w="75" w:type="dxa"/>
            </w:tcMar>
            <w:hideMark/>
          </w:tcPr>
          <w:p w14:paraId="2E9BA146" w14:textId="77777777" w:rsidR="008858C3" w:rsidRPr="00A847B7" w:rsidRDefault="008858C3" w:rsidP="008858C3">
            <w:pPr>
              <w:jc w:val="center"/>
              <w:rPr>
                <w:rFonts w:cstheme="minorHAnsi"/>
                <w:b/>
                <w:bCs/>
                <w:color w:val="FFFFFF" w:themeColor="background1"/>
                <w:sz w:val="22"/>
                <w:szCs w:val="22"/>
              </w:rPr>
            </w:pPr>
            <w:r w:rsidRPr="00A847B7">
              <w:rPr>
                <w:rFonts w:cstheme="minorHAnsi"/>
                <w:b/>
                <w:bCs/>
                <w:color w:val="FFFFFF" w:themeColor="background1"/>
                <w:sz w:val="22"/>
                <w:szCs w:val="22"/>
              </w:rPr>
              <w:t>Puissance administrative</w:t>
            </w:r>
            <w:r w:rsidRPr="00A847B7">
              <w:rPr>
                <w:rFonts w:cstheme="minorHAnsi"/>
                <w:b/>
                <w:bCs/>
                <w:color w:val="FFFFFF" w:themeColor="background1"/>
                <w:sz w:val="22"/>
                <w:szCs w:val="22"/>
              </w:rPr>
              <w:br/>
              <w:t>(en CV)</w:t>
            </w:r>
          </w:p>
        </w:tc>
        <w:tc>
          <w:tcPr>
            <w:tcW w:w="0" w:type="auto"/>
            <w:tcBorders>
              <w:top w:val="single" w:sz="6" w:space="0" w:color="000000"/>
              <w:left w:val="single" w:sz="6" w:space="0" w:color="000000"/>
              <w:bottom w:val="single" w:sz="6" w:space="0" w:color="000000"/>
              <w:right w:val="single" w:sz="6" w:space="0" w:color="000000"/>
            </w:tcBorders>
            <w:shd w:val="clear" w:color="auto" w:fill="297FD5" w:themeFill="accent3"/>
            <w:tcMar>
              <w:top w:w="30" w:type="dxa"/>
              <w:left w:w="75" w:type="dxa"/>
              <w:bottom w:w="30" w:type="dxa"/>
              <w:right w:w="75" w:type="dxa"/>
            </w:tcMar>
            <w:hideMark/>
          </w:tcPr>
          <w:p w14:paraId="2386B673" w14:textId="77777777" w:rsidR="008858C3" w:rsidRPr="00A847B7" w:rsidRDefault="008858C3" w:rsidP="008858C3">
            <w:pPr>
              <w:jc w:val="center"/>
              <w:rPr>
                <w:rFonts w:cstheme="minorHAnsi"/>
                <w:b/>
                <w:bCs/>
                <w:color w:val="FFFFFF" w:themeColor="background1"/>
                <w:sz w:val="22"/>
                <w:szCs w:val="22"/>
              </w:rPr>
            </w:pPr>
            <w:r w:rsidRPr="00A847B7">
              <w:rPr>
                <w:rFonts w:cstheme="minorHAnsi"/>
                <w:b/>
                <w:bCs/>
                <w:color w:val="FFFFFF" w:themeColor="background1"/>
                <w:sz w:val="22"/>
                <w:szCs w:val="22"/>
              </w:rPr>
              <w:t>Tarif par véhicule</w:t>
            </w:r>
            <w:r w:rsidRPr="00A847B7">
              <w:rPr>
                <w:rFonts w:cstheme="minorHAnsi"/>
                <w:b/>
                <w:bCs/>
                <w:color w:val="FFFFFF" w:themeColor="background1"/>
                <w:sz w:val="22"/>
                <w:szCs w:val="22"/>
              </w:rPr>
              <w:br/>
              <w:t>(en euros)</w:t>
            </w:r>
          </w:p>
        </w:tc>
      </w:tr>
      <w:tr w:rsidR="008858C3" w:rsidRPr="00A847B7" w14:paraId="056D3C8F" w14:textId="77777777" w:rsidTr="008858C3">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C6A8792" w14:textId="4F7B1A7A" w:rsidR="008858C3" w:rsidRPr="00A847B7" w:rsidRDefault="008858C3" w:rsidP="008858C3">
            <w:pPr>
              <w:rPr>
                <w:rFonts w:cstheme="minorHAnsi"/>
              </w:rPr>
            </w:pPr>
            <w:r w:rsidRPr="00A847B7">
              <w:rPr>
                <w:rFonts w:cstheme="minorHAnsi"/>
              </w:rPr>
              <w:t>inférieure ou égale à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DDF983F" w14:textId="5D86BC95" w:rsidR="008858C3" w:rsidRPr="00A847B7" w:rsidRDefault="008858C3" w:rsidP="008858C3">
            <w:pPr>
              <w:rPr>
                <w:rFonts w:cstheme="minorHAnsi"/>
              </w:rPr>
            </w:pPr>
            <w:r w:rsidRPr="00A847B7">
              <w:rPr>
                <w:rFonts w:cstheme="minorHAnsi"/>
              </w:rPr>
              <w:t>750</w:t>
            </w:r>
          </w:p>
        </w:tc>
      </w:tr>
      <w:tr w:rsidR="008858C3" w:rsidRPr="00A847B7" w14:paraId="1956DF0C" w14:textId="77777777" w:rsidTr="008858C3">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AB8F07F" w14:textId="40B3961C" w:rsidR="008858C3" w:rsidRPr="00A847B7" w:rsidRDefault="008858C3" w:rsidP="008858C3">
            <w:pPr>
              <w:rPr>
                <w:rFonts w:cstheme="minorHAnsi"/>
              </w:rPr>
            </w:pPr>
            <w:r w:rsidRPr="00A847B7">
              <w:rPr>
                <w:rFonts w:cstheme="minorHAnsi"/>
              </w:rPr>
              <w:t>de 4 à 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3EF1AF8" w14:textId="14FD7A7F" w:rsidR="008858C3" w:rsidRPr="00A847B7" w:rsidRDefault="008858C3" w:rsidP="008858C3">
            <w:pPr>
              <w:rPr>
                <w:rFonts w:cstheme="minorHAnsi"/>
              </w:rPr>
            </w:pPr>
            <w:r w:rsidRPr="00A847B7">
              <w:rPr>
                <w:rFonts w:cstheme="minorHAnsi"/>
              </w:rPr>
              <w:t>1 400</w:t>
            </w:r>
          </w:p>
        </w:tc>
      </w:tr>
      <w:tr w:rsidR="008858C3" w:rsidRPr="00A847B7" w14:paraId="40AF4C79" w14:textId="77777777" w:rsidTr="008858C3">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4B77DE4" w14:textId="44927734" w:rsidR="008858C3" w:rsidRPr="00A847B7" w:rsidRDefault="008858C3" w:rsidP="008858C3">
            <w:pPr>
              <w:rPr>
                <w:rFonts w:cstheme="minorHAnsi"/>
              </w:rPr>
            </w:pPr>
            <w:r w:rsidRPr="00A847B7">
              <w:rPr>
                <w:rFonts w:cstheme="minorHAnsi"/>
              </w:rPr>
              <w:t>de 7 à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E6565F2" w14:textId="5B510FDC" w:rsidR="008858C3" w:rsidRPr="00A847B7" w:rsidRDefault="008858C3" w:rsidP="008858C3">
            <w:pPr>
              <w:rPr>
                <w:rFonts w:cstheme="minorHAnsi"/>
              </w:rPr>
            </w:pPr>
            <w:r w:rsidRPr="00A847B7">
              <w:rPr>
                <w:rFonts w:cstheme="minorHAnsi"/>
              </w:rPr>
              <w:t>3 000</w:t>
            </w:r>
          </w:p>
        </w:tc>
      </w:tr>
      <w:tr w:rsidR="008858C3" w:rsidRPr="00A847B7" w14:paraId="2BF43568" w14:textId="77777777" w:rsidTr="008858C3">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01592EE" w14:textId="41F3E739" w:rsidR="008858C3" w:rsidRPr="00A847B7" w:rsidRDefault="008858C3" w:rsidP="008858C3">
            <w:pPr>
              <w:rPr>
                <w:rFonts w:cstheme="minorHAnsi"/>
              </w:rPr>
            </w:pPr>
            <w:r w:rsidRPr="00A847B7">
              <w:rPr>
                <w:rFonts w:cstheme="minorHAnsi"/>
              </w:rPr>
              <w:t>de 11 à 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6B2672F" w14:textId="4FDA4DD4" w:rsidR="008858C3" w:rsidRPr="00A847B7" w:rsidRDefault="008858C3" w:rsidP="008858C3">
            <w:pPr>
              <w:rPr>
                <w:rFonts w:cstheme="minorHAnsi"/>
              </w:rPr>
            </w:pPr>
            <w:r w:rsidRPr="00A847B7">
              <w:rPr>
                <w:rFonts w:cstheme="minorHAnsi"/>
              </w:rPr>
              <w:t>3 600</w:t>
            </w:r>
          </w:p>
        </w:tc>
      </w:tr>
      <w:tr w:rsidR="008858C3" w:rsidRPr="00A847B7" w14:paraId="2892AD24" w14:textId="77777777" w:rsidTr="008858C3">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2B1A142" w14:textId="44FA4DAC" w:rsidR="008858C3" w:rsidRPr="00A847B7" w:rsidRDefault="008858C3" w:rsidP="008858C3">
            <w:pPr>
              <w:rPr>
                <w:rFonts w:cstheme="minorHAnsi"/>
              </w:rPr>
            </w:pPr>
            <w:r w:rsidRPr="00A847B7">
              <w:rPr>
                <w:rFonts w:cstheme="minorHAnsi"/>
              </w:rPr>
              <w:t>supérieure ou égale à 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3844FF3" w14:textId="04E88EDE" w:rsidR="008858C3" w:rsidRPr="00A847B7" w:rsidRDefault="008858C3" w:rsidP="008858C3">
            <w:pPr>
              <w:rPr>
                <w:rFonts w:cstheme="minorHAnsi"/>
              </w:rPr>
            </w:pPr>
            <w:r w:rsidRPr="00A847B7">
              <w:rPr>
                <w:rFonts w:cstheme="minorHAnsi"/>
              </w:rPr>
              <w:t>4 500</w:t>
            </w:r>
          </w:p>
        </w:tc>
      </w:tr>
    </w:tbl>
    <w:p w14:paraId="2BC8D014" w14:textId="51E35ACB" w:rsidR="0077594F" w:rsidRPr="00A847B7" w:rsidRDefault="0077594F" w:rsidP="004804D4">
      <w:pPr>
        <w:rPr>
          <w:rFonts w:cstheme="minorHAnsi"/>
        </w:rPr>
      </w:pPr>
    </w:p>
    <w:p w14:paraId="2DA1D88D" w14:textId="33761F55" w:rsidR="00937F2D" w:rsidRDefault="006533EA" w:rsidP="006533EA">
      <w:pPr>
        <w:pStyle w:val="Paragraphedeliste"/>
        <w:numPr>
          <w:ilvl w:val="0"/>
          <w:numId w:val="110"/>
        </w:numPr>
        <w:rPr>
          <w:rFonts w:cstheme="minorHAnsi"/>
        </w:rPr>
      </w:pPr>
      <w:r w:rsidRPr="00937F2D">
        <w:rPr>
          <w:rFonts w:cstheme="minorHAnsi"/>
          <w:b/>
          <w:bCs/>
        </w:rPr>
        <w:t>Exonérations</w:t>
      </w:r>
    </w:p>
    <w:p w14:paraId="46EAC28F" w14:textId="57FD5B3B" w:rsidR="006533EA" w:rsidRPr="00A847B7" w:rsidRDefault="00955DA0" w:rsidP="006533EA">
      <w:pPr>
        <w:rPr>
          <w:rFonts w:cstheme="minorHAnsi"/>
        </w:rPr>
      </w:pPr>
      <w:r w:rsidRPr="00A847B7">
        <w:rPr>
          <w:rFonts w:cstheme="minorHAnsi"/>
        </w:rPr>
        <w:t>Les véhicules suivants sont exonérés de taxe annuelle sur les émissions de dioxyde de carbone :</w:t>
      </w:r>
    </w:p>
    <w:p w14:paraId="1560F50B" w14:textId="27AB5335" w:rsidR="00955DA0" w:rsidRPr="00937F2D" w:rsidRDefault="00955DA0" w:rsidP="00EE0687">
      <w:pPr>
        <w:pStyle w:val="Paragraphedeliste"/>
        <w:numPr>
          <w:ilvl w:val="0"/>
          <w:numId w:val="318"/>
        </w:numPr>
        <w:rPr>
          <w:rFonts w:cstheme="minorHAnsi"/>
        </w:rPr>
      </w:pPr>
      <w:r w:rsidRPr="00937F2D">
        <w:rPr>
          <w:rFonts w:cstheme="minorHAnsi"/>
        </w:rPr>
        <w:t>les véhicules accessibles en fauteuil roulant ;</w:t>
      </w:r>
    </w:p>
    <w:p w14:paraId="43A55706" w14:textId="4799DD3E" w:rsidR="00955DA0" w:rsidRPr="00937F2D" w:rsidRDefault="00955DA0" w:rsidP="00EE0687">
      <w:pPr>
        <w:pStyle w:val="Paragraphedeliste"/>
        <w:numPr>
          <w:ilvl w:val="0"/>
          <w:numId w:val="318"/>
        </w:numPr>
        <w:rPr>
          <w:rFonts w:cstheme="minorHAnsi"/>
        </w:rPr>
      </w:pPr>
      <w:r w:rsidRPr="00937F2D">
        <w:rPr>
          <w:rFonts w:cstheme="minorHAnsi"/>
        </w:rPr>
        <w:t>les véhicules exclusivement affectés par le redevable à la location ;</w:t>
      </w:r>
    </w:p>
    <w:p w14:paraId="39086B94" w14:textId="5D14FC59" w:rsidR="00955DA0" w:rsidRPr="00937F2D" w:rsidRDefault="00955DA0" w:rsidP="00EE0687">
      <w:pPr>
        <w:pStyle w:val="Paragraphedeliste"/>
        <w:numPr>
          <w:ilvl w:val="0"/>
          <w:numId w:val="318"/>
        </w:numPr>
        <w:rPr>
          <w:rFonts w:cstheme="minorHAnsi"/>
        </w:rPr>
      </w:pPr>
      <w:r w:rsidRPr="00937F2D">
        <w:rPr>
          <w:rFonts w:cstheme="minorHAnsi"/>
        </w:rPr>
        <w:t>les véhicules pris en location par le redevable sur une période d’au plus un mois civil ou 30 jours consécutifs ;</w:t>
      </w:r>
    </w:p>
    <w:p w14:paraId="1313E3E9" w14:textId="6C32E571" w:rsidR="00955DA0" w:rsidRPr="00937F2D" w:rsidRDefault="00955DA0" w:rsidP="00EE0687">
      <w:pPr>
        <w:pStyle w:val="Paragraphedeliste"/>
        <w:numPr>
          <w:ilvl w:val="0"/>
          <w:numId w:val="318"/>
        </w:numPr>
        <w:rPr>
          <w:rFonts w:cstheme="minorHAnsi"/>
        </w:rPr>
      </w:pPr>
      <w:r w:rsidRPr="00937F2D">
        <w:rPr>
          <w:rFonts w:cstheme="minorHAnsi"/>
        </w:rPr>
        <w:t xml:space="preserve">les véhicules exclusivement affectés par le redevable à la mise à disposition gratuite et temporaire de ses clients en remplacement de leur véhicule immobilisé </w:t>
      </w:r>
      <w:r w:rsidR="005152AB" w:rsidRPr="00937F2D">
        <w:rPr>
          <w:rFonts w:cstheme="minorHAnsi"/>
        </w:rPr>
        <w:t>(véhicules de courtoisie)</w:t>
      </w:r>
      <w:r w:rsidRPr="00937F2D">
        <w:rPr>
          <w:rFonts w:cstheme="minorHAnsi"/>
        </w:rPr>
        <w:t xml:space="preserve"> ;</w:t>
      </w:r>
    </w:p>
    <w:p w14:paraId="7D1B1EA2" w14:textId="55DEA800" w:rsidR="00955DA0" w:rsidRPr="00937F2D" w:rsidRDefault="00955DA0" w:rsidP="00EE0687">
      <w:pPr>
        <w:pStyle w:val="Paragraphedeliste"/>
        <w:numPr>
          <w:ilvl w:val="0"/>
          <w:numId w:val="318"/>
        </w:numPr>
        <w:rPr>
          <w:rFonts w:cstheme="minorHAnsi"/>
        </w:rPr>
      </w:pPr>
      <w:r w:rsidRPr="00937F2D">
        <w:rPr>
          <w:rFonts w:cstheme="minorHAnsi"/>
        </w:rPr>
        <w:t>les véhicules utilisés pour le transport public de personnes ;</w:t>
      </w:r>
    </w:p>
    <w:p w14:paraId="14732783" w14:textId="05DB8A67" w:rsidR="00955DA0" w:rsidRPr="00937F2D" w:rsidRDefault="00955DA0" w:rsidP="00EE0687">
      <w:pPr>
        <w:pStyle w:val="Paragraphedeliste"/>
        <w:numPr>
          <w:ilvl w:val="0"/>
          <w:numId w:val="318"/>
        </w:numPr>
        <w:rPr>
          <w:rFonts w:cstheme="minorHAnsi"/>
        </w:rPr>
      </w:pPr>
      <w:r w:rsidRPr="00937F2D">
        <w:rPr>
          <w:rFonts w:cstheme="minorHAnsi"/>
        </w:rPr>
        <w:t>les véhicules utilisés pour les besoins des activités agricoles ou forestières ;</w:t>
      </w:r>
    </w:p>
    <w:p w14:paraId="20BF8D68" w14:textId="41607CD7" w:rsidR="00955DA0" w:rsidRPr="00937F2D" w:rsidRDefault="00955DA0" w:rsidP="00EE0687">
      <w:pPr>
        <w:pStyle w:val="Paragraphedeliste"/>
        <w:numPr>
          <w:ilvl w:val="0"/>
          <w:numId w:val="318"/>
        </w:numPr>
        <w:rPr>
          <w:rFonts w:cstheme="minorHAnsi"/>
        </w:rPr>
      </w:pPr>
      <w:r w:rsidRPr="00937F2D">
        <w:rPr>
          <w:rFonts w:cstheme="minorHAnsi"/>
        </w:rPr>
        <w:t>les véhicules utilisés pour l’enseignement de la conduite ;</w:t>
      </w:r>
    </w:p>
    <w:p w14:paraId="6FA086D3" w14:textId="3C26B3F9" w:rsidR="00955DA0" w:rsidRPr="00937F2D" w:rsidRDefault="00955DA0" w:rsidP="00EE0687">
      <w:pPr>
        <w:pStyle w:val="Paragraphedeliste"/>
        <w:numPr>
          <w:ilvl w:val="0"/>
          <w:numId w:val="318"/>
        </w:numPr>
        <w:rPr>
          <w:rFonts w:cstheme="minorHAnsi"/>
        </w:rPr>
      </w:pPr>
      <w:r w:rsidRPr="00937F2D">
        <w:rPr>
          <w:rFonts w:cstheme="minorHAnsi"/>
        </w:rPr>
        <w:t>les véhicules utilisés pour l’enseignement du pilotage ou les compétitions sportives ;</w:t>
      </w:r>
    </w:p>
    <w:p w14:paraId="439AF05B" w14:textId="2C3AADEA" w:rsidR="00955DA0" w:rsidRPr="00937F2D" w:rsidRDefault="00955DA0" w:rsidP="00EE0687">
      <w:pPr>
        <w:pStyle w:val="Paragraphedeliste"/>
        <w:numPr>
          <w:ilvl w:val="0"/>
          <w:numId w:val="318"/>
        </w:numPr>
        <w:rPr>
          <w:rFonts w:cstheme="minorHAnsi"/>
        </w:rPr>
      </w:pPr>
      <w:r w:rsidRPr="00937F2D">
        <w:rPr>
          <w:rFonts w:cstheme="minorHAnsi"/>
        </w:rPr>
        <w:t>les véhicules utilisés pour</w:t>
      </w:r>
      <w:r w:rsidR="001617E5" w:rsidRPr="00937F2D">
        <w:rPr>
          <w:rFonts w:cstheme="minorHAnsi"/>
        </w:rPr>
        <w:t xml:space="preserve"> :</w:t>
      </w:r>
    </w:p>
    <w:p w14:paraId="1A08C004" w14:textId="0212094C" w:rsidR="001617E5" w:rsidRPr="00A847B7" w:rsidRDefault="001617E5" w:rsidP="00EE0687">
      <w:pPr>
        <w:pStyle w:val="Paragraphedeliste"/>
        <w:numPr>
          <w:ilvl w:val="2"/>
          <w:numId w:val="113"/>
        </w:numPr>
        <w:rPr>
          <w:rFonts w:cstheme="minorHAnsi"/>
        </w:rPr>
      </w:pPr>
      <w:r w:rsidRPr="00A847B7">
        <w:rPr>
          <w:rFonts w:cstheme="minorHAnsi"/>
        </w:rPr>
        <w:t xml:space="preserve">les prestations de services et les livraisons de biens qui leur sont étroitement liées fournies à leurs membres, moyennant une cotisation fixée conformément </w:t>
      </w:r>
      <w:r w:rsidRPr="00A847B7">
        <w:rPr>
          <w:rFonts w:cstheme="minorHAnsi"/>
        </w:rPr>
        <w:lastRenderedPageBreak/>
        <w:t>aux statuts, par des organismes légalement constitués agissant sans but lucratif dont la gestion est désintéressée et qui poursuivent des objectifs de nature philosophique, religieuse, politique, patriotique, civique ou syndicale, dans la mesure où ces opérations se rattachent directement à la défense collective des intérêts moraux ou matériels des membres</w:t>
      </w:r>
      <w:r w:rsidR="008F17DC" w:rsidRPr="00A847B7">
        <w:rPr>
          <w:rFonts w:cstheme="minorHAnsi"/>
        </w:rPr>
        <w:t> ;</w:t>
      </w:r>
    </w:p>
    <w:p w14:paraId="08FB623C" w14:textId="4D179C04" w:rsidR="008F17DC" w:rsidRPr="00A847B7" w:rsidRDefault="008F17DC" w:rsidP="00EE0687">
      <w:pPr>
        <w:pStyle w:val="Paragraphedeliste"/>
        <w:numPr>
          <w:ilvl w:val="2"/>
          <w:numId w:val="113"/>
        </w:numPr>
        <w:rPr>
          <w:rFonts w:cstheme="minorHAnsi"/>
        </w:rPr>
      </w:pPr>
      <w:r w:rsidRPr="00A847B7">
        <w:rPr>
          <w:rFonts w:cstheme="minorHAnsi"/>
        </w:rPr>
        <w:t>ou les besoins des opérations des organismes d’utilité générale ;</w:t>
      </w:r>
    </w:p>
    <w:p w14:paraId="1DC91F38" w14:textId="105319D5" w:rsidR="008F17DC" w:rsidRPr="00A847B7" w:rsidRDefault="000D7012" w:rsidP="00EE0687">
      <w:pPr>
        <w:pStyle w:val="Paragraphedeliste"/>
        <w:numPr>
          <w:ilvl w:val="0"/>
          <w:numId w:val="114"/>
        </w:numPr>
        <w:rPr>
          <w:rFonts w:cstheme="minorHAnsi"/>
        </w:rPr>
      </w:pPr>
      <w:r w:rsidRPr="00A847B7">
        <w:rPr>
          <w:rFonts w:cstheme="minorHAnsi"/>
        </w:rPr>
        <w:t xml:space="preserve">les véhicules utilisés par les </w:t>
      </w:r>
      <w:r w:rsidR="00AB102F" w:rsidRPr="00A847B7">
        <w:rPr>
          <w:rFonts w:cstheme="minorHAnsi"/>
        </w:rPr>
        <w:t>entrepreneurs individuels</w:t>
      </w:r>
      <w:r w:rsidR="00EE1910" w:rsidRPr="00A847B7">
        <w:rPr>
          <w:rFonts w:cstheme="minorHAnsi"/>
        </w:rPr>
        <w:t> ;</w:t>
      </w:r>
    </w:p>
    <w:p w14:paraId="5F12CCA8" w14:textId="547500A0" w:rsidR="00EE1910" w:rsidRPr="00A847B7" w:rsidRDefault="00EE1910" w:rsidP="00EE0687">
      <w:pPr>
        <w:pStyle w:val="Paragraphedeliste"/>
        <w:numPr>
          <w:ilvl w:val="0"/>
          <w:numId w:val="114"/>
        </w:numPr>
        <w:rPr>
          <w:rFonts w:cstheme="minorHAnsi"/>
        </w:rPr>
      </w:pPr>
      <w:r w:rsidRPr="00A847B7">
        <w:rPr>
          <w:rFonts w:cstheme="minorHAnsi"/>
        </w:rPr>
        <w:t>les véhicules dont la source d’énergie est exclusivement l’électricité, l’hydrogène ou une combinaison des deux</w:t>
      </w:r>
      <w:r w:rsidR="00F24082" w:rsidRPr="00A847B7">
        <w:rPr>
          <w:rFonts w:cstheme="minorHAnsi"/>
        </w:rPr>
        <w:t> ;</w:t>
      </w:r>
    </w:p>
    <w:p w14:paraId="27A5CA86" w14:textId="76593502" w:rsidR="00F24082" w:rsidRPr="00A847B7" w:rsidRDefault="00F24082" w:rsidP="00EE0687">
      <w:pPr>
        <w:pStyle w:val="Paragraphedeliste"/>
        <w:numPr>
          <w:ilvl w:val="0"/>
          <w:numId w:val="114"/>
        </w:numPr>
        <w:rPr>
          <w:rFonts w:cstheme="minorHAnsi"/>
        </w:rPr>
      </w:pPr>
      <w:r w:rsidRPr="00A847B7">
        <w:rPr>
          <w:rFonts w:cstheme="minorHAnsi"/>
        </w:rPr>
        <w:t>les véhicules qui répondent aux conditions cumulatives suivantes :</w:t>
      </w:r>
    </w:p>
    <w:p w14:paraId="57537D12" w14:textId="2123C813" w:rsidR="00F24082" w:rsidRPr="00A847B7" w:rsidRDefault="00AA6725" w:rsidP="00EE0687">
      <w:pPr>
        <w:pStyle w:val="Paragraphedeliste"/>
        <w:numPr>
          <w:ilvl w:val="1"/>
          <w:numId w:val="114"/>
        </w:numPr>
        <w:rPr>
          <w:rFonts w:cstheme="minorHAnsi"/>
        </w:rPr>
      </w:pPr>
      <w:r w:rsidRPr="00A847B7">
        <w:rPr>
          <w:rFonts w:cstheme="minorHAnsi"/>
        </w:rPr>
        <w:t>l</w:t>
      </w:r>
      <w:r w:rsidR="00F24082" w:rsidRPr="00A847B7">
        <w:rPr>
          <w:rFonts w:cstheme="minorHAnsi"/>
        </w:rPr>
        <w:t>a source d’énergie combine :</w:t>
      </w:r>
    </w:p>
    <w:p w14:paraId="74BF3739" w14:textId="52C9986B" w:rsidR="00AA6725" w:rsidRPr="00A847B7" w:rsidRDefault="00AA6725" w:rsidP="00EE0687">
      <w:pPr>
        <w:pStyle w:val="Paragraphedeliste"/>
        <w:numPr>
          <w:ilvl w:val="2"/>
          <w:numId w:val="114"/>
        </w:numPr>
        <w:rPr>
          <w:rFonts w:cstheme="minorHAnsi"/>
        </w:rPr>
      </w:pPr>
      <w:r w:rsidRPr="00A847B7">
        <w:rPr>
          <w:rFonts w:cstheme="minorHAnsi"/>
        </w:rPr>
        <w:t>soit, d’une part, l’électricité ou l’hydrogène et, d’autre part, le gaz naturel, le gaz de pétrole liquéfié, l’essence ou le superéthanol E85 ;</w:t>
      </w:r>
    </w:p>
    <w:p w14:paraId="1AE9117F" w14:textId="26FBD166" w:rsidR="00AA6725" w:rsidRPr="00A847B7" w:rsidRDefault="00AA6725" w:rsidP="00EE0687">
      <w:pPr>
        <w:pStyle w:val="Paragraphedeliste"/>
        <w:numPr>
          <w:ilvl w:val="2"/>
          <w:numId w:val="114"/>
        </w:numPr>
        <w:rPr>
          <w:rFonts w:cstheme="minorHAnsi"/>
        </w:rPr>
      </w:pPr>
      <w:r w:rsidRPr="00A847B7">
        <w:rPr>
          <w:rFonts w:cstheme="minorHAnsi"/>
        </w:rPr>
        <w:t>soit, d’une part, le gaz naturel ou le gaz de pétrole liquéfié et, d’autre part, l’essence ou le superéthanol E85 ;</w:t>
      </w:r>
    </w:p>
    <w:p w14:paraId="259CF572" w14:textId="606743DE" w:rsidR="004D62B4" w:rsidRPr="00A847B7" w:rsidRDefault="004D62B4" w:rsidP="00EE0687">
      <w:pPr>
        <w:pStyle w:val="Paragraphedeliste"/>
        <w:numPr>
          <w:ilvl w:val="1"/>
          <w:numId w:val="114"/>
        </w:numPr>
        <w:rPr>
          <w:rFonts w:cstheme="minorHAnsi"/>
        </w:rPr>
      </w:pPr>
      <w:r w:rsidRPr="00A847B7">
        <w:rPr>
          <w:rFonts w:cstheme="minorHAnsi"/>
        </w:rPr>
        <w:t>l’une des deux conditions suivantes est remplie</w:t>
      </w:r>
      <w:r w:rsidR="00B5428F" w:rsidRPr="00A847B7">
        <w:rPr>
          <w:rFonts w:cstheme="minorHAnsi"/>
        </w:rPr>
        <w:t> :</w:t>
      </w:r>
    </w:p>
    <w:p w14:paraId="66044D7E" w14:textId="77777777" w:rsidR="00311A7D" w:rsidRDefault="005221D2" w:rsidP="00EE0687">
      <w:pPr>
        <w:pStyle w:val="Paragraphedeliste"/>
        <w:numPr>
          <w:ilvl w:val="2"/>
          <w:numId w:val="114"/>
        </w:numPr>
        <w:rPr>
          <w:rFonts w:cstheme="minorHAnsi"/>
        </w:rPr>
      </w:pPr>
      <w:r w:rsidRPr="00A847B7">
        <w:rPr>
          <w:rFonts w:cstheme="minorHAnsi"/>
        </w:rPr>
        <w:t xml:space="preserve">pour les véhicules relevant du nouveau dispositif d’immatriculation, les émissions de dioxyde de carbone n’excèdent pas 60 g/km ; </w:t>
      </w:r>
      <w:r w:rsidR="001207D9" w:rsidRPr="00A847B7">
        <w:rPr>
          <w:rFonts w:cstheme="minorHAnsi"/>
        </w:rPr>
        <w:t>pour les véhicules ne relevant pas du nouveau dispositif d’immatriculation, ayant fait l’objet d’une réception européenne, immatriculés pour la première fois à compter du 1</w:t>
      </w:r>
      <w:r w:rsidR="001207D9" w:rsidRPr="00A847B7">
        <w:rPr>
          <w:rFonts w:cstheme="minorHAnsi"/>
          <w:vertAlign w:val="superscript"/>
        </w:rPr>
        <w:t>er</w:t>
      </w:r>
      <w:r w:rsidR="001207D9" w:rsidRPr="00A847B7">
        <w:rPr>
          <w:rFonts w:cstheme="minorHAnsi"/>
        </w:rPr>
        <w:t xml:space="preserve"> juin 2004 et qui n’étaient pas utilisés par le redevable avant le 1</w:t>
      </w:r>
      <w:r w:rsidR="001207D9" w:rsidRPr="00A847B7">
        <w:rPr>
          <w:rFonts w:cstheme="minorHAnsi"/>
          <w:vertAlign w:val="superscript"/>
        </w:rPr>
        <w:t>er</w:t>
      </w:r>
      <w:r w:rsidR="001207D9" w:rsidRPr="00A847B7">
        <w:rPr>
          <w:rFonts w:cstheme="minorHAnsi"/>
        </w:rPr>
        <w:t xml:space="preserve"> janvier 2006</w:t>
      </w:r>
      <w:r w:rsidR="00BF5142" w:rsidRPr="00A847B7">
        <w:rPr>
          <w:rFonts w:cstheme="minorHAnsi"/>
        </w:rPr>
        <w:t>, elles n’excèdent pas 50 g/km ; pour tous les autres véhicules, la puissance administrative n’excède pas 3 chevaux administratifs ;</w:t>
      </w:r>
    </w:p>
    <w:p w14:paraId="04A5CBC1" w14:textId="0249D886" w:rsidR="008B56D5" w:rsidRPr="00311A7D" w:rsidRDefault="00D534B7" w:rsidP="00EE0687">
      <w:pPr>
        <w:pStyle w:val="Paragraphedeliste"/>
        <w:numPr>
          <w:ilvl w:val="2"/>
          <w:numId w:val="114"/>
        </w:numPr>
        <w:rPr>
          <w:rFonts w:cstheme="minorHAnsi"/>
        </w:rPr>
      </w:pPr>
      <w:r w:rsidRPr="00311A7D">
        <w:rPr>
          <w:rFonts w:cstheme="minorHAnsi"/>
        </w:rPr>
        <w:t>les émissions de dioxyde de carbone ou la puissance administrative n’excèdent pas le double des seuils</w:t>
      </w:r>
      <w:r w:rsidR="008B56D5" w:rsidRPr="00311A7D">
        <w:rPr>
          <w:rFonts w:cstheme="minorHAnsi"/>
        </w:rPr>
        <w:t xml:space="preserve"> mentionnés plus haut, et l’ancienneté, déterminée à partir de sa date de 1</w:t>
      </w:r>
      <w:r w:rsidR="008B56D5" w:rsidRPr="00311A7D">
        <w:rPr>
          <w:rFonts w:cstheme="minorHAnsi"/>
          <w:vertAlign w:val="superscript"/>
        </w:rPr>
        <w:t>ère</w:t>
      </w:r>
      <w:r w:rsidR="008B56D5" w:rsidRPr="00311A7D">
        <w:rPr>
          <w:rFonts w:cstheme="minorHAnsi"/>
        </w:rPr>
        <w:t xml:space="preserve"> immatriculation, n’excède pas 3 années.</w:t>
      </w:r>
    </w:p>
    <w:p w14:paraId="379246D4" w14:textId="1FF68BD7" w:rsidR="008B56D5" w:rsidRDefault="007570FF" w:rsidP="00EE0687">
      <w:pPr>
        <w:pStyle w:val="Paragraphedeliste"/>
        <w:numPr>
          <w:ilvl w:val="0"/>
          <w:numId w:val="9"/>
        </w:numPr>
        <w:rPr>
          <w:rFonts w:cstheme="minorHAnsi"/>
          <w:b/>
          <w:bCs/>
          <w:i/>
          <w:iCs/>
          <w:u w:val="single"/>
        </w:rPr>
      </w:pPr>
      <w:r w:rsidRPr="00A847B7">
        <w:rPr>
          <w:rFonts w:cstheme="minorHAnsi"/>
          <w:b/>
          <w:bCs/>
          <w:i/>
          <w:iCs/>
          <w:u w:val="single"/>
        </w:rPr>
        <w:t>Règles particulières à la taxe annuelle relative aux émissions de polluants atmosphériques</w:t>
      </w:r>
    </w:p>
    <w:p w14:paraId="505F6B2E" w14:textId="77777777" w:rsidR="007B229A" w:rsidRPr="00A847B7" w:rsidRDefault="007B229A" w:rsidP="005A54C4">
      <w:pPr>
        <w:pStyle w:val="Paragraphedeliste"/>
        <w:rPr>
          <w:rFonts w:cstheme="minorHAnsi"/>
          <w:b/>
          <w:bCs/>
          <w:i/>
          <w:iCs/>
          <w:u w:val="single"/>
        </w:rPr>
      </w:pPr>
    </w:p>
    <w:p w14:paraId="1F95696A" w14:textId="7B591031" w:rsidR="006533EA" w:rsidRPr="00311A7D" w:rsidRDefault="00607DEF" w:rsidP="00EE0687">
      <w:pPr>
        <w:pStyle w:val="Paragraphedeliste"/>
        <w:numPr>
          <w:ilvl w:val="0"/>
          <w:numId w:val="110"/>
        </w:numPr>
        <w:rPr>
          <w:rFonts w:cstheme="minorHAnsi"/>
        </w:rPr>
      </w:pPr>
      <w:r w:rsidRPr="00311A7D">
        <w:rPr>
          <w:rFonts w:cstheme="minorHAnsi"/>
          <w:b/>
          <w:bCs/>
        </w:rPr>
        <w:t>Le tarif de la taxe</w:t>
      </w:r>
    </w:p>
    <w:p w14:paraId="22CF21B6" w14:textId="6AF0A19A" w:rsidR="00607DEF" w:rsidRPr="00A847B7" w:rsidRDefault="009171B4" w:rsidP="00607DEF">
      <w:pPr>
        <w:rPr>
          <w:rFonts w:cstheme="minorHAnsi"/>
        </w:rPr>
      </w:pPr>
      <w:r w:rsidRPr="00A847B7">
        <w:rPr>
          <w:rFonts w:cstheme="minorHAnsi"/>
        </w:rPr>
        <w:t>Le tarif de cette taxe est déterminé, en fonction</w:t>
      </w:r>
      <w:r w:rsidR="00E41741" w:rsidRPr="00A847B7">
        <w:rPr>
          <w:rFonts w:cstheme="minorHAnsi"/>
        </w:rPr>
        <w:t xml:space="preserve"> de l’année de la 1</w:t>
      </w:r>
      <w:r w:rsidR="00E41741" w:rsidRPr="00A847B7">
        <w:rPr>
          <w:rFonts w:cstheme="minorHAnsi"/>
          <w:vertAlign w:val="superscript"/>
        </w:rPr>
        <w:t>ère</w:t>
      </w:r>
      <w:r w:rsidR="00E41741" w:rsidRPr="00A847B7">
        <w:rPr>
          <w:rFonts w:cstheme="minorHAnsi"/>
        </w:rPr>
        <w:t xml:space="preserve"> immatriculation du véhicule </w:t>
      </w:r>
      <w:r w:rsidR="007A0D5E" w:rsidRPr="00A847B7">
        <w:rPr>
          <w:rFonts w:cstheme="minorHAnsi"/>
        </w:rPr>
        <w:t xml:space="preserve">et de sa source d’énergie, à partir du barème suivant : </w:t>
      </w:r>
    </w:p>
    <w:tbl>
      <w:tblPr>
        <w:tblW w:w="0" w:type="auto"/>
        <w:shd w:val="clear" w:color="auto" w:fill="FFFFFF"/>
        <w:tblCellMar>
          <w:left w:w="0" w:type="dxa"/>
          <w:right w:w="0" w:type="dxa"/>
        </w:tblCellMar>
        <w:tblLook w:val="04A0" w:firstRow="1" w:lastRow="0" w:firstColumn="1" w:lastColumn="0" w:noHBand="0" w:noVBand="1"/>
      </w:tblPr>
      <w:tblGrid>
        <w:gridCol w:w="3106"/>
        <w:gridCol w:w="3594"/>
        <w:gridCol w:w="2356"/>
      </w:tblGrid>
      <w:tr w:rsidR="002E5CAF" w:rsidRPr="00A847B7" w14:paraId="7B2E427C" w14:textId="77777777" w:rsidTr="002E5CAF">
        <w:tc>
          <w:tcPr>
            <w:tcW w:w="0" w:type="auto"/>
            <w:tcBorders>
              <w:top w:val="single" w:sz="6" w:space="0" w:color="000000"/>
              <w:left w:val="single" w:sz="6" w:space="0" w:color="000000"/>
              <w:bottom w:val="single" w:sz="6" w:space="0" w:color="000000"/>
              <w:right w:val="single" w:sz="6" w:space="0" w:color="000000"/>
            </w:tcBorders>
            <w:shd w:val="clear" w:color="auto" w:fill="297FD5" w:themeFill="accent3"/>
            <w:tcMar>
              <w:top w:w="30" w:type="dxa"/>
              <w:left w:w="75" w:type="dxa"/>
              <w:bottom w:w="30" w:type="dxa"/>
              <w:right w:w="75" w:type="dxa"/>
            </w:tcMar>
            <w:hideMark/>
          </w:tcPr>
          <w:p w14:paraId="3EBB4FC7" w14:textId="77777777" w:rsidR="002E5CAF" w:rsidRPr="00A847B7" w:rsidRDefault="002E5CAF" w:rsidP="002E5CAF">
            <w:pPr>
              <w:jc w:val="center"/>
              <w:rPr>
                <w:rFonts w:cstheme="minorHAnsi"/>
                <w:b/>
                <w:bCs/>
                <w:color w:val="FFFFFF" w:themeColor="background1"/>
                <w:sz w:val="22"/>
                <w:szCs w:val="22"/>
              </w:rPr>
            </w:pPr>
            <w:r w:rsidRPr="00A847B7">
              <w:rPr>
                <w:rFonts w:cstheme="minorHAnsi"/>
                <w:b/>
                <w:bCs/>
                <w:color w:val="FFFFFF" w:themeColor="background1"/>
                <w:sz w:val="22"/>
                <w:szCs w:val="22"/>
              </w:rPr>
              <w:t>Année de première immatriculation du véhicule</w:t>
            </w:r>
          </w:p>
        </w:tc>
        <w:tc>
          <w:tcPr>
            <w:tcW w:w="0" w:type="auto"/>
            <w:tcBorders>
              <w:top w:val="single" w:sz="6" w:space="0" w:color="000000"/>
              <w:left w:val="single" w:sz="6" w:space="0" w:color="000000"/>
              <w:bottom w:val="single" w:sz="6" w:space="0" w:color="000000"/>
              <w:right w:val="single" w:sz="6" w:space="0" w:color="000000"/>
            </w:tcBorders>
            <w:shd w:val="clear" w:color="auto" w:fill="297FD5" w:themeFill="accent3"/>
            <w:tcMar>
              <w:top w:w="30" w:type="dxa"/>
              <w:left w:w="75" w:type="dxa"/>
              <w:bottom w:w="30" w:type="dxa"/>
              <w:right w:w="75" w:type="dxa"/>
            </w:tcMar>
            <w:hideMark/>
          </w:tcPr>
          <w:p w14:paraId="32F056F7" w14:textId="77777777" w:rsidR="002E5CAF" w:rsidRPr="00A847B7" w:rsidRDefault="002E5CAF" w:rsidP="002E5CAF">
            <w:pPr>
              <w:jc w:val="center"/>
              <w:rPr>
                <w:rFonts w:cstheme="minorHAnsi"/>
                <w:b/>
                <w:bCs/>
                <w:color w:val="FFFFFF" w:themeColor="background1"/>
                <w:sz w:val="22"/>
                <w:szCs w:val="22"/>
              </w:rPr>
            </w:pPr>
            <w:r w:rsidRPr="00A847B7">
              <w:rPr>
                <w:rFonts w:cstheme="minorHAnsi"/>
                <w:b/>
                <w:bCs/>
                <w:color w:val="FFFFFF" w:themeColor="background1"/>
                <w:sz w:val="22"/>
                <w:szCs w:val="22"/>
              </w:rPr>
              <w:t>Tarif lorsque la source d’énergie est exclusivement le gazole</w:t>
            </w:r>
            <w:r w:rsidRPr="00A847B7">
              <w:rPr>
                <w:rFonts w:cstheme="minorHAnsi"/>
                <w:b/>
                <w:bCs/>
                <w:color w:val="FFFFFF" w:themeColor="background1"/>
                <w:sz w:val="22"/>
                <w:szCs w:val="22"/>
              </w:rPr>
              <w:br/>
              <w:t>(en euros)</w:t>
            </w:r>
          </w:p>
        </w:tc>
        <w:tc>
          <w:tcPr>
            <w:tcW w:w="0" w:type="auto"/>
            <w:tcBorders>
              <w:top w:val="single" w:sz="6" w:space="0" w:color="000000"/>
              <w:left w:val="single" w:sz="6" w:space="0" w:color="000000"/>
              <w:bottom w:val="single" w:sz="6" w:space="0" w:color="000000"/>
              <w:right w:val="single" w:sz="6" w:space="0" w:color="000000"/>
            </w:tcBorders>
            <w:shd w:val="clear" w:color="auto" w:fill="297FD5" w:themeFill="accent3"/>
            <w:tcMar>
              <w:top w:w="30" w:type="dxa"/>
              <w:left w:w="75" w:type="dxa"/>
              <w:bottom w:w="30" w:type="dxa"/>
              <w:right w:w="75" w:type="dxa"/>
            </w:tcMar>
            <w:hideMark/>
          </w:tcPr>
          <w:p w14:paraId="49451B1F" w14:textId="77777777" w:rsidR="002E5CAF" w:rsidRPr="00A847B7" w:rsidRDefault="002E5CAF" w:rsidP="002E5CAF">
            <w:pPr>
              <w:jc w:val="center"/>
              <w:rPr>
                <w:rFonts w:cstheme="minorHAnsi"/>
                <w:b/>
                <w:bCs/>
                <w:color w:val="FFFFFF" w:themeColor="background1"/>
                <w:sz w:val="22"/>
                <w:szCs w:val="22"/>
              </w:rPr>
            </w:pPr>
            <w:r w:rsidRPr="00A847B7">
              <w:rPr>
                <w:rFonts w:cstheme="minorHAnsi"/>
                <w:b/>
                <w:bCs/>
                <w:color w:val="FFFFFF" w:themeColor="background1"/>
                <w:sz w:val="22"/>
                <w:szCs w:val="22"/>
              </w:rPr>
              <w:t>Tarif pour les autres sources d’énergie</w:t>
            </w:r>
            <w:r w:rsidRPr="00A847B7">
              <w:rPr>
                <w:rFonts w:cstheme="minorHAnsi"/>
                <w:b/>
                <w:bCs/>
                <w:color w:val="FFFFFF" w:themeColor="background1"/>
                <w:sz w:val="22"/>
                <w:szCs w:val="22"/>
              </w:rPr>
              <w:br/>
              <w:t>(en euros)</w:t>
            </w:r>
          </w:p>
        </w:tc>
      </w:tr>
      <w:tr w:rsidR="002E5CAF" w:rsidRPr="00A847B7" w14:paraId="45A328C8" w14:textId="77777777" w:rsidTr="002E5CAF">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8B9812A" w14:textId="56205D9B" w:rsidR="002E5CAF" w:rsidRPr="00A847B7" w:rsidRDefault="002E5CAF" w:rsidP="002E5CAF">
            <w:pPr>
              <w:rPr>
                <w:rFonts w:cstheme="minorHAnsi"/>
              </w:rPr>
            </w:pPr>
            <w:r w:rsidRPr="00A847B7">
              <w:rPr>
                <w:rFonts w:cstheme="minorHAnsi"/>
              </w:rPr>
              <w:t>à partir de 2015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F9CF44F" w14:textId="5268719E" w:rsidR="002E5CAF" w:rsidRPr="00A847B7" w:rsidRDefault="002E5CAF" w:rsidP="002E5CAF">
            <w:pPr>
              <w:rPr>
                <w:rFonts w:cstheme="minorHAnsi"/>
              </w:rPr>
            </w:pPr>
            <w:r w:rsidRPr="00A847B7">
              <w:rPr>
                <w:rFonts w:cstheme="minorHAnsi"/>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355628E" w14:textId="7B513D80" w:rsidR="002E5CAF" w:rsidRPr="00A847B7" w:rsidRDefault="002E5CAF" w:rsidP="002E5CAF">
            <w:pPr>
              <w:rPr>
                <w:rFonts w:cstheme="minorHAnsi"/>
              </w:rPr>
            </w:pPr>
            <w:r w:rsidRPr="00A847B7">
              <w:rPr>
                <w:rFonts w:cstheme="minorHAnsi"/>
              </w:rPr>
              <w:t>20</w:t>
            </w:r>
          </w:p>
        </w:tc>
      </w:tr>
      <w:tr w:rsidR="002E5CAF" w:rsidRPr="00A847B7" w14:paraId="21FD2100" w14:textId="77777777" w:rsidTr="002E5CAF">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F605F4B" w14:textId="32B3D80E" w:rsidR="002E5CAF" w:rsidRPr="00A847B7" w:rsidRDefault="002E5CAF" w:rsidP="002E5CAF">
            <w:pPr>
              <w:rPr>
                <w:rFonts w:cstheme="minorHAnsi"/>
              </w:rPr>
            </w:pPr>
            <w:r w:rsidRPr="00A847B7">
              <w:rPr>
                <w:rFonts w:cstheme="minorHAnsi"/>
              </w:rPr>
              <w:t>de 2011 à 2014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F348388" w14:textId="0BDB90A5" w:rsidR="002E5CAF" w:rsidRPr="00A847B7" w:rsidRDefault="002E5CAF" w:rsidP="002E5CAF">
            <w:pPr>
              <w:rPr>
                <w:rFonts w:cstheme="minorHAnsi"/>
              </w:rPr>
            </w:pPr>
            <w:r w:rsidRPr="00A847B7">
              <w:rPr>
                <w:rFonts w:cstheme="minorHAnsi"/>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CA6D698" w14:textId="76B156CD" w:rsidR="002E5CAF" w:rsidRPr="00A847B7" w:rsidRDefault="002E5CAF" w:rsidP="002E5CAF">
            <w:pPr>
              <w:rPr>
                <w:rFonts w:cstheme="minorHAnsi"/>
              </w:rPr>
            </w:pPr>
            <w:r w:rsidRPr="00A847B7">
              <w:rPr>
                <w:rFonts w:cstheme="minorHAnsi"/>
              </w:rPr>
              <w:t>45</w:t>
            </w:r>
          </w:p>
        </w:tc>
      </w:tr>
      <w:tr w:rsidR="002E5CAF" w:rsidRPr="00A847B7" w14:paraId="368E221D" w14:textId="77777777" w:rsidTr="002E5CAF">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6E7BA98" w14:textId="38745545" w:rsidR="002E5CAF" w:rsidRPr="00A847B7" w:rsidRDefault="002E5CAF" w:rsidP="002E5CAF">
            <w:pPr>
              <w:rPr>
                <w:rFonts w:cstheme="minorHAnsi"/>
              </w:rPr>
            </w:pPr>
            <w:r w:rsidRPr="00A847B7">
              <w:rPr>
                <w:rFonts w:cstheme="minorHAnsi"/>
              </w:rPr>
              <w:t>de 2006 à 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2EE188A" w14:textId="0148C00B" w:rsidR="002E5CAF" w:rsidRPr="00A847B7" w:rsidRDefault="002E5CAF" w:rsidP="002E5CAF">
            <w:pPr>
              <w:rPr>
                <w:rFonts w:cstheme="minorHAnsi"/>
              </w:rPr>
            </w:pPr>
            <w:r w:rsidRPr="00A847B7">
              <w:rPr>
                <w:rFonts w:cstheme="minorHAnsi"/>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33005E8" w14:textId="0C5BE7B1" w:rsidR="002E5CAF" w:rsidRPr="00A847B7" w:rsidRDefault="002E5CAF" w:rsidP="002E5CAF">
            <w:pPr>
              <w:rPr>
                <w:rFonts w:cstheme="minorHAnsi"/>
              </w:rPr>
            </w:pPr>
            <w:r w:rsidRPr="00A847B7">
              <w:rPr>
                <w:rFonts w:cstheme="minorHAnsi"/>
              </w:rPr>
              <w:t>45</w:t>
            </w:r>
          </w:p>
        </w:tc>
      </w:tr>
      <w:tr w:rsidR="002E5CAF" w:rsidRPr="00A847B7" w14:paraId="0E8C7425" w14:textId="77777777" w:rsidTr="002E5CAF">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5BF809D" w14:textId="61F81D25" w:rsidR="002E5CAF" w:rsidRPr="00A847B7" w:rsidRDefault="002E5CAF" w:rsidP="002E5CAF">
            <w:pPr>
              <w:rPr>
                <w:rFonts w:cstheme="minorHAnsi"/>
              </w:rPr>
            </w:pPr>
            <w:r w:rsidRPr="00A847B7">
              <w:rPr>
                <w:rFonts w:cstheme="minorHAnsi"/>
              </w:rPr>
              <w:t>de 2001 à 2005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EB5C4DA" w14:textId="5EFC1F04" w:rsidR="002E5CAF" w:rsidRPr="00A847B7" w:rsidRDefault="002E5CAF" w:rsidP="002E5CAF">
            <w:pPr>
              <w:rPr>
                <w:rFonts w:cstheme="minorHAnsi"/>
              </w:rPr>
            </w:pPr>
            <w:r w:rsidRPr="00A847B7">
              <w:rPr>
                <w:rFonts w:cstheme="minorHAnsi"/>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E4DB36A" w14:textId="3CD43676" w:rsidR="002E5CAF" w:rsidRPr="00A847B7" w:rsidRDefault="002E5CAF" w:rsidP="002E5CAF">
            <w:pPr>
              <w:rPr>
                <w:rFonts w:cstheme="minorHAnsi"/>
              </w:rPr>
            </w:pPr>
            <w:r w:rsidRPr="00A847B7">
              <w:rPr>
                <w:rFonts w:cstheme="minorHAnsi"/>
              </w:rPr>
              <w:t>45</w:t>
            </w:r>
          </w:p>
        </w:tc>
      </w:tr>
      <w:tr w:rsidR="002E5CAF" w:rsidRPr="00A847B7" w14:paraId="6A52790F" w14:textId="77777777" w:rsidTr="002E5CAF">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D506192" w14:textId="0682EF8F" w:rsidR="002E5CAF" w:rsidRPr="00A847B7" w:rsidRDefault="002E5CAF" w:rsidP="002E5CAF">
            <w:pPr>
              <w:rPr>
                <w:rFonts w:cstheme="minorHAnsi"/>
              </w:rPr>
            </w:pPr>
            <w:r w:rsidRPr="00A847B7">
              <w:rPr>
                <w:rFonts w:cstheme="minorHAnsi"/>
              </w:rPr>
              <w:lastRenderedPageBreak/>
              <w:t>jusqu’à 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FBBE55F" w14:textId="093EBF10" w:rsidR="002E5CAF" w:rsidRPr="00A847B7" w:rsidRDefault="002E5CAF" w:rsidP="002E5CAF">
            <w:pPr>
              <w:rPr>
                <w:rFonts w:cstheme="minorHAnsi"/>
              </w:rPr>
            </w:pPr>
            <w:r w:rsidRPr="00A847B7">
              <w:rPr>
                <w:rFonts w:cstheme="minorHAnsi"/>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65B445A" w14:textId="343A1972" w:rsidR="002E5CAF" w:rsidRPr="00A847B7" w:rsidRDefault="002E5CAF" w:rsidP="002E5CAF">
            <w:pPr>
              <w:rPr>
                <w:rFonts w:cstheme="minorHAnsi"/>
              </w:rPr>
            </w:pPr>
            <w:r w:rsidRPr="00A847B7">
              <w:rPr>
                <w:rFonts w:cstheme="minorHAnsi"/>
              </w:rPr>
              <w:t>70</w:t>
            </w:r>
          </w:p>
        </w:tc>
      </w:tr>
    </w:tbl>
    <w:p w14:paraId="5AAE7C58" w14:textId="77777777" w:rsidR="00FF6A3F" w:rsidRPr="00A847B7" w:rsidRDefault="00FF6A3F" w:rsidP="00607DEF">
      <w:pPr>
        <w:rPr>
          <w:rFonts w:cstheme="minorHAnsi"/>
        </w:rPr>
      </w:pPr>
    </w:p>
    <w:p w14:paraId="32F875D7" w14:textId="0ED2D9B4" w:rsidR="00607DEF" w:rsidRPr="00A847B7" w:rsidRDefault="00FF6A3F" w:rsidP="00607DEF">
      <w:pPr>
        <w:rPr>
          <w:rFonts w:cstheme="minorHAnsi"/>
        </w:rPr>
      </w:pPr>
      <w:r w:rsidRPr="00A847B7">
        <w:rPr>
          <w:rFonts w:cstheme="minorHAnsi"/>
        </w:rPr>
        <w:t>Relèvent du tarif prévu pour les véhicules dont la source d’énergie est exclusivement le gazole</w:t>
      </w:r>
      <w:r w:rsidR="008E060D">
        <w:rPr>
          <w:rFonts w:cstheme="minorHAnsi"/>
        </w:rPr>
        <w:t>,</w:t>
      </w:r>
      <w:r w:rsidRPr="00A847B7">
        <w:rPr>
          <w:rFonts w:cstheme="minorHAnsi"/>
        </w:rPr>
        <w:t xml:space="preserve"> les véhicules dont la source d’énergie combine le gazole et un autre produit lorsque :</w:t>
      </w:r>
    </w:p>
    <w:p w14:paraId="3F9D76B1" w14:textId="5745B83D" w:rsidR="00B118A0" w:rsidRPr="00A847B7" w:rsidRDefault="0091530B" w:rsidP="00EE0687">
      <w:pPr>
        <w:pStyle w:val="Paragraphedeliste"/>
        <w:numPr>
          <w:ilvl w:val="0"/>
          <w:numId w:val="115"/>
        </w:numPr>
        <w:rPr>
          <w:rFonts w:cstheme="minorHAnsi"/>
        </w:rPr>
      </w:pPr>
      <w:r w:rsidRPr="00A847B7">
        <w:rPr>
          <w:rFonts w:cstheme="minorHAnsi"/>
        </w:rPr>
        <w:t>pour les véhicules relevant du nouveau dispositif d’immatriculation</w:t>
      </w:r>
      <w:r w:rsidR="00C44E54" w:rsidRPr="00A847B7">
        <w:rPr>
          <w:rFonts w:cstheme="minorHAnsi"/>
        </w:rPr>
        <w:t>, les émissions de dioxyde de carbone excèdent 120 g/km ;</w:t>
      </w:r>
    </w:p>
    <w:p w14:paraId="28B9ED87" w14:textId="6CE2EA2B" w:rsidR="00B44A5F" w:rsidRPr="00A847B7" w:rsidRDefault="00B44A5F" w:rsidP="00EE0687">
      <w:pPr>
        <w:pStyle w:val="Paragraphedeliste"/>
        <w:numPr>
          <w:ilvl w:val="0"/>
          <w:numId w:val="115"/>
        </w:numPr>
        <w:rPr>
          <w:rFonts w:cstheme="minorHAnsi"/>
        </w:rPr>
      </w:pPr>
      <w:r w:rsidRPr="00A847B7">
        <w:rPr>
          <w:rFonts w:cstheme="minorHAnsi"/>
        </w:rPr>
        <w:t>pour les véhicules ne relevant pas du nouveau dispositif d’immatriculation, ayant fait l’objet d’une réception européenne, immatriculés pour la première fois à compter du 1</w:t>
      </w:r>
      <w:r w:rsidRPr="00A847B7">
        <w:rPr>
          <w:rFonts w:cstheme="minorHAnsi"/>
          <w:vertAlign w:val="superscript"/>
        </w:rPr>
        <w:t xml:space="preserve">er </w:t>
      </w:r>
      <w:r w:rsidRPr="00A847B7">
        <w:rPr>
          <w:rFonts w:cstheme="minorHAnsi"/>
        </w:rPr>
        <w:t>juin 2004 et qui n’étaient pas utilisés par le redevable avant le 1</w:t>
      </w:r>
      <w:r w:rsidRPr="00A847B7">
        <w:rPr>
          <w:rFonts w:cstheme="minorHAnsi"/>
          <w:vertAlign w:val="superscript"/>
        </w:rPr>
        <w:t>er</w:t>
      </w:r>
      <w:r w:rsidRPr="00A847B7">
        <w:rPr>
          <w:rFonts w:cstheme="minorHAnsi"/>
        </w:rPr>
        <w:t xml:space="preserve"> janvier 2006</w:t>
      </w:r>
      <w:r w:rsidR="0086425C" w:rsidRPr="00A847B7">
        <w:rPr>
          <w:rFonts w:cstheme="minorHAnsi"/>
        </w:rPr>
        <w:t>, les émissions de dioxyde de carbone excèdent 100 g/km ;</w:t>
      </w:r>
    </w:p>
    <w:p w14:paraId="583E698F" w14:textId="33CBACCD" w:rsidR="00B540AA" w:rsidRPr="00A847B7" w:rsidRDefault="00B540AA" w:rsidP="00EE0687">
      <w:pPr>
        <w:pStyle w:val="Paragraphedeliste"/>
        <w:numPr>
          <w:ilvl w:val="0"/>
          <w:numId w:val="115"/>
        </w:numPr>
        <w:rPr>
          <w:rFonts w:cstheme="minorHAnsi"/>
        </w:rPr>
      </w:pPr>
      <w:r w:rsidRPr="00A847B7">
        <w:rPr>
          <w:rFonts w:cstheme="minorHAnsi"/>
        </w:rPr>
        <w:t>pour les autres véhicules, lorsque la puissance administrative excède 6 chevaux administratifs.</w:t>
      </w:r>
    </w:p>
    <w:p w14:paraId="27B10A44" w14:textId="77777777" w:rsidR="00541413" w:rsidRPr="00A847B7" w:rsidRDefault="00541413" w:rsidP="00541413">
      <w:pPr>
        <w:pStyle w:val="Paragraphedeliste"/>
        <w:rPr>
          <w:rFonts w:cstheme="minorHAnsi"/>
        </w:rPr>
      </w:pPr>
    </w:p>
    <w:p w14:paraId="7CC35E81" w14:textId="77777777" w:rsidR="00541413" w:rsidRPr="00311A7D" w:rsidRDefault="00541413" w:rsidP="00EE0687">
      <w:pPr>
        <w:pStyle w:val="Paragraphedeliste"/>
        <w:numPr>
          <w:ilvl w:val="0"/>
          <w:numId w:val="110"/>
        </w:numPr>
        <w:rPr>
          <w:rFonts w:cstheme="minorHAnsi"/>
        </w:rPr>
      </w:pPr>
      <w:r w:rsidRPr="00311A7D">
        <w:rPr>
          <w:rFonts w:cstheme="minorHAnsi"/>
          <w:b/>
          <w:bCs/>
        </w:rPr>
        <w:t>Exonérations</w:t>
      </w:r>
    </w:p>
    <w:p w14:paraId="6E0D83D4" w14:textId="498925F3" w:rsidR="00541413" w:rsidRPr="00A847B7" w:rsidRDefault="00541413" w:rsidP="00541413">
      <w:pPr>
        <w:rPr>
          <w:rFonts w:cstheme="minorHAnsi"/>
        </w:rPr>
      </w:pPr>
      <w:r w:rsidRPr="00A847B7">
        <w:rPr>
          <w:rFonts w:cstheme="minorHAnsi"/>
        </w:rPr>
        <w:t>Les véhicules suivants sont exonérés de taxe annuelle relative aux émissions de polluants atmosphériques :</w:t>
      </w:r>
    </w:p>
    <w:p w14:paraId="17875DB8" w14:textId="77777777" w:rsidR="00541413" w:rsidRPr="00311A7D" w:rsidRDefault="00541413" w:rsidP="00EE0687">
      <w:pPr>
        <w:pStyle w:val="Paragraphedeliste"/>
        <w:numPr>
          <w:ilvl w:val="0"/>
          <w:numId w:val="319"/>
        </w:numPr>
        <w:rPr>
          <w:rFonts w:cstheme="minorHAnsi"/>
        </w:rPr>
      </w:pPr>
      <w:r w:rsidRPr="00311A7D">
        <w:rPr>
          <w:rFonts w:cstheme="minorHAnsi"/>
        </w:rPr>
        <w:t>les véhicules accessibles en fauteuil roulant ;</w:t>
      </w:r>
    </w:p>
    <w:p w14:paraId="3F231F81" w14:textId="77777777" w:rsidR="00541413" w:rsidRPr="00311A7D" w:rsidRDefault="00541413" w:rsidP="00EE0687">
      <w:pPr>
        <w:pStyle w:val="Paragraphedeliste"/>
        <w:numPr>
          <w:ilvl w:val="0"/>
          <w:numId w:val="319"/>
        </w:numPr>
        <w:rPr>
          <w:rFonts w:cstheme="minorHAnsi"/>
        </w:rPr>
      </w:pPr>
      <w:r w:rsidRPr="00311A7D">
        <w:rPr>
          <w:rFonts w:cstheme="minorHAnsi"/>
        </w:rPr>
        <w:t>les véhicules exclusivement affectés par le redevable à la location ;</w:t>
      </w:r>
    </w:p>
    <w:p w14:paraId="417C7287" w14:textId="77777777" w:rsidR="00541413" w:rsidRPr="00311A7D" w:rsidRDefault="00541413" w:rsidP="00EE0687">
      <w:pPr>
        <w:pStyle w:val="Paragraphedeliste"/>
        <w:numPr>
          <w:ilvl w:val="0"/>
          <w:numId w:val="319"/>
        </w:numPr>
        <w:rPr>
          <w:rFonts w:cstheme="minorHAnsi"/>
        </w:rPr>
      </w:pPr>
      <w:r w:rsidRPr="00311A7D">
        <w:rPr>
          <w:rFonts w:cstheme="minorHAnsi"/>
        </w:rPr>
        <w:t>les véhicules pris en location par le redevable sur une période d’au plus un mois civil ou 30 jours consécutifs ;</w:t>
      </w:r>
    </w:p>
    <w:p w14:paraId="5E4276A3" w14:textId="77777777" w:rsidR="00541413" w:rsidRPr="00311A7D" w:rsidRDefault="00541413" w:rsidP="00EE0687">
      <w:pPr>
        <w:pStyle w:val="Paragraphedeliste"/>
        <w:numPr>
          <w:ilvl w:val="0"/>
          <w:numId w:val="319"/>
        </w:numPr>
        <w:rPr>
          <w:rFonts w:cstheme="minorHAnsi"/>
        </w:rPr>
      </w:pPr>
      <w:r w:rsidRPr="00311A7D">
        <w:rPr>
          <w:rFonts w:cstheme="minorHAnsi"/>
        </w:rPr>
        <w:t>les véhicules exclusivement affectés par le redevable à la mise à disposition gratuite et temporaire de ses clients en remplacement de leur véhicule immobilisé ;</w:t>
      </w:r>
    </w:p>
    <w:p w14:paraId="36CE4400" w14:textId="77777777" w:rsidR="00541413" w:rsidRPr="00311A7D" w:rsidRDefault="00541413" w:rsidP="00EE0687">
      <w:pPr>
        <w:pStyle w:val="Paragraphedeliste"/>
        <w:numPr>
          <w:ilvl w:val="0"/>
          <w:numId w:val="319"/>
        </w:numPr>
        <w:rPr>
          <w:rFonts w:cstheme="minorHAnsi"/>
        </w:rPr>
      </w:pPr>
      <w:r w:rsidRPr="00311A7D">
        <w:rPr>
          <w:rFonts w:cstheme="minorHAnsi"/>
        </w:rPr>
        <w:t>les véhicules utilisés pour le transport public de personnes ;</w:t>
      </w:r>
    </w:p>
    <w:p w14:paraId="22138659" w14:textId="77777777" w:rsidR="00541413" w:rsidRPr="00311A7D" w:rsidRDefault="00541413" w:rsidP="00EE0687">
      <w:pPr>
        <w:pStyle w:val="Paragraphedeliste"/>
        <w:numPr>
          <w:ilvl w:val="0"/>
          <w:numId w:val="319"/>
        </w:numPr>
        <w:rPr>
          <w:rFonts w:cstheme="minorHAnsi"/>
        </w:rPr>
      </w:pPr>
      <w:r w:rsidRPr="00311A7D">
        <w:rPr>
          <w:rFonts w:cstheme="minorHAnsi"/>
        </w:rPr>
        <w:t>les véhicules utilisés pour les besoins des activités agricoles ou forestières ;</w:t>
      </w:r>
    </w:p>
    <w:p w14:paraId="6215CFB5" w14:textId="77777777" w:rsidR="00541413" w:rsidRPr="00311A7D" w:rsidRDefault="00541413" w:rsidP="00EE0687">
      <w:pPr>
        <w:pStyle w:val="Paragraphedeliste"/>
        <w:numPr>
          <w:ilvl w:val="0"/>
          <w:numId w:val="319"/>
        </w:numPr>
        <w:rPr>
          <w:rFonts w:cstheme="minorHAnsi"/>
        </w:rPr>
      </w:pPr>
      <w:r w:rsidRPr="00311A7D">
        <w:rPr>
          <w:rFonts w:cstheme="minorHAnsi"/>
        </w:rPr>
        <w:t>les véhicules utilisés pour l’enseignement de la conduite ;</w:t>
      </w:r>
    </w:p>
    <w:p w14:paraId="79CE489D" w14:textId="77777777" w:rsidR="00541413" w:rsidRPr="00311A7D" w:rsidRDefault="00541413" w:rsidP="00EE0687">
      <w:pPr>
        <w:pStyle w:val="Paragraphedeliste"/>
        <w:numPr>
          <w:ilvl w:val="0"/>
          <w:numId w:val="319"/>
        </w:numPr>
        <w:rPr>
          <w:rFonts w:cstheme="minorHAnsi"/>
        </w:rPr>
      </w:pPr>
      <w:r w:rsidRPr="00311A7D">
        <w:rPr>
          <w:rFonts w:cstheme="minorHAnsi"/>
        </w:rPr>
        <w:t>les véhicules utilisés pour l’enseignement du pilotage ou les compétitions sportives ;</w:t>
      </w:r>
    </w:p>
    <w:p w14:paraId="79C4A485" w14:textId="77777777" w:rsidR="00541413" w:rsidRPr="00311A7D" w:rsidRDefault="00541413" w:rsidP="00EE0687">
      <w:pPr>
        <w:pStyle w:val="Paragraphedeliste"/>
        <w:numPr>
          <w:ilvl w:val="0"/>
          <w:numId w:val="319"/>
        </w:numPr>
        <w:rPr>
          <w:rFonts w:cstheme="minorHAnsi"/>
        </w:rPr>
      </w:pPr>
      <w:r w:rsidRPr="00311A7D">
        <w:rPr>
          <w:rFonts w:cstheme="minorHAnsi"/>
        </w:rPr>
        <w:t>les véhicules utilisés pour :</w:t>
      </w:r>
    </w:p>
    <w:p w14:paraId="07E87B54" w14:textId="77777777" w:rsidR="00541413" w:rsidRPr="00A847B7" w:rsidRDefault="00541413" w:rsidP="00EE0687">
      <w:pPr>
        <w:pStyle w:val="Paragraphedeliste"/>
        <w:numPr>
          <w:ilvl w:val="2"/>
          <w:numId w:val="113"/>
        </w:numPr>
        <w:rPr>
          <w:rFonts w:cstheme="minorHAnsi"/>
        </w:rPr>
      </w:pPr>
      <w:r w:rsidRPr="00A847B7">
        <w:rPr>
          <w:rFonts w:cstheme="minorHAnsi"/>
        </w:rPr>
        <w:t>les prestations de services et les livraisons de biens qui leur sont étroitement liées fournies à leurs membres, moyennant une cotisation fixée conformément aux statuts, par des organismes légalement constitués agissant sans but lucratif dont la gestion est désintéressée et qui poursuivent des objectifs de nature philosophique, religieuse, politique, patriotique, civique ou syndicale, dans la mesure où ces opérations se rattachent directement à la défense collective des intérêts moraux ou matériels des membres ;</w:t>
      </w:r>
    </w:p>
    <w:p w14:paraId="7CD0067A" w14:textId="77777777" w:rsidR="00541413" w:rsidRPr="00A847B7" w:rsidRDefault="00541413" w:rsidP="00EE0687">
      <w:pPr>
        <w:pStyle w:val="Paragraphedeliste"/>
        <w:numPr>
          <w:ilvl w:val="2"/>
          <w:numId w:val="113"/>
        </w:numPr>
        <w:rPr>
          <w:rFonts w:cstheme="minorHAnsi"/>
        </w:rPr>
      </w:pPr>
      <w:r w:rsidRPr="00A847B7">
        <w:rPr>
          <w:rFonts w:cstheme="minorHAnsi"/>
        </w:rPr>
        <w:t>ou les besoins des opérations des organismes d’utilité générale ;</w:t>
      </w:r>
    </w:p>
    <w:p w14:paraId="539562AA" w14:textId="77777777" w:rsidR="00541413" w:rsidRPr="009366B6" w:rsidRDefault="00541413" w:rsidP="00EE0687">
      <w:pPr>
        <w:pStyle w:val="Paragraphedeliste"/>
        <w:numPr>
          <w:ilvl w:val="0"/>
          <w:numId w:val="320"/>
        </w:numPr>
        <w:rPr>
          <w:rFonts w:cstheme="minorHAnsi"/>
        </w:rPr>
      </w:pPr>
      <w:r w:rsidRPr="009366B6">
        <w:rPr>
          <w:rFonts w:cstheme="minorHAnsi"/>
        </w:rPr>
        <w:t>les véhicules utilisés par les entrepreneurs individuels ;</w:t>
      </w:r>
    </w:p>
    <w:p w14:paraId="24F706C6" w14:textId="6F17DE81" w:rsidR="00541413" w:rsidRPr="009366B6" w:rsidRDefault="00541413" w:rsidP="00EE0687">
      <w:pPr>
        <w:pStyle w:val="Paragraphedeliste"/>
        <w:numPr>
          <w:ilvl w:val="0"/>
          <w:numId w:val="320"/>
        </w:numPr>
        <w:rPr>
          <w:rFonts w:cstheme="minorHAnsi"/>
        </w:rPr>
      </w:pPr>
      <w:r w:rsidRPr="009366B6">
        <w:rPr>
          <w:rFonts w:cstheme="minorHAnsi"/>
        </w:rPr>
        <w:t>les véhicules dont la source d’énergie est exclusivement l’électricité, l’hydrogène ou une combinaison des deux</w:t>
      </w:r>
      <w:r w:rsidR="000D068A" w:rsidRPr="009366B6">
        <w:rPr>
          <w:rFonts w:cstheme="minorHAnsi"/>
        </w:rPr>
        <w:t>.</w:t>
      </w:r>
    </w:p>
    <w:p w14:paraId="7C3FA474" w14:textId="2347508D" w:rsidR="00B819FD" w:rsidRPr="00A847B7" w:rsidDel="00D01E68" w:rsidRDefault="00B819FD" w:rsidP="005A54C4">
      <w:pPr>
        <w:pStyle w:val="Paragraphedeliste"/>
        <w:rPr>
          <w:rFonts w:cstheme="minorHAnsi"/>
        </w:rPr>
      </w:pPr>
    </w:p>
    <w:p w14:paraId="622059FB" w14:textId="4BBC0C64" w:rsidR="000D068A" w:rsidRPr="009366B6" w:rsidRDefault="000D068A" w:rsidP="00EE0687">
      <w:pPr>
        <w:pStyle w:val="Paragraphedeliste"/>
        <w:numPr>
          <w:ilvl w:val="0"/>
          <w:numId w:val="9"/>
        </w:numPr>
        <w:rPr>
          <w:rFonts w:cstheme="minorHAnsi"/>
        </w:rPr>
      </w:pPr>
      <w:r w:rsidRPr="00A847B7">
        <w:rPr>
          <w:rFonts w:cstheme="minorHAnsi"/>
          <w:b/>
          <w:bCs/>
          <w:i/>
          <w:iCs/>
          <w:u w:val="single"/>
        </w:rPr>
        <w:t>Règles particulières à la taxe</w:t>
      </w:r>
      <w:r w:rsidR="003669F2" w:rsidRPr="00A847B7">
        <w:rPr>
          <w:rFonts w:cstheme="minorHAnsi"/>
          <w:b/>
          <w:bCs/>
          <w:i/>
          <w:iCs/>
          <w:u w:val="single"/>
        </w:rPr>
        <w:t xml:space="preserve"> annuelle à l’essieu</w:t>
      </w:r>
    </w:p>
    <w:p w14:paraId="0834401C" w14:textId="77777777" w:rsidR="009366B6" w:rsidRPr="0071337D" w:rsidRDefault="009366B6" w:rsidP="009366B6">
      <w:pPr>
        <w:pStyle w:val="Paragraphedeliste"/>
        <w:rPr>
          <w:rFonts w:cstheme="minorHAnsi"/>
        </w:rPr>
      </w:pPr>
    </w:p>
    <w:p w14:paraId="50F0B3C7" w14:textId="606B98F7" w:rsidR="000D068A" w:rsidRPr="009366B6" w:rsidRDefault="002E7CFC" w:rsidP="00EE0687">
      <w:pPr>
        <w:pStyle w:val="Paragraphedeliste"/>
        <w:numPr>
          <w:ilvl w:val="0"/>
          <w:numId w:val="110"/>
        </w:numPr>
        <w:rPr>
          <w:rFonts w:cstheme="minorHAnsi"/>
        </w:rPr>
      </w:pPr>
      <w:r w:rsidRPr="009366B6">
        <w:rPr>
          <w:rFonts w:cstheme="minorHAnsi"/>
          <w:b/>
          <w:bCs/>
        </w:rPr>
        <w:t>Véhicules concernés</w:t>
      </w:r>
    </w:p>
    <w:p w14:paraId="4D4382B0" w14:textId="23040058" w:rsidR="00040220" w:rsidRPr="00A847B7" w:rsidRDefault="00CB0B51" w:rsidP="006533EA">
      <w:pPr>
        <w:rPr>
          <w:rFonts w:cstheme="minorHAnsi"/>
        </w:rPr>
      </w:pPr>
      <w:r w:rsidRPr="00A847B7">
        <w:rPr>
          <w:rFonts w:cstheme="minorHAnsi"/>
        </w:rPr>
        <w:t>Lorsque leur poids total autorisé en charge est au moins égal à 12 tonnes, la taxe annuelle à l’essieu s’applique aux véhicules suivants :</w:t>
      </w:r>
    </w:p>
    <w:p w14:paraId="6B8DFF2A" w14:textId="5B7F7C21" w:rsidR="00CB0B51" w:rsidRPr="00A847B7" w:rsidRDefault="0065680D" w:rsidP="00EE0687">
      <w:pPr>
        <w:pStyle w:val="Paragraphedeliste"/>
        <w:numPr>
          <w:ilvl w:val="0"/>
          <w:numId w:val="116"/>
        </w:numPr>
        <w:rPr>
          <w:rFonts w:cstheme="minorHAnsi"/>
        </w:rPr>
      </w:pPr>
      <w:r w:rsidRPr="00A847B7">
        <w:rPr>
          <w:rFonts w:cstheme="minorHAnsi"/>
        </w:rPr>
        <w:lastRenderedPageBreak/>
        <w:t>véhicules des catégories N2 et N3 dont la conception permet le transport de marchandises sans remorque ou semi-remorque ;</w:t>
      </w:r>
    </w:p>
    <w:p w14:paraId="44C9E829" w14:textId="5C99DF97" w:rsidR="00E71F01" w:rsidRPr="00A847B7" w:rsidRDefault="00E71F01" w:rsidP="00EE0687">
      <w:pPr>
        <w:pStyle w:val="Paragraphedeliste"/>
        <w:numPr>
          <w:ilvl w:val="0"/>
          <w:numId w:val="116"/>
        </w:numPr>
        <w:rPr>
          <w:rFonts w:cstheme="minorHAnsi"/>
        </w:rPr>
      </w:pPr>
      <w:r w:rsidRPr="00A847B7">
        <w:rPr>
          <w:rFonts w:cstheme="minorHAnsi"/>
        </w:rPr>
        <w:t xml:space="preserve">remorques de la catégorie O4 d’un poids total autorisé en charge au moins égal à 16 tonnes, lorsqu’elles sont tractées par un véhicule des catégories N2 et N3 ou un ensemble de véhicules ; </w:t>
      </w:r>
    </w:p>
    <w:p w14:paraId="1623809F" w14:textId="1CC4B126" w:rsidR="00E71F01" w:rsidRPr="00A847B7" w:rsidRDefault="00E71F01" w:rsidP="00EE0687">
      <w:pPr>
        <w:pStyle w:val="Paragraphedeliste"/>
        <w:numPr>
          <w:ilvl w:val="0"/>
          <w:numId w:val="116"/>
        </w:numPr>
        <w:rPr>
          <w:rFonts w:cstheme="minorHAnsi"/>
        </w:rPr>
      </w:pPr>
      <w:r w:rsidRPr="00A847B7">
        <w:rPr>
          <w:rFonts w:cstheme="minorHAnsi"/>
        </w:rPr>
        <w:t>ensembles constitués d’un véhicule de catégorie N2 ou N3 couplé à une semi-remorque de la catégorie O</w:t>
      </w:r>
      <w:r w:rsidR="00796977" w:rsidRPr="00A847B7">
        <w:rPr>
          <w:rFonts w:cstheme="minorHAnsi"/>
        </w:rPr>
        <w:t> ;</w:t>
      </w:r>
    </w:p>
    <w:p w14:paraId="40CCBCC5" w14:textId="22993A14" w:rsidR="00796977" w:rsidRPr="00A847B7" w:rsidRDefault="00796977" w:rsidP="00EE0687">
      <w:pPr>
        <w:pStyle w:val="Paragraphedeliste"/>
        <w:numPr>
          <w:ilvl w:val="0"/>
          <w:numId w:val="116"/>
        </w:numPr>
        <w:rPr>
          <w:rFonts w:cstheme="minorHAnsi"/>
        </w:rPr>
      </w:pPr>
      <w:r w:rsidRPr="00A847B7">
        <w:rPr>
          <w:rFonts w:cstheme="minorHAnsi"/>
        </w:rPr>
        <w:t xml:space="preserve">tout autre véhicule ou ensemble de </w:t>
      </w:r>
      <w:proofErr w:type="gramStart"/>
      <w:r w:rsidRPr="00A847B7">
        <w:rPr>
          <w:rFonts w:cstheme="minorHAnsi"/>
        </w:rPr>
        <w:t>véhicules utilisé</w:t>
      </w:r>
      <w:proofErr w:type="gramEnd"/>
      <w:r w:rsidRPr="00A847B7">
        <w:rPr>
          <w:rFonts w:cstheme="minorHAnsi"/>
        </w:rPr>
        <w:t xml:space="preserve"> pour réaliser des opérations de transport de marchandises</w:t>
      </w:r>
      <w:r w:rsidR="00940A48" w:rsidRPr="00A847B7">
        <w:rPr>
          <w:rFonts w:cstheme="minorHAnsi"/>
        </w:rPr>
        <w:t>.</w:t>
      </w:r>
    </w:p>
    <w:p w14:paraId="325DA419" w14:textId="771FB078" w:rsidR="00C02553" w:rsidRPr="00A847B7" w:rsidRDefault="00C02553" w:rsidP="006533EA">
      <w:pPr>
        <w:rPr>
          <w:rFonts w:cstheme="minorHAnsi"/>
        </w:rPr>
      </w:pPr>
      <w:r w:rsidRPr="00A847B7">
        <w:rPr>
          <w:rFonts w:cstheme="minorHAnsi"/>
        </w:rPr>
        <w:t>Concernant les ensembles de véhicules, précisons que :</w:t>
      </w:r>
    </w:p>
    <w:p w14:paraId="6FEB50B5" w14:textId="23431EF1" w:rsidR="00C02553" w:rsidRPr="00A847B7" w:rsidRDefault="00C02553" w:rsidP="00EE0687">
      <w:pPr>
        <w:pStyle w:val="Paragraphedeliste"/>
        <w:numPr>
          <w:ilvl w:val="0"/>
          <w:numId w:val="118"/>
        </w:numPr>
        <w:rPr>
          <w:rFonts w:cstheme="minorHAnsi"/>
        </w:rPr>
      </w:pPr>
      <w:r w:rsidRPr="00A847B7">
        <w:rPr>
          <w:rFonts w:cstheme="minorHAnsi"/>
        </w:rPr>
        <w:t>les remorques de la catégorie O4 qui les composent sont considérées comme des véhicules indépendants ;</w:t>
      </w:r>
    </w:p>
    <w:p w14:paraId="6106D97E" w14:textId="4FA6D07E" w:rsidR="00C02553" w:rsidRPr="00A847B7" w:rsidRDefault="00C02553" w:rsidP="00EE0687">
      <w:pPr>
        <w:pStyle w:val="Paragraphedeliste"/>
        <w:numPr>
          <w:ilvl w:val="0"/>
          <w:numId w:val="118"/>
        </w:numPr>
        <w:rPr>
          <w:rFonts w:cstheme="minorHAnsi"/>
        </w:rPr>
      </w:pPr>
      <w:r w:rsidRPr="00A847B7">
        <w:rPr>
          <w:rFonts w:cstheme="minorHAnsi"/>
        </w:rPr>
        <w:t>les tracteurs et semi-remorques composant l’ensemble sont considérés comme un véhicule unique dont l’utilisateur est celui du véhicule tracteur, dont le poids total autorisé en charge est égal au poids total roulant autorisé et dont le nombre d’essieux est celui de la seule semi-remorque</w:t>
      </w:r>
    </w:p>
    <w:p w14:paraId="269F6EC9" w14:textId="77777777" w:rsidR="00C02553" w:rsidRPr="00A847B7" w:rsidRDefault="00C02553" w:rsidP="006533EA">
      <w:pPr>
        <w:rPr>
          <w:rFonts w:cstheme="minorHAnsi"/>
        </w:rPr>
      </w:pPr>
      <w:r w:rsidRPr="00A847B7">
        <w:rPr>
          <w:rFonts w:cstheme="minorHAnsi"/>
        </w:rPr>
        <w:t xml:space="preserve">Par dérogation, les différents utilisateurs des véhicules composant l’ensemble peuvent conjointement désigner parmi eux, pour tout ou partie de la période d’utilisation de cet ensemble, un redevable autre que l’utilisateur du véhicule tracteur. </w:t>
      </w:r>
    </w:p>
    <w:p w14:paraId="7048AA45" w14:textId="77777777" w:rsidR="00C02553" w:rsidRPr="00A847B7" w:rsidRDefault="00C02553" w:rsidP="006533EA">
      <w:pPr>
        <w:rPr>
          <w:rFonts w:cstheme="minorHAnsi"/>
        </w:rPr>
      </w:pPr>
      <w:r w:rsidRPr="00A847B7">
        <w:rPr>
          <w:rFonts w:cstheme="minorHAnsi"/>
        </w:rPr>
        <w:t xml:space="preserve">À cette fin, ils établissent une attestation datée au plus tard à la fin du trimestre civil qui suit l’échéance de cette période, et au plus tard le 15 janvier de l’année qui suit celle au cours de laquelle la taxe est devenue exigible. </w:t>
      </w:r>
    </w:p>
    <w:p w14:paraId="3A8C15C6" w14:textId="0E55A669" w:rsidR="00C02553" w:rsidRPr="00A847B7" w:rsidRDefault="00C02553" w:rsidP="006533EA">
      <w:pPr>
        <w:rPr>
          <w:rFonts w:cstheme="minorHAnsi"/>
        </w:rPr>
      </w:pPr>
      <w:r w:rsidRPr="00A847B7">
        <w:rPr>
          <w:rFonts w:cstheme="minorHAnsi"/>
        </w:rPr>
        <w:t>L’attestation reprend l’identification et les caractéristiques des véhicules composant l’ensemble, la dénomination des utilisateurs et du redevable désigné ainsi que la période concernée. L’ensemble des utilisateurs sont alors solidaires du paiement de la taxe.</w:t>
      </w:r>
    </w:p>
    <w:p w14:paraId="06DDC15F" w14:textId="4A8EA9F7" w:rsidR="00C02553" w:rsidRPr="009366B6" w:rsidRDefault="00C02553" w:rsidP="00EE0687">
      <w:pPr>
        <w:pStyle w:val="Paragraphedeliste"/>
        <w:numPr>
          <w:ilvl w:val="0"/>
          <w:numId w:val="110"/>
        </w:numPr>
        <w:rPr>
          <w:rFonts w:cstheme="minorHAnsi"/>
        </w:rPr>
      </w:pPr>
      <w:r w:rsidRPr="009366B6">
        <w:rPr>
          <w:rFonts w:cstheme="minorHAnsi"/>
          <w:b/>
          <w:bCs/>
        </w:rPr>
        <w:t xml:space="preserve">Véhicules </w:t>
      </w:r>
      <w:r w:rsidR="00684574" w:rsidRPr="009366B6">
        <w:rPr>
          <w:rFonts w:cstheme="minorHAnsi"/>
          <w:b/>
          <w:bCs/>
        </w:rPr>
        <w:t>non soumis à taxation</w:t>
      </w:r>
    </w:p>
    <w:p w14:paraId="49659044" w14:textId="52C29832" w:rsidR="00040220" w:rsidRPr="00A847B7" w:rsidRDefault="00C02553" w:rsidP="006533EA">
      <w:pPr>
        <w:rPr>
          <w:rFonts w:cstheme="minorHAnsi"/>
        </w:rPr>
      </w:pPr>
      <w:r w:rsidRPr="00A847B7">
        <w:rPr>
          <w:rFonts w:cstheme="minorHAnsi"/>
        </w:rPr>
        <w:t>La</w:t>
      </w:r>
      <w:r w:rsidR="00940A48" w:rsidRPr="00A847B7">
        <w:rPr>
          <w:rFonts w:cstheme="minorHAnsi"/>
        </w:rPr>
        <w:t xml:space="preserve"> taxe n’est pas applicable : </w:t>
      </w:r>
    </w:p>
    <w:p w14:paraId="6E638430" w14:textId="78E980CE" w:rsidR="00940A48" w:rsidRPr="00A847B7" w:rsidRDefault="00940A48" w:rsidP="00EE0687">
      <w:pPr>
        <w:pStyle w:val="Paragraphedeliste"/>
        <w:numPr>
          <w:ilvl w:val="0"/>
          <w:numId w:val="117"/>
        </w:numPr>
        <w:rPr>
          <w:rFonts w:cstheme="minorHAnsi"/>
        </w:rPr>
      </w:pPr>
      <w:r w:rsidRPr="00A847B7">
        <w:rPr>
          <w:rFonts w:cstheme="minorHAnsi"/>
        </w:rPr>
        <w:t>aux véhicules immatriculés dans un autre État membre de l’Union européenne ;</w:t>
      </w:r>
    </w:p>
    <w:p w14:paraId="30FF69E7" w14:textId="240A1923" w:rsidR="00940A48" w:rsidRPr="00A847B7" w:rsidRDefault="00940A48" w:rsidP="00EE0687">
      <w:pPr>
        <w:pStyle w:val="Paragraphedeliste"/>
        <w:numPr>
          <w:ilvl w:val="0"/>
          <w:numId w:val="117"/>
        </w:numPr>
        <w:rPr>
          <w:rFonts w:cstheme="minorHAnsi"/>
        </w:rPr>
      </w:pPr>
      <w:r w:rsidRPr="00A847B7">
        <w:rPr>
          <w:rFonts w:cstheme="minorHAnsi"/>
        </w:rPr>
        <w:t>aux ensembles de véhicules dont l’un des éléments est immatriculé dans un autre État membre de l’Union européenne, lorsque cet ensemble a été soumis, dans cet État membre</w:t>
      </w:r>
      <w:r w:rsidR="00506635" w:rsidRPr="00A847B7">
        <w:rPr>
          <w:rFonts w:cstheme="minorHAnsi"/>
        </w:rPr>
        <w:t xml:space="preserve"> à </w:t>
      </w:r>
      <w:r w:rsidR="008B340E" w:rsidRPr="00A847B7">
        <w:rPr>
          <w:rFonts w:cstheme="minorHAnsi"/>
        </w:rPr>
        <w:t>une taxe équivalente ;</w:t>
      </w:r>
    </w:p>
    <w:p w14:paraId="32730E4F" w14:textId="58D68F76" w:rsidR="008B340E" w:rsidRPr="00A847B7" w:rsidRDefault="008B340E" w:rsidP="00EE0687">
      <w:pPr>
        <w:pStyle w:val="Paragraphedeliste"/>
        <w:numPr>
          <w:ilvl w:val="0"/>
          <w:numId w:val="117"/>
        </w:numPr>
        <w:rPr>
          <w:rFonts w:cstheme="minorHAnsi"/>
        </w:rPr>
      </w:pPr>
      <w:r w:rsidRPr="00A847B7">
        <w:rPr>
          <w:rFonts w:cstheme="minorHAnsi"/>
        </w:rPr>
        <w:t>aux véhicules immatriculés dans un État tiers avec lequel la France a conclu un accord d’exonération réciproque, ou aux ensembles de véhicules dont l’un des éléments est immatriculé dans un tel État ;</w:t>
      </w:r>
    </w:p>
    <w:p w14:paraId="3A4A9089" w14:textId="68FCB734" w:rsidR="008B340E" w:rsidRDefault="00044DE6" w:rsidP="00EE0687">
      <w:pPr>
        <w:pStyle w:val="Paragraphedeliste"/>
        <w:numPr>
          <w:ilvl w:val="0"/>
          <w:numId w:val="117"/>
        </w:numPr>
        <w:rPr>
          <w:rFonts w:cstheme="minorHAnsi"/>
        </w:rPr>
      </w:pPr>
      <w:r w:rsidRPr="00A847B7">
        <w:rPr>
          <w:rFonts w:cstheme="minorHAnsi"/>
        </w:rPr>
        <w:t>a</w:t>
      </w:r>
      <w:r w:rsidR="008B340E" w:rsidRPr="00A847B7">
        <w:rPr>
          <w:rFonts w:cstheme="minorHAnsi"/>
        </w:rPr>
        <w:t xml:space="preserve">ux véhicules situés dans les </w:t>
      </w:r>
      <w:r w:rsidRPr="00A847B7">
        <w:rPr>
          <w:rFonts w:cstheme="minorHAnsi"/>
        </w:rPr>
        <w:t>départements et les régions d’Outre-mer.</w:t>
      </w:r>
    </w:p>
    <w:p w14:paraId="420D3649" w14:textId="77777777" w:rsidR="009366B6" w:rsidRPr="00A847B7" w:rsidRDefault="009366B6" w:rsidP="009366B6">
      <w:pPr>
        <w:pStyle w:val="Paragraphedeliste"/>
        <w:ind w:left="1428"/>
        <w:rPr>
          <w:rFonts w:cstheme="minorHAnsi"/>
        </w:rPr>
      </w:pPr>
    </w:p>
    <w:p w14:paraId="4755A389" w14:textId="2A320311" w:rsidR="00001A86" w:rsidRPr="009366B6" w:rsidRDefault="00001A86" w:rsidP="00EE0687">
      <w:pPr>
        <w:pStyle w:val="Paragraphedeliste"/>
        <w:numPr>
          <w:ilvl w:val="0"/>
          <w:numId w:val="110"/>
        </w:numPr>
        <w:rPr>
          <w:rFonts w:cstheme="minorHAnsi"/>
        </w:rPr>
      </w:pPr>
      <w:r w:rsidRPr="009366B6">
        <w:rPr>
          <w:rFonts w:cstheme="minorHAnsi"/>
          <w:b/>
          <w:bCs/>
        </w:rPr>
        <w:t>Tarif de la taxe</w:t>
      </w:r>
    </w:p>
    <w:p w14:paraId="70DAA32D" w14:textId="4AB6011F" w:rsidR="00337B4D" w:rsidRPr="00A847B7" w:rsidRDefault="00EB545F" w:rsidP="00001A86">
      <w:pPr>
        <w:rPr>
          <w:rFonts w:cstheme="minorHAnsi"/>
        </w:rPr>
      </w:pPr>
      <w:r w:rsidRPr="00A847B7">
        <w:rPr>
          <w:rFonts w:cstheme="minorHAnsi"/>
        </w:rPr>
        <w:t xml:space="preserve">Le tarif de cette taxe est déterminé </w:t>
      </w:r>
      <w:r w:rsidR="00337B4D" w:rsidRPr="00A847B7">
        <w:rPr>
          <w:rFonts w:cstheme="minorHAnsi"/>
        </w:rPr>
        <w:t>en fonction du nombre d’essieux, du poids total autorisé en charge, exprimé en tonnes, et de la présence ou non d’un système de suspension pneumatique :</w:t>
      </w:r>
    </w:p>
    <w:p w14:paraId="1578F7CC" w14:textId="77777777" w:rsidR="00A9734C" w:rsidRPr="00A847B7" w:rsidRDefault="00A9734C" w:rsidP="00001A86">
      <w:pPr>
        <w:rPr>
          <w:rFonts w:cstheme="minorHAnsi"/>
        </w:rPr>
      </w:pPr>
    </w:p>
    <w:tbl>
      <w:tblPr>
        <w:tblW w:w="8900" w:type="dxa"/>
        <w:jc w:val="center"/>
        <w:shd w:val="clear" w:color="auto" w:fill="FFFFFF"/>
        <w:tblCellMar>
          <w:left w:w="0" w:type="dxa"/>
          <w:right w:w="0" w:type="dxa"/>
        </w:tblCellMar>
        <w:tblLook w:val="04A0" w:firstRow="1" w:lastRow="0" w:firstColumn="1" w:lastColumn="0" w:noHBand="0" w:noVBand="1"/>
      </w:tblPr>
      <w:tblGrid>
        <w:gridCol w:w="1926"/>
        <w:gridCol w:w="1115"/>
        <w:gridCol w:w="1818"/>
        <w:gridCol w:w="2018"/>
        <w:gridCol w:w="2023"/>
      </w:tblGrid>
      <w:tr w:rsidR="00CF5170" w:rsidRPr="00A847B7" w14:paraId="41C33D46" w14:textId="77777777" w:rsidTr="009C44ED">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297FD5" w:themeFill="accent3"/>
            <w:tcMar>
              <w:top w:w="30" w:type="dxa"/>
              <w:left w:w="75" w:type="dxa"/>
              <w:bottom w:w="30" w:type="dxa"/>
              <w:right w:w="75" w:type="dxa"/>
            </w:tcMar>
            <w:hideMark/>
          </w:tcPr>
          <w:p w14:paraId="0DDC5F9D" w14:textId="77777777" w:rsidR="00CF5170" w:rsidRPr="00A847B7" w:rsidRDefault="00CF5170" w:rsidP="009C44ED">
            <w:pPr>
              <w:rPr>
                <w:rFonts w:cstheme="minorHAnsi"/>
                <w:b/>
                <w:bCs/>
                <w:color w:val="FFFFFF" w:themeColor="background1"/>
                <w:sz w:val="22"/>
                <w:szCs w:val="22"/>
              </w:rPr>
            </w:pPr>
            <w:r w:rsidRPr="00A847B7">
              <w:rPr>
                <w:rFonts w:cstheme="minorHAnsi"/>
                <w:b/>
                <w:bCs/>
                <w:color w:val="FFFFFF" w:themeColor="background1"/>
                <w:sz w:val="22"/>
                <w:szCs w:val="22"/>
              </w:rPr>
              <w:lastRenderedPageBreak/>
              <w:t>Type de véhicule</w:t>
            </w:r>
          </w:p>
        </w:tc>
        <w:tc>
          <w:tcPr>
            <w:tcW w:w="0" w:type="auto"/>
            <w:tcBorders>
              <w:top w:val="single" w:sz="6" w:space="0" w:color="000000"/>
              <w:left w:val="single" w:sz="6" w:space="0" w:color="000000"/>
              <w:bottom w:val="single" w:sz="6" w:space="0" w:color="000000"/>
              <w:right w:val="single" w:sz="6" w:space="0" w:color="000000"/>
            </w:tcBorders>
            <w:shd w:val="clear" w:color="auto" w:fill="297FD5" w:themeFill="accent3"/>
            <w:tcMar>
              <w:top w:w="30" w:type="dxa"/>
              <w:left w:w="75" w:type="dxa"/>
              <w:bottom w:w="30" w:type="dxa"/>
              <w:right w:w="75" w:type="dxa"/>
            </w:tcMar>
            <w:hideMark/>
          </w:tcPr>
          <w:p w14:paraId="5A4CB5B8" w14:textId="77777777" w:rsidR="00CF5170" w:rsidRPr="00A847B7" w:rsidRDefault="00CF5170" w:rsidP="009C44ED">
            <w:pPr>
              <w:rPr>
                <w:rFonts w:cstheme="minorHAnsi"/>
                <w:b/>
                <w:bCs/>
                <w:color w:val="FFFFFF" w:themeColor="background1"/>
                <w:sz w:val="22"/>
                <w:szCs w:val="22"/>
              </w:rPr>
            </w:pPr>
            <w:r w:rsidRPr="00A847B7">
              <w:rPr>
                <w:rFonts w:cstheme="minorHAnsi"/>
                <w:b/>
                <w:bCs/>
                <w:color w:val="FFFFFF" w:themeColor="background1"/>
                <w:sz w:val="22"/>
                <w:szCs w:val="22"/>
              </w:rPr>
              <w:t>Nombre d’essieux</w:t>
            </w:r>
          </w:p>
        </w:tc>
        <w:tc>
          <w:tcPr>
            <w:tcW w:w="0" w:type="auto"/>
            <w:tcBorders>
              <w:top w:val="single" w:sz="6" w:space="0" w:color="000000"/>
              <w:left w:val="single" w:sz="6" w:space="0" w:color="000000"/>
              <w:bottom w:val="single" w:sz="6" w:space="0" w:color="000000"/>
              <w:right w:val="single" w:sz="6" w:space="0" w:color="000000"/>
            </w:tcBorders>
            <w:shd w:val="clear" w:color="auto" w:fill="297FD5" w:themeFill="accent3"/>
            <w:tcMar>
              <w:top w:w="30" w:type="dxa"/>
              <w:left w:w="75" w:type="dxa"/>
              <w:bottom w:w="30" w:type="dxa"/>
              <w:right w:w="75" w:type="dxa"/>
            </w:tcMar>
            <w:hideMark/>
          </w:tcPr>
          <w:p w14:paraId="4BE429B6" w14:textId="77777777" w:rsidR="00CF5170" w:rsidRPr="00A847B7" w:rsidRDefault="00CF5170" w:rsidP="009C44ED">
            <w:pPr>
              <w:rPr>
                <w:rFonts w:cstheme="minorHAnsi"/>
                <w:b/>
                <w:bCs/>
                <w:color w:val="FFFFFF" w:themeColor="background1"/>
                <w:sz w:val="22"/>
                <w:szCs w:val="22"/>
              </w:rPr>
            </w:pPr>
            <w:r w:rsidRPr="00A847B7">
              <w:rPr>
                <w:rFonts w:cstheme="minorHAnsi"/>
                <w:b/>
                <w:bCs/>
                <w:color w:val="FFFFFF" w:themeColor="background1"/>
                <w:sz w:val="22"/>
                <w:szCs w:val="22"/>
              </w:rPr>
              <w:t>Poids total autorisé en charge du véhicule ou de l’ensemble</w:t>
            </w:r>
            <w:r w:rsidRPr="00A847B7">
              <w:rPr>
                <w:rFonts w:cstheme="minorHAnsi"/>
                <w:b/>
                <w:bCs/>
                <w:color w:val="FFFFFF" w:themeColor="background1"/>
                <w:sz w:val="22"/>
                <w:szCs w:val="22"/>
              </w:rPr>
              <w:br/>
              <w:t>(en tonnes)</w:t>
            </w:r>
          </w:p>
        </w:tc>
        <w:tc>
          <w:tcPr>
            <w:tcW w:w="0" w:type="auto"/>
            <w:tcBorders>
              <w:top w:val="single" w:sz="6" w:space="0" w:color="000000"/>
              <w:left w:val="single" w:sz="6" w:space="0" w:color="000000"/>
              <w:bottom w:val="single" w:sz="6" w:space="0" w:color="000000"/>
              <w:right w:val="single" w:sz="6" w:space="0" w:color="000000"/>
            </w:tcBorders>
            <w:shd w:val="clear" w:color="auto" w:fill="297FD5" w:themeFill="accent3"/>
            <w:tcMar>
              <w:top w:w="30" w:type="dxa"/>
              <w:left w:w="75" w:type="dxa"/>
              <w:bottom w:w="30" w:type="dxa"/>
              <w:right w:w="75" w:type="dxa"/>
            </w:tcMar>
            <w:hideMark/>
          </w:tcPr>
          <w:p w14:paraId="0B210B1B" w14:textId="77777777" w:rsidR="00CF5170" w:rsidRPr="00A847B7" w:rsidRDefault="00CF5170" w:rsidP="009C44ED">
            <w:pPr>
              <w:rPr>
                <w:rFonts w:cstheme="minorHAnsi"/>
                <w:b/>
                <w:bCs/>
                <w:color w:val="FFFFFF" w:themeColor="background1"/>
                <w:sz w:val="22"/>
                <w:szCs w:val="22"/>
              </w:rPr>
            </w:pPr>
            <w:r w:rsidRPr="00A847B7">
              <w:rPr>
                <w:rFonts w:cstheme="minorHAnsi"/>
                <w:b/>
                <w:bCs/>
                <w:color w:val="FFFFFF" w:themeColor="background1"/>
                <w:sz w:val="22"/>
                <w:szCs w:val="22"/>
              </w:rPr>
              <w:t>Tarif en présence d’un système de suspension pneumatique</w:t>
            </w:r>
            <w:r w:rsidRPr="00A847B7">
              <w:rPr>
                <w:rFonts w:cstheme="minorHAnsi"/>
                <w:b/>
                <w:bCs/>
                <w:color w:val="FFFFFF" w:themeColor="background1"/>
                <w:sz w:val="22"/>
                <w:szCs w:val="22"/>
              </w:rPr>
              <w:br/>
              <w:t>(en euros)</w:t>
            </w:r>
          </w:p>
        </w:tc>
        <w:tc>
          <w:tcPr>
            <w:tcW w:w="0" w:type="auto"/>
            <w:tcBorders>
              <w:top w:val="single" w:sz="6" w:space="0" w:color="000000"/>
              <w:left w:val="single" w:sz="6" w:space="0" w:color="000000"/>
              <w:bottom w:val="single" w:sz="6" w:space="0" w:color="000000"/>
              <w:right w:val="single" w:sz="6" w:space="0" w:color="000000"/>
            </w:tcBorders>
            <w:shd w:val="clear" w:color="auto" w:fill="297FD5" w:themeFill="accent3"/>
            <w:tcMar>
              <w:top w:w="30" w:type="dxa"/>
              <w:left w:w="75" w:type="dxa"/>
              <w:bottom w:w="30" w:type="dxa"/>
              <w:right w:w="75" w:type="dxa"/>
            </w:tcMar>
            <w:hideMark/>
          </w:tcPr>
          <w:p w14:paraId="0DB3B213" w14:textId="77777777" w:rsidR="00CF5170" w:rsidRPr="00A847B7" w:rsidRDefault="00CF5170" w:rsidP="009C44ED">
            <w:pPr>
              <w:rPr>
                <w:rFonts w:cstheme="minorHAnsi"/>
                <w:b/>
                <w:bCs/>
                <w:color w:val="FFFFFF" w:themeColor="background1"/>
                <w:sz w:val="22"/>
                <w:szCs w:val="22"/>
              </w:rPr>
            </w:pPr>
            <w:r w:rsidRPr="00A847B7">
              <w:rPr>
                <w:rFonts w:cstheme="minorHAnsi"/>
                <w:b/>
                <w:bCs/>
                <w:color w:val="FFFFFF" w:themeColor="background1"/>
                <w:sz w:val="22"/>
                <w:szCs w:val="22"/>
              </w:rPr>
              <w:t>Tarif en l’absence d’un système de suspension pneumatique</w:t>
            </w:r>
            <w:r w:rsidRPr="00A847B7">
              <w:rPr>
                <w:rFonts w:cstheme="minorHAnsi"/>
                <w:b/>
                <w:bCs/>
                <w:color w:val="FFFFFF" w:themeColor="background1"/>
                <w:sz w:val="22"/>
                <w:szCs w:val="22"/>
              </w:rPr>
              <w:br/>
              <w:t>(en euros)</w:t>
            </w:r>
          </w:p>
        </w:tc>
      </w:tr>
      <w:tr w:rsidR="00CF5170" w:rsidRPr="00A847B7" w14:paraId="367E8EA9" w14:textId="77777777" w:rsidTr="009C44ED">
        <w:trPr>
          <w:jc w:val="center"/>
        </w:trPr>
        <w:tc>
          <w:tcPr>
            <w:tcW w:w="0" w:type="auto"/>
            <w:vMerge w:val="restart"/>
            <w:tcBorders>
              <w:top w:val="single" w:sz="2" w:space="0" w:color="000000"/>
              <w:left w:val="single" w:sz="2" w:space="0" w:color="000000"/>
              <w:right w:val="single" w:sz="6" w:space="0" w:color="000000"/>
            </w:tcBorders>
            <w:shd w:val="clear" w:color="auto" w:fill="FFFFFF"/>
            <w:tcMar>
              <w:top w:w="30" w:type="dxa"/>
              <w:left w:w="75" w:type="dxa"/>
              <w:bottom w:w="30" w:type="dxa"/>
              <w:right w:w="75" w:type="dxa"/>
            </w:tcMar>
            <w:hideMark/>
          </w:tcPr>
          <w:p w14:paraId="7A126D02" w14:textId="7304404B" w:rsidR="00CF5170" w:rsidRPr="00A847B7" w:rsidRDefault="00CF5170" w:rsidP="009C44ED">
            <w:pPr>
              <w:rPr>
                <w:rFonts w:cstheme="minorHAnsi"/>
              </w:rPr>
            </w:pPr>
            <w:r w:rsidRPr="00A847B7">
              <w:rPr>
                <w:rFonts w:cstheme="minorHAnsi"/>
              </w:rPr>
              <w:t>Véhicule à moteur isolé</w:t>
            </w:r>
          </w:p>
        </w:tc>
        <w:tc>
          <w:tcPr>
            <w:tcW w:w="0" w:type="auto"/>
            <w:tcBorders>
              <w:top w:val="single" w:sz="6" w:space="0" w:color="000000"/>
              <w:left w:val="single" w:sz="6"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FECE9FA" w14:textId="001F897D" w:rsidR="00CF5170" w:rsidRPr="00A847B7" w:rsidRDefault="00CF5170" w:rsidP="009C44ED">
            <w:pPr>
              <w:rPr>
                <w:rFonts w:cstheme="minorHAnsi"/>
              </w:rPr>
            </w:pPr>
            <w:r w:rsidRPr="00A847B7">
              <w:rPr>
                <w:rFonts w:cstheme="minorHAnsi"/>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ED8E63A" w14:textId="4F30E703" w:rsidR="00CF5170" w:rsidRPr="00A847B7" w:rsidRDefault="00CF5170" w:rsidP="009C44ED">
            <w:pPr>
              <w:rPr>
                <w:rFonts w:cstheme="minorHAnsi"/>
              </w:rPr>
            </w:pPr>
            <w:r w:rsidRPr="00A847B7">
              <w:rPr>
                <w:rFonts w:cstheme="minorHAnsi"/>
              </w:rPr>
              <w:t>supérieur ou égal à 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20500B5" w14:textId="345774C6" w:rsidR="00CF5170" w:rsidRPr="00A847B7" w:rsidRDefault="00CF5170" w:rsidP="009C44ED">
            <w:pPr>
              <w:rPr>
                <w:rFonts w:cstheme="minorHAnsi"/>
              </w:rPr>
            </w:pPr>
            <w:r w:rsidRPr="00A847B7">
              <w:rPr>
                <w:rFonts w:cstheme="minorHAnsi"/>
              </w:rPr>
              <w:t>124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4F8FE17" w14:textId="22213B27" w:rsidR="00CF5170" w:rsidRPr="00A847B7" w:rsidRDefault="00CF5170" w:rsidP="009C44ED">
            <w:pPr>
              <w:rPr>
                <w:rFonts w:cstheme="minorHAnsi"/>
              </w:rPr>
            </w:pPr>
            <w:r w:rsidRPr="00A847B7">
              <w:rPr>
                <w:rFonts w:cstheme="minorHAnsi"/>
              </w:rPr>
              <w:t>276</w:t>
            </w:r>
          </w:p>
        </w:tc>
      </w:tr>
      <w:tr w:rsidR="00CF5170" w:rsidRPr="00A847B7" w14:paraId="36032093" w14:textId="77777777" w:rsidTr="009C44ED">
        <w:trPr>
          <w:jc w:val="center"/>
        </w:trPr>
        <w:tc>
          <w:tcPr>
            <w:tcW w:w="0" w:type="auto"/>
            <w:vMerge/>
            <w:tcBorders>
              <w:left w:val="single" w:sz="2" w:space="0" w:color="000000"/>
              <w:right w:val="single" w:sz="6" w:space="0" w:color="000000"/>
            </w:tcBorders>
            <w:shd w:val="clear" w:color="auto" w:fill="FFFFFF"/>
            <w:tcMar>
              <w:top w:w="30" w:type="dxa"/>
              <w:left w:w="75" w:type="dxa"/>
              <w:bottom w:w="30" w:type="dxa"/>
              <w:right w:w="75" w:type="dxa"/>
            </w:tcMar>
            <w:hideMark/>
          </w:tcPr>
          <w:p w14:paraId="3033A7D0" w14:textId="77777777" w:rsidR="00CF5170" w:rsidRPr="00A847B7" w:rsidRDefault="00CF5170" w:rsidP="009C44ED">
            <w:pPr>
              <w:rPr>
                <w:rFonts w:cstheme="minorHAnsi"/>
              </w:rPr>
            </w:pPr>
          </w:p>
        </w:tc>
        <w:tc>
          <w:tcPr>
            <w:tcW w:w="0" w:type="auto"/>
            <w:tcBorders>
              <w:top w:val="single" w:sz="2" w:space="0" w:color="000000"/>
              <w:left w:val="single" w:sz="6" w:space="0" w:color="000000"/>
              <w:bottom w:val="single" w:sz="2" w:space="0" w:color="000000"/>
              <w:right w:val="single" w:sz="6" w:space="0" w:color="000000"/>
            </w:tcBorders>
            <w:shd w:val="clear" w:color="auto" w:fill="FFFFFF"/>
            <w:tcMar>
              <w:top w:w="30" w:type="dxa"/>
              <w:left w:w="75" w:type="dxa"/>
              <w:bottom w:w="30" w:type="dxa"/>
              <w:right w:w="75" w:type="dxa"/>
            </w:tcMar>
          </w:tcPr>
          <w:p w14:paraId="48B995CD" w14:textId="54EA2F17" w:rsidR="00CF5170" w:rsidRPr="00A847B7" w:rsidRDefault="00CF5170" w:rsidP="009C44ED">
            <w:pPr>
              <w:rPr>
                <w:rFonts w:cstheme="minorHAnsi"/>
              </w:rPr>
            </w:pPr>
            <w:r w:rsidRPr="00A847B7">
              <w:rPr>
                <w:rFonts w:cstheme="minorHAnsi"/>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2B4BF01" w14:textId="221B2C18" w:rsidR="00CF5170" w:rsidRPr="00A847B7" w:rsidRDefault="00CF5170" w:rsidP="009C44ED">
            <w:pPr>
              <w:rPr>
                <w:rFonts w:cstheme="minorHAnsi"/>
              </w:rPr>
            </w:pPr>
            <w:r w:rsidRPr="00A847B7">
              <w:rPr>
                <w:rFonts w:cstheme="minorHAnsi"/>
              </w:rPr>
              <w:t>supérieur ou égal à 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B10418F" w14:textId="1A27AA39" w:rsidR="00CF5170" w:rsidRPr="00A847B7" w:rsidRDefault="00CF5170" w:rsidP="009C44ED">
            <w:pPr>
              <w:rPr>
                <w:rFonts w:cstheme="minorHAnsi"/>
              </w:rPr>
            </w:pPr>
            <w:r w:rsidRPr="00A847B7">
              <w:rPr>
                <w:rFonts w:cstheme="minorHAnsi"/>
              </w:rPr>
              <w:t>224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9AFEDA0" w14:textId="6FE71BD6" w:rsidR="00CF5170" w:rsidRPr="00A847B7" w:rsidRDefault="00CF5170" w:rsidP="009C44ED">
            <w:pPr>
              <w:rPr>
                <w:rFonts w:cstheme="minorHAnsi"/>
              </w:rPr>
            </w:pPr>
            <w:r w:rsidRPr="00A847B7">
              <w:rPr>
                <w:rFonts w:cstheme="minorHAnsi"/>
              </w:rPr>
              <w:t>348</w:t>
            </w:r>
          </w:p>
        </w:tc>
      </w:tr>
      <w:tr w:rsidR="00CF5170" w:rsidRPr="00A847B7" w14:paraId="716BFBB5" w14:textId="77777777" w:rsidTr="009C44ED">
        <w:trPr>
          <w:jc w:val="center"/>
        </w:trPr>
        <w:tc>
          <w:tcPr>
            <w:tcW w:w="0" w:type="auto"/>
            <w:vMerge/>
            <w:tcBorders>
              <w:left w:val="single" w:sz="2" w:space="0" w:color="000000"/>
              <w:right w:val="single" w:sz="6" w:space="0" w:color="000000"/>
            </w:tcBorders>
            <w:shd w:val="clear" w:color="auto" w:fill="FFFFFF"/>
            <w:tcMar>
              <w:top w:w="30" w:type="dxa"/>
              <w:left w:w="75" w:type="dxa"/>
              <w:bottom w:w="30" w:type="dxa"/>
              <w:right w:w="75" w:type="dxa"/>
            </w:tcMar>
            <w:hideMark/>
          </w:tcPr>
          <w:p w14:paraId="31057B8C" w14:textId="77777777" w:rsidR="00CF5170" w:rsidRPr="00A847B7" w:rsidRDefault="00CF5170" w:rsidP="009C44ED">
            <w:pPr>
              <w:rPr>
                <w:rFonts w:cstheme="minorHAnsi"/>
              </w:rPr>
            </w:pPr>
          </w:p>
        </w:tc>
        <w:tc>
          <w:tcPr>
            <w:tcW w:w="0" w:type="auto"/>
            <w:vMerge w:val="restart"/>
            <w:tcBorders>
              <w:top w:val="single" w:sz="2" w:space="0" w:color="000000"/>
              <w:left w:val="single" w:sz="6" w:space="0" w:color="000000"/>
              <w:right w:val="single" w:sz="6" w:space="0" w:color="000000"/>
            </w:tcBorders>
            <w:shd w:val="clear" w:color="auto" w:fill="FFFFFF"/>
            <w:tcMar>
              <w:top w:w="30" w:type="dxa"/>
              <w:left w:w="75" w:type="dxa"/>
              <w:bottom w:w="30" w:type="dxa"/>
              <w:right w:w="75" w:type="dxa"/>
            </w:tcMar>
            <w:hideMark/>
          </w:tcPr>
          <w:p w14:paraId="3A618306" w14:textId="371D656A" w:rsidR="00CF5170" w:rsidRPr="00A847B7" w:rsidRDefault="00CF5170" w:rsidP="009C44ED">
            <w:pPr>
              <w:rPr>
                <w:rFonts w:cstheme="minorHAnsi"/>
              </w:rPr>
            </w:pPr>
            <w:r w:rsidRPr="00A847B7">
              <w:rPr>
                <w:rFonts w:cstheme="minorHAnsi"/>
              </w:rPr>
              <w:t>4 et plus</w:t>
            </w:r>
          </w:p>
        </w:tc>
        <w:tc>
          <w:tcPr>
            <w:tcW w:w="0" w:type="auto"/>
            <w:tcBorders>
              <w:top w:val="single" w:sz="6" w:space="0" w:color="000000"/>
              <w:left w:val="single" w:sz="6" w:space="0" w:color="000000"/>
              <w:bottom w:val="single" w:sz="2" w:space="0" w:color="000000"/>
              <w:right w:val="single" w:sz="6" w:space="0" w:color="000000"/>
            </w:tcBorders>
            <w:shd w:val="clear" w:color="auto" w:fill="FFFFFF"/>
            <w:tcMar>
              <w:top w:w="30" w:type="dxa"/>
              <w:left w:w="75" w:type="dxa"/>
              <w:bottom w:w="30" w:type="dxa"/>
              <w:right w:w="75" w:type="dxa"/>
            </w:tcMar>
          </w:tcPr>
          <w:p w14:paraId="49EC5CDD" w14:textId="07774B92" w:rsidR="00CF5170" w:rsidRPr="00A847B7" w:rsidRDefault="00CF5170" w:rsidP="009C44ED">
            <w:pPr>
              <w:rPr>
                <w:rFonts w:cstheme="minorHAnsi"/>
              </w:rPr>
            </w:pPr>
            <w:r w:rsidRPr="00A847B7">
              <w:rPr>
                <w:rFonts w:cstheme="minorHAnsi"/>
              </w:rPr>
              <w:t>supérieur ou égal à 12 et inférieur à 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BB36268" w14:textId="7EB9FB75" w:rsidR="00CF5170" w:rsidRPr="00A847B7" w:rsidRDefault="00CF5170" w:rsidP="009C44ED">
            <w:pPr>
              <w:rPr>
                <w:rFonts w:cstheme="minorHAnsi"/>
              </w:rPr>
            </w:pPr>
            <w:r w:rsidRPr="00A847B7">
              <w:rPr>
                <w:rFonts w:cstheme="minorHAnsi"/>
              </w:rPr>
              <w:t>148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BD2D445" w14:textId="1023C453" w:rsidR="00CF5170" w:rsidRPr="00A847B7" w:rsidRDefault="00CF5170" w:rsidP="009C44ED">
            <w:pPr>
              <w:rPr>
                <w:rFonts w:cstheme="minorHAnsi"/>
              </w:rPr>
            </w:pPr>
            <w:r w:rsidRPr="00A847B7">
              <w:rPr>
                <w:rFonts w:cstheme="minorHAnsi"/>
              </w:rPr>
              <w:t>228</w:t>
            </w:r>
          </w:p>
        </w:tc>
      </w:tr>
      <w:tr w:rsidR="00CF5170" w:rsidRPr="00A847B7" w14:paraId="6C293CE2" w14:textId="77777777" w:rsidTr="009C44ED">
        <w:trPr>
          <w:jc w:val="center"/>
        </w:trPr>
        <w:tc>
          <w:tcPr>
            <w:tcW w:w="0" w:type="auto"/>
            <w:vMerge/>
            <w:tcBorders>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6A45314" w14:textId="77777777" w:rsidR="00CF5170" w:rsidRPr="00A847B7" w:rsidRDefault="00CF5170" w:rsidP="009C44ED">
            <w:pPr>
              <w:rPr>
                <w:rFonts w:cstheme="minorHAnsi"/>
              </w:rPr>
            </w:pPr>
          </w:p>
        </w:tc>
        <w:tc>
          <w:tcPr>
            <w:tcW w:w="0" w:type="auto"/>
            <w:vMerge/>
            <w:tcBorders>
              <w:left w:val="single" w:sz="6" w:space="0" w:color="000000"/>
              <w:bottom w:val="single" w:sz="6" w:space="0" w:color="000000"/>
              <w:right w:val="single" w:sz="6" w:space="0" w:color="000000"/>
            </w:tcBorders>
            <w:shd w:val="clear" w:color="auto" w:fill="FFFFFF"/>
            <w:tcMar>
              <w:top w:w="30" w:type="dxa"/>
              <w:left w:w="75" w:type="dxa"/>
              <w:bottom w:w="30" w:type="dxa"/>
              <w:right w:w="75" w:type="dxa"/>
            </w:tcMar>
            <w:hideMark/>
          </w:tcPr>
          <w:p w14:paraId="7913F7B6" w14:textId="77777777" w:rsidR="00CF5170" w:rsidRPr="00A847B7" w:rsidRDefault="00CF5170" w:rsidP="009C44ED">
            <w:pPr>
              <w:rPr>
                <w:rFonts w:cstheme="minorHAnsi"/>
              </w:rPr>
            </w:pPr>
          </w:p>
        </w:tc>
        <w:tc>
          <w:tcPr>
            <w:tcW w:w="0" w:type="auto"/>
            <w:tcBorders>
              <w:top w:val="single" w:sz="2"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hideMark/>
          </w:tcPr>
          <w:p w14:paraId="0E12EBF8" w14:textId="069AD205" w:rsidR="00CF5170" w:rsidRPr="00A847B7" w:rsidRDefault="00CF5170" w:rsidP="009C44ED">
            <w:pPr>
              <w:rPr>
                <w:rFonts w:cstheme="minorHAnsi"/>
              </w:rPr>
            </w:pPr>
            <w:r w:rsidRPr="00A847B7">
              <w:rPr>
                <w:rFonts w:cstheme="minorHAnsi"/>
              </w:rPr>
              <w:t>supérieur ou égal à 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6F33D79" w14:textId="3FF0C4E5" w:rsidR="00CF5170" w:rsidRPr="00A847B7" w:rsidRDefault="00CF5170" w:rsidP="009C44ED">
            <w:pPr>
              <w:rPr>
                <w:rFonts w:cstheme="minorHAnsi"/>
              </w:rPr>
            </w:pPr>
            <w:r w:rsidRPr="00A847B7">
              <w:rPr>
                <w:rFonts w:cstheme="minorHAnsi"/>
              </w:rPr>
              <w:t>364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C89FD29" w14:textId="472F6710" w:rsidR="00CF5170" w:rsidRPr="00A847B7" w:rsidRDefault="00CF5170" w:rsidP="009C44ED">
            <w:pPr>
              <w:rPr>
                <w:rFonts w:cstheme="minorHAnsi"/>
              </w:rPr>
            </w:pPr>
            <w:r w:rsidRPr="00A847B7">
              <w:rPr>
                <w:rFonts w:cstheme="minorHAnsi"/>
              </w:rPr>
              <w:t>540</w:t>
            </w:r>
          </w:p>
        </w:tc>
      </w:tr>
      <w:tr w:rsidR="00CF5170" w:rsidRPr="00A847B7" w14:paraId="0C6427C7" w14:textId="77777777" w:rsidTr="009C44ED">
        <w:trPr>
          <w:jc w:val="center"/>
        </w:trPr>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5119853" w14:textId="52965395" w:rsidR="00CF5170" w:rsidRPr="00A847B7" w:rsidRDefault="00CF5170" w:rsidP="009C44ED">
            <w:pPr>
              <w:rPr>
                <w:rFonts w:cstheme="minorHAnsi"/>
              </w:rPr>
            </w:pPr>
            <w:r w:rsidRPr="00A847B7">
              <w:rPr>
                <w:rFonts w:cstheme="minorHAnsi"/>
              </w:rPr>
              <w:t>Remorque de la catégorie O4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hideMark/>
          </w:tcPr>
          <w:p w14:paraId="0F0D6320" w14:textId="2330C602" w:rsidR="00CF5170" w:rsidRPr="00A847B7" w:rsidRDefault="00CF5170" w:rsidP="009C44ED">
            <w:pPr>
              <w:rPr>
                <w:rFonts w:cstheme="minorHAnsi"/>
              </w:rPr>
            </w:pPr>
            <w:r w:rsidRPr="00A847B7">
              <w:rPr>
                <w:rFonts w:cstheme="minorHAnsi"/>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hideMark/>
          </w:tcPr>
          <w:p w14:paraId="0FA0743B" w14:textId="5941EDAD" w:rsidR="00CF5170" w:rsidRPr="00A847B7" w:rsidRDefault="00CF5170" w:rsidP="009C44ED">
            <w:pPr>
              <w:rPr>
                <w:rFonts w:cstheme="minorHAnsi"/>
              </w:rPr>
            </w:pPr>
            <w:r w:rsidRPr="00A847B7">
              <w:rPr>
                <w:rFonts w:cstheme="minorHAnsi"/>
              </w:rPr>
              <w:t>supérieur ou égal à 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997B85A" w14:textId="5147EE72" w:rsidR="00CF5170" w:rsidRPr="00A847B7" w:rsidRDefault="00CF5170" w:rsidP="009C44ED">
            <w:pPr>
              <w:rPr>
                <w:rFonts w:cstheme="minorHAnsi"/>
              </w:rPr>
            </w:pPr>
            <w:r w:rsidRPr="00A847B7">
              <w:rPr>
                <w:rFonts w:cstheme="minorHAnsi"/>
              </w:rPr>
              <w:t>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C882205" w14:textId="4F937B22" w:rsidR="00CF5170" w:rsidRPr="00A847B7" w:rsidRDefault="00CF5170" w:rsidP="009C44ED">
            <w:pPr>
              <w:rPr>
                <w:rFonts w:cstheme="minorHAnsi"/>
              </w:rPr>
            </w:pPr>
            <w:r w:rsidRPr="00A847B7">
              <w:rPr>
                <w:rFonts w:cstheme="minorHAnsi"/>
              </w:rPr>
              <w:t>120</w:t>
            </w:r>
          </w:p>
        </w:tc>
      </w:tr>
      <w:tr w:rsidR="00CF5170" w:rsidRPr="00A847B7" w14:paraId="5D2F94DB" w14:textId="77777777" w:rsidTr="009C44ED">
        <w:trPr>
          <w:jc w:val="center"/>
        </w:trPr>
        <w:tc>
          <w:tcPr>
            <w:tcW w:w="0" w:type="auto"/>
            <w:vMerge w:val="restart"/>
            <w:tcBorders>
              <w:top w:val="single" w:sz="2" w:space="0" w:color="000000"/>
              <w:left w:val="single" w:sz="2" w:space="0" w:color="000000"/>
              <w:right w:val="single" w:sz="6" w:space="0" w:color="000000"/>
            </w:tcBorders>
            <w:shd w:val="clear" w:color="auto" w:fill="FFFFFF"/>
            <w:tcMar>
              <w:top w:w="30" w:type="dxa"/>
              <w:left w:w="75" w:type="dxa"/>
              <w:bottom w:w="30" w:type="dxa"/>
              <w:right w:w="75" w:type="dxa"/>
            </w:tcMar>
            <w:hideMark/>
          </w:tcPr>
          <w:p w14:paraId="7956BA48" w14:textId="04E364DC" w:rsidR="00CF5170" w:rsidRPr="00A847B7" w:rsidRDefault="00CF5170" w:rsidP="009C44ED">
            <w:pPr>
              <w:rPr>
                <w:rFonts w:cstheme="minorHAnsi"/>
              </w:rPr>
            </w:pPr>
            <w:r w:rsidRPr="00A847B7">
              <w:rPr>
                <w:rFonts w:cstheme="minorHAnsi"/>
              </w:rPr>
              <w:t>Ensemble articulé constitué d’un tracteur et d’une ou de plusieurs semi-remorques</w:t>
            </w:r>
          </w:p>
        </w:tc>
        <w:tc>
          <w:tcPr>
            <w:tcW w:w="0" w:type="auto"/>
            <w:vMerge w:val="restart"/>
            <w:tcBorders>
              <w:top w:val="single" w:sz="6" w:space="0" w:color="000000"/>
              <w:left w:val="single" w:sz="6" w:space="0" w:color="000000"/>
              <w:right w:val="single" w:sz="6" w:space="0" w:color="000000"/>
            </w:tcBorders>
            <w:shd w:val="clear" w:color="auto" w:fill="FFFFFF"/>
            <w:tcMar>
              <w:top w:w="30" w:type="dxa"/>
              <w:left w:w="75" w:type="dxa"/>
              <w:bottom w:w="30" w:type="dxa"/>
              <w:right w:w="75" w:type="dxa"/>
            </w:tcMar>
            <w:hideMark/>
          </w:tcPr>
          <w:p w14:paraId="0F3556D1" w14:textId="7FA0BBA8" w:rsidR="00CF5170" w:rsidRPr="00A847B7" w:rsidRDefault="00CF5170" w:rsidP="009C44ED">
            <w:pPr>
              <w:rPr>
                <w:rFonts w:cstheme="minorHAnsi"/>
              </w:rPr>
            </w:pPr>
            <w:r w:rsidRPr="00A847B7">
              <w:rPr>
                <w:rFonts w:cstheme="minorHAnsi"/>
              </w:rPr>
              <w:t>1</w:t>
            </w:r>
          </w:p>
        </w:tc>
        <w:tc>
          <w:tcPr>
            <w:tcW w:w="0" w:type="auto"/>
            <w:tcBorders>
              <w:top w:val="single" w:sz="6" w:space="0" w:color="000000"/>
              <w:left w:val="single" w:sz="6"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C5050BE" w14:textId="186AF7BC" w:rsidR="00CF5170" w:rsidRPr="00A847B7" w:rsidRDefault="00CF5170" w:rsidP="009C44ED">
            <w:pPr>
              <w:rPr>
                <w:rFonts w:cstheme="minorHAnsi"/>
              </w:rPr>
            </w:pPr>
            <w:r w:rsidRPr="00A847B7">
              <w:rPr>
                <w:rFonts w:cstheme="minorHAnsi"/>
              </w:rPr>
              <w:t>supérieur ou égal à 12 et inférieur à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0364113" w14:textId="30AFB50E" w:rsidR="00CF5170" w:rsidRPr="00A847B7" w:rsidRDefault="00CF5170" w:rsidP="009C44ED">
            <w:pPr>
              <w:rPr>
                <w:rFonts w:cstheme="minorHAnsi"/>
              </w:rPr>
            </w:pPr>
            <w:r w:rsidRPr="00A847B7">
              <w:rPr>
                <w:rFonts w:cstheme="minorHAnsi"/>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C6B2449" w14:textId="5FC1A490" w:rsidR="00CF5170" w:rsidRPr="00A847B7" w:rsidRDefault="00CF5170" w:rsidP="009C44ED">
            <w:pPr>
              <w:rPr>
                <w:rFonts w:cstheme="minorHAnsi"/>
              </w:rPr>
            </w:pPr>
            <w:r w:rsidRPr="00A847B7">
              <w:rPr>
                <w:rFonts w:cstheme="minorHAnsi"/>
              </w:rPr>
              <w:t>32</w:t>
            </w:r>
          </w:p>
        </w:tc>
      </w:tr>
      <w:tr w:rsidR="00CF5170" w:rsidRPr="00A847B7" w14:paraId="69F4FC58" w14:textId="77777777" w:rsidTr="009C44ED">
        <w:trPr>
          <w:jc w:val="center"/>
        </w:trPr>
        <w:tc>
          <w:tcPr>
            <w:tcW w:w="0" w:type="auto"/>
            <w:vMerge/>
            <w:tcBorders>
              <w:left w:val="single" w:sz="2" w:space="0" w:color="000000"/>
              <w:right w:val="single" w:sz="6" w:space="0" w:color="000000"/>
            </w:tcBorders>
            <w:shd w:val="clear" w:color="auto" w:fill="FFFFFF"/>
            <w:tcMar>
              <w:top w:w="30" w:type="dxa"/>
              <w:left w:w="75" w:type="dxa"/>
              <w:bottom w:w="30" w:type="dxa"/>
              <w:right w:w="75" w:type="dxa"/>
            </w:tcMar>
            <w:hideMark/>
          </w:tcPr>
          <w:p w14:paraId="056E6BF4" w14:textId="77777777" w:rsidR="00CF5170" w:rsidRPr="00A847B7" w:rsidRDefault="00CF5170" w:rsidP="009C44ED">
            <w:pPr>
              <w:rPr>
                <w:rFonts w:cstheme="minorHAnsi"/>
              </w:rPr>
            </w:pPr>
          </w:p>
        </w:tc>
        <w:tc>
          <w:tcPr>
            <w:tcW w:w="0" w:type="auto"/>
            <w:vMerge/>
            <w:tcBorders>
              <w:left w:val="single" w:sz="6"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83033AC" w14:textId="77777777" w:rsidR="00CF5170" w:rsidRPr="00A847B7" w:rsidRDefault="00CF5170" w:rsidP="009C44ED">
            <w:pPr>
              <w:rPr>
                <w:rFonts w:cstheme="minorHAnsi"/>
              </w:rPr>
            </w:pPr>
          </w:p>
        </w:tc>
        <w:tc>
          <w:tcPr>
            <w:tcW w:w="0" w:type="auto"/>
            <w:tcBorders>
              <w:top w:val="single" w:sz="2"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hideMark/>
          </w:tcPr>
          <w:p w14:paraId="6C3B4AFD" w14:textId="5AAE9C92" w:rsidR="00CF5170" w:rsidRPr="00A847B7" w:rsidRDefault="00CF5170" w:rsidP="009C44ED">
            <w:pPr>
              <w:rPr>
                <w:rFonts w:cstheme="minorHAnsi"/>
              </w:rPr>
            </w:pPr>
            <w:r w:rsidRPr="00A847B7">
              <w:rPr>
                <w:rFonts w:cstheme="minorHAnsi"/>
              </w:rPr>
              <w:t>supérieur ou égal à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9B8AF57" w14:textId="22D31749" w:rsidR="00CF5170" w:rsidRPr="00A847B7" w:rsidRDefault="00CF5170" w:rsidP="009C44ED">
            <w:pPr>
              <w:rPr>
                <w:rFonts w:cstheme="minorHAnsi"/>
              </w:rPr>
            </w:pPr>
            <w:r w:rsidRPr="00A847B7">
              <w:rPr>
                <w:rFonts w:cstheme="minorHAnsi"/>
              </w:rPr>
              <w:t>176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D2B77F1" w14:textId="1730FF5F" w:rsidR="00CF5170" w:rsidRPr="00A847B7" w:rsidRDefault="00CF5170" w:rsidP="009C44ED">
            <w:pPr>
              <w:rPr>
                <w:rFonts w:cstheme="minorHAnsi"/>
              </w:rPr>
            </w:pPr>
            <w:r w:rsidRPr="00A847B7">
              <w:rPr>
                <w:rFonts w:cstheme="minorHAnsi"/>
              </w:rPr>
              <w:t>308</w:t>
            </w:r>
          </w:p>
        </w:tc>
      </w:tr>
      <w:tr w:rsidR="00CF5170" w:rsidRPr="00A847B7" w14:paraId="52FD0510" w14:textId="77777777" w:rsidTr="009C44ED">
        <w:trPr>
          <w:jc w:val="center"/>
        </w:trPr>
        <w:tc>
          <w:tcPr>
            <w:tcW w:w="0" w:type="auto"/>
            <w:vMerge/>
            <w:tcBorders>
              <w:left w:val="single" w:sz="2" w:space="0" w:color="000000"/>
              <w:right w:val="single" w:sz="6" w:space="0" w:color="000000"/>
            </w:tcBorders>
            <w:shd w:val="clear" w:color="auto" w:fill="FFFFFF"/>
            <w:tcMar>
              <w:top w:w="30" w:type="dxa"/>
              <w:left w:w="75" w:type="dxa"/>
              <w:bottom w:w="30" w:type="dxa"/>
              <w:right w:w="75" w:type="dxa"/>
            </w:tcMar>
            <w:hideMark/>
          </w:tcPr>
          <w:p w14:paraId="76819F9F" w14:textId="77777777" w:rsidR="00CF5170" w:rsidRPr="00A847B7" w:rsidRDefault="00CF5170" w:rsidP="009C44ED">
            <w:pPr>
              <w:rPr>
                <w:rFonts w:cstheme="minorHAnsi"/>
              </w:rPr>
            </w:pPr>
          </w:p>
        </w:tc>
        <w:tc>
          <w:tcPr>
            <w:tcW w:w="0" w:type="auto"/>
            <w:vMerge w:val="restart"/>
            <w:tcBorders>
              <w:top w:val="single" w:sz="2" w:space="0" w:color="000000"/>
              <w:left w:val="single" w:sz="6" w:space="0" w:color="000000"/>
              <w:right w:val="single" w:sz="6" w:space="0" w:color="000000"/>
            </w:tcBorders>
            <w:shd w:val="clear" w:color="auto" w:fill="FFFFFF"/>
            <w:tcMar>
              <w:top w:w="30" w:type="dxa"/>
              <w:left w:w="75" w:type="dxa"/>
              <w:bottom w:w="30" w:type="dxa"/>
              <w:right w:w="75" w:type="dxa"/>
            </w:tcMar>
            <w:hideMark/>
          </w:tcPr>
          <w:p w14:paraId="65D586ED" w14:textId="3C626111" w:rsidR="00CF5170" w:rsidRPr="00A847B7" w:rsidRDefault="00CF5170" w:rsidP="009C44ED">
            <w:pPr>
              <w:rPr>
                <w:rFonts w:cstheme="minorHAnsi"/>
              </w:rPr>
            </w:pPr>
            <w:r w:rsidRPr="00A847B7">
              <w:rPr>
                <w:rFonts w:cstheme="minorHAnsi"/>
              </w:rPr>
              <w:t>2</w:t>
            </w:r>
          </w:p>
        </w:tc>
        <w:tc>
          <w:tcPr>
            <w:tcW w:w="0" w:type="auto"/>
            <w:tcBorders>
              <w:top w:val="single" w:sz="6" w:space="0" w:color="000000"/>
              <w:left w:val="single" w:sz="6"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BA62F27" w14:textId="445FE7CE" w:rsidR="00CF5170" w:rsidRPr="00A847B7" w:rsidRDefault="00CF5170" w:rsidP="009C44ED">
            <w:pPr>
              <w:rPr>
                <w:rFonts w:cstheme="minorHAnsi"/>
              </w:rPr>
            </w:pPr>
            <w:r w:rsidRPr="00A847B7">
              <w:rPr>
                <w:rFonts w:cstheme="minorHAnsi"/>
              </w:rPr>
              <w:t>supérieur ou égal à 12 et inférieur à 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16BCB14" w14:textId="0E102D4A" w:rsidR="00CF5170" w:rsidRPr="00A847B7" w:rsidRDefault="00CF5170" w:rsidP="009C44ED">
            <w:pPr>
              <w:rPr>
                <w:rFonts w:cstheme="minorHAnsi"/>
              </w:rPr>
            </w:pPr>
            <w:r w:rsidRPr="00A847B7">
              <w:rPr>
                <w:rFonts w:cstheme="minorHAnsi"/>
              </w:rPr>
              <w:t>116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F5A84EC" w14:textId="1DA61786" w:rsidR="00CF5170" w:rsidRPr="00A847B7" w:rsidRDefault="00CF5170" w:rsidP="009C44ED">
            <w:pPr>
              <w:rPr>
                <w:rFonts w:cstheme="minorHAnsi"/>
              </w:rPr>
            </w:pPr>
            <w:r w:rsidRPr="00A847B7">
              <w:rPr>
                <w:rFonts w:cstheme="minorHAnsi"/>
              </w:rPr>
              <w:t>172</w:t>
            </w:r>
          </w:p>
        </w:tc>
      </w:tr>
      <w:tr w:rsidR="00CF5170" w:rsidRPr="00A847B7" w14:paraId="4FB94497" w14:textId="77777777" w:rsidTr="009C44ED">
        <w:trPr>
          <w:jc w:val="center"/>
        </w:trPr>
        <w:tc>
          <w:tcPr>
            <w:tcW w:w="0" w:type="auto"/>
            <w:vMerge/>
            <w:tcBorders>
              <w:left w:val="single" w:sz="2" w:space="0" w:color="000000"/>
              <w:right w:val="single" w:sz="6" w:space="0" w:color="000000"/>
            </w:tcBorders>
            <w:shd w:val="clear" w:color="auto" w:fill="FFFFFF"/>
            <w:tcMar>
              <w:top w:w="30" w:type="dxa"/>
              <w:left w:w="75" w:type="dxa"/>
              <w:bottom w:w="30" w:type="dxa"/>
              <w:right w:w="75" w:type="dxa"/>
            </w:tcMar>
            <w:hideMark/>
          </w:tcPr>
          <w:p w14:paraId="4FB81838" w14:textId="77777777" w:rsidR="00CF5170" w:rsidRPr="00A847B7" w:rsidRDefault="00CF5170" w:rsidP="009C44ED">
            <w:pPr>
              <w:rPr>
                <w:rFonts w:cstheme="minorHAnsi"/>
              </w:rPr>
            </w:pPr>
          </w:p>
        </w:tc>
        <w:tc>
          <w:tcPr>
            <w:tcW w:w="0" w:type="auto"/>
            <w:vMerge/>
            <w:tcBorders>
              <w:left w:val="single" w:sz="6" w:space="0" w:color="000000"/>
              <w:right w:val="single" w:sz="6" w:space="0" w:color="000000"/>
            </w:tcBorders>
            <w:shd w:val="clear" w:color="auto" w:fill="FFFFFF"/>
            <w:tcMar>
              <w:top w:w="30" w:type="dxa"/>
              <w:left w:w="75" w:type="dxa"/>
              <w:bottom w:w="30" w:type="dxa"/>
              <w:right w:w="75" w:type="dxa"/>
            </w:tcMar>
            <w:hideMark/>
          </w:tcPr>
          <w:p w14:paraId="6485FB47" w14:textId="6E0304FE" w:rsidR="00CF5170" w:rsidRPr="00A847B7" w:rsidRDefault="00CF5170" w:rsidP="009C44ED">
            <w:pPr>
              <w:rPr>
                <w:rFonts w:cstheme="minorHAnsi"/>
              </w:rPr>
            </w:pPr>
          </w:p>
        </w:tc>
        <w:tc>
          <w:tcPr>
            <w:tcW w:w="0" w:type="auto"/>
            <w:tcBorders>
              <w:top w:val="single" w:sz="2" w:space="0" w:color="000000"/>
              <w:left w:val="single" w:sz="6"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305B1F5" w14:textId="2E4C9238" w:rsidR="00CF5170" w:rsidRPr="00A847B7" w:rsidRDefault="00CF5170" w:rsidP="009C44ED">
            <w:pPr>
              <w:rPr>
                <w:rFonts w:cstheme="minorHAnsi"/>
              </w:rPr>
            </w:pPr>
            <w:r w:rsidRPr="00A847B7">
              <w:rPr>
                <w:rFonts w:cstheme="minorHAnsi"/>
              </w:rPr>
              <w:t>supérieur ou égal à 27 et inférieur à 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C88AB58" w14:textId="07E12688" w:rsidR="00CF5170" w:rsidRPr="00A847B7" w:rsidRDefault="00CF5170" w:rsidP="009C44ED">
            <w:pPr>
              <w:rPr>
                <w:rFonts w:cstheme="minorHAnsi"/>
              </w:rPr>
            </w:pPr>
            <w:r w:rsidRPr="00A847B7">
              <w:rPr>
                <w:rFonts w:cstheme="minorHAnsi"/>
              </w:rPr>
              <w:t>336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222104E" w14:textId="638FE162" w:rsidR="00CF5170" w:rsidRPr="00A847B7" w:rsidRDefault="00CF5170" w:rsidP="009C44ED">
            <w:pPr>
              <w:rPr>
                <w:rFonts w:cstheme="minorHAnsi"/>
              </w:rPr>
            </w:pPr>
            <w:r w:rsidRPr="00A847B7">
              <w:rPr>
                <w:rFonts w:cstheme="minorHAnsi"/>
              </w:rPr>
              <w:t>468</w:t>
            </w:r>
          </w:p>
        </w:tc>
      </w:tr>
      <w:tr w:rsidR="00CF5170" w:rsidRPr="00A847B7" w14:paraId="14BF6A81" w14:textId="77777777" w:rsidTr="009C44ED">
        <w:trPr>
          <w:jc w:val="center"/>
        </w:trPr>
        <w:tc>
          <w:tcPr>
            <w:tcW w:w="0" w:type="auto"/>
            <w:vMerge/>
            <w:tcBorders>
              <w:left w:val="single" w:sz="2" w:space="0" w:color="000000"/>
              <w:right w:val="single" w:sz="6" w:space="0" w:color="000000"/>
            </w:tcBorders>
            <w:shd w:val="clear" w:color="auto" w:fill="FFFFFF"/>
            <w:tcMar>
              <w:top w:w="30" w:type="dxa"/>
              <w:left w:w="75" w:type="dxa"/>
              <w:bottom w:w="30" w:type="dxa"/>
              <w:right w:w="75" w:type="dxa"/>
            </w:tcMar>
            <w:hideMark/>
          </w:tcPr>
          <w:p w14:paraId="11892854" w14:textId="77777777" w:rsidR="00CF5170" w:rsidRPr="00A847B7" w:rsidRDefault="00CF5170" w:rsidP="009C44ED">
            <w:pPr>
              <w:rPr>
                <w:rFonts w:cstheme="minorHAnsi"/>
              </w:rPr>
            </w:pPr>
          </w:p>
        </w:tc>
        <w:tc>
          <w:tcPr>
            <w:tcW w:w="0" w:type="auto"/>
            <w:vMerge/>
            <w:tcBorders>
              <w:left w:val="single" w:sz="6" w:space="0" w:color="000000"/>
              <w:right w:val="single" w:sz="6" w:space="0" w:color="000000"/>
            </w:tcBorders>
            <w:shd w:val="clear" w:color="auto" w:fill="FFFFFF"/>
            <w:tcMar>
              <w:top w:w="30" w:type="dxa"/>
              <w:left w:w="75" w:type="dxa"/>
              <w:bottom w:w="30" w:type="dxa"/>
              <w:right w:w="75" w:type="dxa"/>
            </w:tcMar>
            <w:hideMark/>
          </w:tcPr>
          <w:p w14:paraId="55DCDF54" w14:textId="77777777" w:rsidR="00CF5170" w:rsidRPr="00A847B7" w:rsidRDefault="00CF5170" w:rsidP="009C44ED">
            <w:pPr>
              <w:rPr>
                <w:rFonts w:cstheme="minorHAnsi"/>
              </w:rPr>
            </w:pPr>
          </w:p>
        </w:tc>
        <w:tc>
          <w:tcPr>
            <w:tcW w:w="0" w:type="auto"/>
            <w:tcBorders>
              <w:top w:val="single" w:sz="2" w:space="0" w:color="000000"/>
              <w:left w:val="single" w:sz="6"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57077EE" w14:textId="4A9233A7" w:rsidR="00CF5170" w:rsidRPr="00A847B7" w:rsidRDefault="00CF5170" w:rsidP="009C44ED">
            <w:pPr>
              <w:rPr>
                <w:rFonts w:cstheme="minorHAnsi"/>
              </w:rPr>
            </w:pPr>
            <w:r w:rsidRPr="00A847B7">
              <w:rPr>
                <w:rFonts w:cstheme="minorHAnsi"/>
              </w:rPr>
              <w:t>supérieur ou égal à 33 et inférieur à 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6B593D8" w14:textId="21C64C5D" w:rsidR="00CF5170" w:rsidRPr="00A847B7" w:rsidRDefault="00CF5170" w:rsidP="009C44ED">
            <w:pPr>
              <w:rPr>
                <w:rFonts w:cstheme="minorHAnsi"/>
              </w:rPr>
            </w:pPr>
            <w:r w:rsidRPr="00A847B7">
              <w:rPr>
                <w:rFonts w:cstheme="minorHAnsi"/>
              </w:rPr>
              <w:t>468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EF589A7" w14:textId="4F6C4481" w:rsidR="00CF5170" w:rsidRPr="00A847B7" w:rsidRDefault="00CF5170" w:rsidP="009C44ED">
            <w:pPr>
              <w:rPr>
                <w:rFonts w:cstheme="minorHAnsi"/>
              </w:rPr>
            </w:pPr>
            <w:r w:rsidRPr="00A847B7">
              <w:rPr>
                <w:rFonts w:cstheme="minorHAnsi"/>
              </w:rPr>
              <w:t>708</w:t>
            </w:r>
          </w:p>
        </w:tc>
      </w:tr>
      <w:tr w:rsidR="00CF5170" w:rsidRPr="00A847B7" w14:paraId="022730DC" w14:textId="77777777" w:rsidTr="009C44ED">
        <w:trPr>
          <w:jc w:val="center"/>
        </w:trPr>
        <w:tc>
          <w:tcPr>
            <w:tcW w:w="0" w:type="auto"/>
            <w:vMerge/>
            <w:tcBorders>
              <w:left w:val="single" w:sz="2" w:space="0" w:color="000000"/>
              <w:right w:val="single" w:sz="6" w:space="0" w:color="000000"/>
            </w:tcBorders>
            <w:shd w:val="clear" w:color="auto" w:fill="FFFFFF"/>
            <w:tcMar>
              <w:top w:w="30" w:type="dxa"/>
              <w:left w:w="75" w:type="dxa"/>
              <w:bottom w:w="30" w:type="dxa"/>
              <w:right w:w="75" w:type="dxa"/>
            </w:tcMar>
            <w:hideMark/>
          </w:tcPr>
          <w:p w14:paraId="0E65858C" w14:textId="77777777" w:rsidR="00CF5170" w:rsidRPr="00A847B7" w:rsidRDefault="00CF5170" w:rsidP="009C44ED">
            <w:pPr>
              <w:rPr>
                <w:rFonts w:cstheme="minorHAnsi"/>
              </w:rPr>
            </w:pPr>
          </w:p>
        </w:tc>
        <w:tc>
          <w:tcPr>
            <w:tcW w:w="0" w:type="auto"/>
            <w:vMerge/>
            <w:tcBorders>
              <w:left w:val="single" w:sz="6"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7C1058D" w14:textId="77777777" w:rsidR="00CF5170" w:rsidRPr="00A847B7" w:rsidRDefault="00CF5170" w:rsidP="009C44ED">
            <w:pPr>
              <w:rPr>
                <w:rFonts w:cstheme="minorHAnsi"/>
              </w:rPr>
            </w:pPr>
          </w:p>
        </w:tc>
        <w:tc>
          <w:tcPr>
            <w:tcW w:w="0" w:type="auto"/>
            <w:tcBorders>
              <w:top w:val="single" w:sz="2"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hideMark/>
          </w:tcPr>
          <w:p w14:paraId="72FEED2D" w14:textId="65D4682E" w:rsidR="00CF5170" w:rsidRPr="00A847B7" w:rsidRDefault="00CF5170" w:rsidP="009C44ED">
            <w:pPr>
              <w:rPr>
                <w:rFonts w:cstheme="minorHAnsi"/>
              </w:rPr>
            </w:pPr>
            <w:r w:rsidRPr="00A847B7">
              <w:rPr>
                <w:rFonts w:cstheme="minorHAnsi"/>
              </w:rPr>
              <w:t>supérieur ou égal à 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8DDDA53" w14:textId="078CF5F6" w:rsidR="00CF5170" w:rsidRPr="00A847B7" w:rsidRDefault="00CF5170" w:rsidP="009C44ED">
            <w:pPr>
              <w:rPr>
                <w:rFonts w:cstheme="minorHAnsi"/>
              </w:rPr>
            </w:pPr>
            <w:r w:rsidRPr="00A847B7">
              <w:rPr>
                <w:rFonts w:cstheme="minorHAnsi"/>
              </w:rPr>
              <w:t>628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20D691C" w14:textId="45C4A3D3" w:rsidR="00CF5170" w:rsidRPr="00A847B7" w:rsidRDefault="00CF5170" w:rsidP="009C44ED">
            <w:pPr>
              <w:rPr>
                <w:rFonts w:cstheme="minorHAnsi"/>
              </w:rPr>
            </w:pPr>
            <w:r w:rsidRPr="00A847B7">
              <w:rPr>
                <w:rFonts w:cstheme="minorHAnsi"/>
              </w:rPr>
              <w:t>932</w:t>
            </w:r>
          </w:p>
        </w:tc>
      </w:tr>
      <w:tr w:rsidR="00CF5170" w:rsidRPr="00A847B7" w14:paraId="2741AE2E" w14:textId="77777777" w:rsidTr="009C44ED">
        <w:trPr>
          <w:jc w:val="center"/>
        </w:trPr>
        <w:tc>
          <w:tcPr>
            <w:tcW w:w="0" w:type="auto"/>
            <w:vMerge/>
            <w:tcBorders>
              <w:left w:val="single" w:sz="2" w:space="0" w:color="000000"/>
              <w:right w:val="single" w:sz="6" w:space="0" w:color="000000"/>
            </w:tcBorders>
            <w:shd w:val="clear" w:color="auto" w:fill="FFFFFF"/>
            <w:tcMar>
              <w:top w:w="30" w:type="dxa"/>
              <w:left w:w="75" w:type="dxa"/>
              <w:bottom w:w="30" w:type="dxa"/>
              <w:right w:w="75" w:type="dxa"/>
            </w:tcMar>
            <w:hideMark/>
          </w:tcPr>
          <w:p w14:paraId="348A2477" w14:textId="77777777" w:rsidR="00CF5170" w:rsidRPr="00A847B7" w:rsidRDefault="00CF5170" w:rsidP="009C44ED">
            <w:pPr>
              <w:rPr>
                <w:rFonts w:cstheme="minorHAnsi"/>
              </w:rPr>
            </w:pPr>
          </w:p>
        </w:tc>
        <w:tc>
          <w:tcPr>
            <w:tcW w:w="0" w:type="auto"/>
            <w:vMerge w:val="restart"/>
            <w:tcBorders>
              <w:top w:val="single" w:sz="2" w:space="0" w:color="000000"/>
              <w:left w:val="single" w:sz="6" w:space="0" w:color="000000"/>
              <w:right w:val="single" w:sz="6" w:space="0" w:color="000000"/>
            </w:tcBorders>
            <w:shd w:val="clear" w:color="auto" w:fill="FFFFFF"/>
            <w:tcMar>
              <w:top w:w="30" w:type="dxa"/>
              <w:left w:w="75" w:type="dxa"/>
              <w:bottom w:w="30" w:type="dxa"/>
              <w:right w:w="75" w:type="dxa"/>
            </w:tcMar>
            <w:hideMark/>
          </w:tcPr>
          <w:p w14:paraId="32A5BA15" w14:textId="210E3460" w:rsidR="00CF5170" w:rsidRPr="00A847B7" w:rsidRDefault="00CF5170" w:rsidP="009C44ED">
            <w:pPr>
              <w:rPr>
                <w:rFonts w:cstheme="minorHAnsi"/>
              </w:rPr>
            </w:pPr>
            <w:r w:rsidRPr="00A847B7">
              <w:rPr>
                <w:rFonts w:cstheme="minorHAnsi"/>
              </w:rPr>
              <w:t>3 et plus</w:t>
            </w:r>
          </w:p>
        </w:tc>
        <w:tc>
          <w:tcPr>
            <w:tcW w:w="0" w:type="auto"/>
            <w:tcBorders>
              <w:top w:val="single" w:sz="6" w:space="0" w:color="000000"/>
              <w:left w:val="single" w:sz="6"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AE081BC" w14:textId="4E7A0E3E" w:rsidR="00CF5170" w:rsidRPr="00A847B7" w:rsidRDefault="00CF5170" w:rsidP="009C44ED">
            <w:pPr>
              <w:rPr>
                <w:rFonts w:cstheme="minorHAnsi"/>
              </w:rPr>
            </w:pPr>
            <w:r w:rsidRPr="00A847B7">
              <w:rPr>
                <w:rFonts w:cstheme="minorHAnsi"/>
              </w:rPr>
              <w:t>supérieur ou égal à 12 et inférieur à 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1DDD56D" w14:textId="3B813EDC" w:rsidR="00CF5170" w:rsidRPr="00A847B7" w:rsidRDefault="00CF5170" w:rsidP="009C44ED">
            <w:pPr>
              <w:rPr>
                <w:rFonts w:cstheme="minorHAnsi"/>
              </w:rPr>
            </w:pPr>
            <w:r w:rsidRPr="00A847B7">
              <w:rPr>
                <w:rFonts w:cstheme="minorHAnsi"/>
              </w:rPr>
              <w:t>372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6517F0E" w14:textId="68554BB2" w:rsidR="00CF5170" w:rsidRPr="00A847B7" w:rsidRDefault="00CF5170" w:rsidP="009C44ED">
            <w:pPr>
              <w:rPr>
                <w:rFonts w:cstheme="minorHAnsi"/>
              </w:rPr>
            </w:pPr>
            <w:r w:rsidRPr="00A847B7">
              <w:rPr>
                <w:rFonts w:cstheme="minorHAnsi"/>
              </w:rPr>
              <w:t>516</w:t>
            </w:r>
          </w:p>
        </w:tc>
      </w:tr>
      <w:tr w:rsidR="00CF5170" w:rsidRPr="00A847B7" w14:paraId="51F16D37" w14:textId="77777777" w:rsidTr="009C44ED">
        <w:trPr>
          <w:jc w:val="center"/>
        </w:trPr>
        <w:tc>
          <w:tcPr>
            <w:tcW w:w="0" w:type="auto"/>
            <w:vMerge/>
            <w:tcBorders>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DC3DEC0" w14:textId="77777777" w:rsidR="00CF5170" w:rsidRPr="00A847B7" w:rsidRDefault="00CF5170" w:rsidP="009C44ED">
            <w:pPr>
              <w:rPr>
                <w:rFonts w:cstheme="minorHAnsi"/>
              </w:rPr>
            </w:pPr>
          </w:p>
        </w:tc>
        <w:tc>
          <w:tcPr>
            <w:tcW w:w="0" w:type="auto"/>
            <w:vMerge/>
            <w:tcBorders>
              <w:left w:val="single" w:sz="6" w:space="0" w:color="000000"/>
              <w:bottom w:val="single" w:sz="6" w:space="0" w:color="000000"/>
              <w:right w:val="single" w:sz="6" w:space="0" w:color="000000"/>
            </w:tcBorders>
            <w:shd w:val="clear" w:color="auto" w:fill="FFFFFF"/>
            <w:tcMar>
              <w:top w:w="30" w:type="dxa"/>
              <w:left w:w="75" w:type="dxa"/>
              <w:bottom w:w="30" w:type="dxa"/>
              <w:right w:w="75" w:type="dxa"/>
            </w:tcMar>
            <w:hideMark/>
          </w:tcPr>
          <w:p w14:paraId="7E451C86" w14:textId="77777777" w:rsidR="00CF5170" w:rsidRPr="00A847B7" w:rsidRDefault="00CF5170" w:rsidP="009C44ED">
            <w:pPr>
              <w:rPr>
                <w:rFonts w:cstheme="minorHAnsi"/>
              </w:rPr>
            </w:pPr>
          </w:p>
        </w:tc>
        <w:tc>
          <w:tcPr>
            <w:tcW w:w="0" w:type="auto"/>
            <w:tcBorders>
              <w:top w:val="single" w:sz="2"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hideMark/>
          </w:tcPr>
          <w:p w14:paraId="3C644A66" w14:textId="2B45DA56" w:rsidR="00CF5170" w:rsidRPr="00A847B7" w:rsidRDefault="00CF5170" w:rsidP="009C44ED">
            <w:pPr>
              <w:rPr>
                <w:rFonts w:cstheme="minorHAnsi"/>
              </w:rPr>
            </w:pPr>
            <w:r w:rsidRPr="00A847B7">
              <w:rPr>
                <w:rFonts w:cstheme="minorHAnsi"/>
              </w:rPr>
              <w:t>supérieur ou égal à 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E86FF7F" w14:textId="31D5D395" w:rsidR="00CF5170" w:rsidRPr="00A847B7" w:rsidRDefault="00CF5170" w:rsidP="009C44ED">
            <w:pPr>
              <w:rPr>
                <w:rFonts w:cstheme="minorHAnsi"/>
              </w:rPr>
            </w:pPr>
            <w:r w:rsidRPr="00A847B7">
              <w:rPr>
                <w:rFonts w:cstheme="minorHAnsi"/>
              </w:rPr>
              <w:t>516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C04A02D" w14:textId="7322D9C3" w:rsidR="00CF5170" w:rsidRPr="00A847B7" w:rsidRDefault="00CF5170" w:rsidP="009C44ED">
            <w:pPr>
              <w:rPr>
                <w:rFonts w:cstheme="minorHAnsi"/>
              </w:rPr>
            </w:pPr>
            <w:r w:rsidRPr="00A847B7">
              <w:rPr>
                <w:rFonts w:cstheme="minorHAnsi"/>
              </w:rPr>
              <w:t>700</w:t>
            </w:r>
          </w:p>
        </w:tc>
      </w:tr>
    </w:tbl>
    <w:p w14:paraId="7FBA28F7" w14:textId="2DFFE374" w:rsidR="00EB545F" w:rsidRPr="00A847B7" w:rsidRDefault="00896963" w:rsidP="00001A86">
      <w:pPr>
        <w:rPr>
          <w:rFonts w:cstheme="minorHAnsi"/>
        </w:rPr>
      </w:pPr>
      <w:r w:rsidRPr="00A847B7">
        <w:rPr>
          <w:rFonts w:cstheme="minorHAnsi"/>
        </w:rPr>
        <w:t>Les véhicules pour lesquels l’essieu moteur dispose d’une suspension reconnue comme équivalente</w:t>
      </w:r>
      <w:r w:rsidR="002C5639" w:rsidRPr="00A847B7">
        <w:rPr>
          <w:rFonts w:cstheme="minorHAnsi"/>
        </w:rPr>
        <w:t xml:space="preserve"> au regard de la réglementation européenne relève du tarif prévu en cas de présence d’un système de suspension pneumatique.</w:t>
      </w:r>
    </w:p>
    <w:p w14:paraId="4CC593F5" w14:textId="60631DDE" w:rsidR="009B66E8" w:rsidRPr="00A847B7" w:rsidRDefault="009B66E8" w:rsidP="00001A86">
      <w:pPr>
        <w:rPr>
          <w:rFonts w:cstheme="minorHAnsi"/>
        </w:rPr>
      </w:pPr>
      <w:r w:rsidRPr="00A847B7">
        <w:rPr>
          <w:rFonts w:cstheme="minorHAnsi"/>
        </w:rPr>
        <w:t>Pour les véhicules acheminés en transport combiné, le tarif applicable est égal à 25 %</w:t>
      </w:r>
      <w:r w:rsidR="008F37AA" w:rsidRPr="00A847B7">
        <w:rPr>
          <w:rFonts w:cstheme="minorHAnsi"/>
        </w:rPr>
        <w:t xml:space="preserve"> du tarif mentionné plus haut (cf. tableau).</w:t>
      </w:r>
    </w:p>
    <w:p w14:paraId="04E947F3" w14:textId="4B54D75A" w:rsidR="00E2126A" w:rsidRPr="00A847B7" w:rsidRDefault="00151FA3" w:rsidP="00EE0687">
      <w:pPr>
        <w:pStyle w:val="Paragraphedeliste"/>
        <w:numPr>
          <w:ilvl w:val="0"/>
          <w:numId w:val="119"/>
        </w:numPr>
        <w:rPr>
          <w:rFonts w:cstheme="minorHAnsi"/>
        </w:rPr>
      </w:pPr>
      <w:r w:rsidRPr="00A847B7">
        <w:rPr>
          <w:rFonts w:cstheme="minorHAnsi"/>
          <w:b/>
          <w:bCs/>
        </w:rPr>
        <w:t>Véhicules exonérés de taxe annuelle à l’essieu</w:t>
      </w:r>
    </w:p>
    <w:p w14:paraId="6A68D218" w14:textId="56DCB3F4" w:rsidR="00151FA3" w:rsidRPr="00A847B7" w:rsidRDefault="00151FA3" w:rsidP="00001A86">
      <w:pPr>
        <w:rPr>
          <w:rFonts w:cstheme="minorHAnsi"/>
        </w:rPr>
      </w:pPr>
      <w:r w:rsidRPr="00A847B7">
        <w:rPr>
          <w:rFonts w:cstheme="minorHAnsi"/>
        </w:rPr>
        <w:t xml:space="preserve">Sont exonérés de taxation : </w:t>
      </w:r>
    </w:p>
    <w:p w14:paraId="47B944DD" w14:textId="2238582A" w:rsidR="00E7349E" w:rsidRPr="00A847B7" w:rsidRDefault="00151FA3" w:rsidP="00EE0687">
      <w:pPr>
        <w:pStyle w:val="Paragraphedeliste"/>
        <w:numPr>
          <w:ilvl w:val="0"/>
          <w:numId w:val="120"/>
        </w:numPr>
        <w:rPr>
          <w:rFonts w:cstheme="minorHAnsi"/>
        </w:rPr>
      </w:pPr>
      <w:r w:rsidRPr="00A847B7">
        <w:rPr>
          <w:rFonts w:cstheme="minorHAnsi"/>
        </w:rPr>
        <w:t>l</w:t>
      </w:r>
      <w:r w:rsidR="00E7349E" w:rsidRPr="00A847B7">
        <w:rPr>
          <w:rFonts w:cstheme="minorHAnsi"/>
        </w:rPr>
        <w:t>es véhicules utilisés pour les besoins de la défense nationale, de la protection civile, des services de lutte contre les incendies, des services publics de secours et des forces responsables du maintien de l’ordre ;</w:t>
      </w:r>
    </w:p>
    <w:p w14:paraId="2993ADC6" w14:textId="32E0CC02" w:rsidR="00E7349E" w:rsidRPr="00A847B7" w:rsidRDefault="00151FA3" w:rsidP="00EE0687">
      <w:pPr>
        <w:pStyle w:val="Paragraphedeliste"/>
        <w:numPr>
          <w:ilvl w:val="0"/>
          <w:numId w:val="120"/>
        </w:numPr>
        <w:rPr>
          <w:rFonts w:cstheme="minorHAnsi"/>
        </w:rPr>
      </w:pPr>
      <w:r w:rsidRPr="00A847B7">
        <w:rPr>
          <w:rFonts w:cstheme="minorHAnsi"/>
        </w:rPr>
        <w:t>l</w:t>
      </w:r>
      <w:r w:rsidR="00E7349E" w:rsidRPr="00A847B7">
        <w:rPr>
          <w:rFonts w:cstheme="minorHAnsi"/>
        </w:rPr>
        <w:t>es véhicules utilisés pour l’entretien des voies de circulation ;</w:t>
      </w:r>
    </w:p>
    <w:p w14:paraId="217E5674" w14:textId="40C9DF64" w:rsidR="00E7349E" w:rsidRPr="00A847B7" w:rsidRDefault="00151FA3" w:rsidP="00EE0687">
      <w:pPr>
        <w:pStyle w:val="Paragraphedeliste"/>
        <w:numPr>
          <w:ilvl w:val="0"/>
          <w:numId w:val="120"/>
        </w:numPr>
        <w:rPr>
          <w:rFonts w:cstheme="minorHAnsi"/>
        </w:rPr>
      </w:pPr>
      <w:r w:rsidRPr="00A847B7">
        <w:rPr>
          <w:rFonts w:cstheme="minorHAnsi"/>
        </w:rPr>
        <w:t>l</w:t>
      </w:r>
      <w:r w:rsidR="00E7349E" w:rsidRPr="00A847B7">
        <w:rPr>
          <w:rFonts w:cstheme="minorHAnsi"/>
        </w:rPr>
        <w:t>es véhicules affectés aux transports intérieurs aux enceintes des chantiers ou des entreprises, même si ces transports impliquent de traverser les voies ouvertes à la circulation publique ;</w:t>
      </w:r>
    </w:p>
    <w:p w14:paraId="1D99A341" w14:textId="77777777" w:rsidR="00151FA3" w:rsidRPr="00A847B7" w:rsidRDefault="00151FA3" w:rsidP="00EE0687">
      <w:pPr>
        <w:pStyle w:val="Paragraphedeliste"/>
        <w:numPr>
          <w:ilvl w:val="0"/>
          <w:numId w:val="120"/>
        </w:numPr>
        <w:rPr>
          <w:rFonts w:cstheme="minorHAnsi"/>
        </w:rPr>
      </w:pPr>
      <w:r w:rsidRPr="00A847B7">
        <w:rPr>
          <w:rFonts w:cstheme="minorHAnsi"/>
        </w:rPr>
        <w:t>l</w:t>
      </w:r>
      <w:r w:rsidR="00E7349E" w:rsidRPr="00A847B7">
        <w:rPr>
          <w:rFonts w:cstheme="minorHAnsi"/>
        </w:rPr>
        <w:t>es véhicules constitués d’un châssis routier sur lesquels sont installés à demeure, dans le cadre de travaux publics et industriels en France, les équipements suivants et qui sont exclusivement utilisés pour le transport de ces équipements :</w:t>
      </w:r>
    </w:p>
    <w:p w14:paraId="6B420014" w14:textId="77777777" w:rsidR="00151FA3" w:rsidRPr="00A847B7" w:rsidRDefault="00151FA3" w:rsidP="00EE0687">
      <w:pPr>
        <w:pStyle w:val="Paragraphedeliste"/>
        <w:numPr>
          <w:ilvl w:val="1"/>
          <w:numId w:val="120"/>
        </w:numPr>
        <w:rPr>
          <w:rFonts w:cstheme="minorHAnsi"/>
        </w:rPr>
      </w:pPr>
      <w:r w:rsidRPr="00A847B7">
        <w:rPr>
          <w:rFonts w:cstheme="minorHAnsi"/>
        </w:rPr>
        <w:t>e</w:t>
      </w:r>
      <w:r w:rsidR="00E7349E" w:rsidRPr="00A847B7">
        <w:rPr>
          <w:rFonts w:cstheme="minorHAnsi"/>
        </w:rPr>
        <w:t>ngins de levage et de manutention ;</w:t>
      </w:r>
    </w:p>
    <w:p w14:paraId="36EF16D0" w14:textId="77777777" w:rsidR="00151FA3" w:rsidRPr="00A847B7" w:rsidRDefault="00151FA3" w:rsidP="00EE0687">
      <w:pPr>
        <w:pStyle w:val="Paragraphedeliste"/>
        <w:numPr>
          <w:ilvl w:val="1"/>
          <w:numId w:val="120"/>
        </w:numPr>
        <w:rPr>
          <w:rFonts w:cstheme="minorHAnsi"/>
        </w:rPr>
      </w:pPr>
      <w:r w:rsidRPr="00A847B7">
        <w:rPr>
          <w:rFonts w:cstheme="minorHAnsi"/>
        </w:rPr>
        <w:t>p</w:t>
      </w:r>
      <w:r w:rsidR="00E7349E" w:rsidRPr="00A847B7">
        <w:rPr>
          <w:rFonts w:cstheme="minorHAnsi"/>
        </w:rPr>
        <w:t>ompes et stations de pompage ;</w:t>
      </w:r>
    </w:p>
    <w:p w14:paraId="009CD932" w14:textId="77777777" w:rsidR="00151FA3" w:rsidRPr="00A847B7" w:rsidRDefault="00151FA3" w:rsidP="00EE0687">
      <w:pPr>
        <w:pStyle w:val="Paragraphedeliste"/>
        <w:numPr>
          <w:ilvl w:val="1"/>
          <w:numId w:val="120"/>
        </w:numPr>
        <w:rPr>
          <w:rFonts w:cstheme="minorHAnsi"/>
        </w:rPr>
      </w:pPr>
      <w:r w:rsidRPr="00A847B7">
        <w:rPr>
          <w:rFonts w:cstheme="minorHAnsi"/>
        </w:rPr>
        <w:t>g</w:t>
      </w:r>
      <w:r w:rsidR="00E7349E" w:rsidRPr="00A847B7">
        <w:rPr>
          <w:rFonts w:cstheme="minorHAnsi"/>
        </w:rPr>
        <w:t>roupes moto-compresseurs mobiles ;</w:t>
      </w:r>
    </w:p>
    <w:p w14:paraId="692C547F" w14:textId="77777777" w:rsidR="00151FA3" w:rsidRPr="00A847B7" w:rsidRDefault="00151FA3" w:rsidP="00EE0687">
      <w:pPr>
        <w:pStyle w:val="Paragraphedeliste"/>
        <w:numPr>
          <w:ilvl w:val="1"/>
          <w:numId w:val="120"/>
        </w:numPr>
        <w:rPr>
          <w:rFonts w:cstheme="minorHAnsi"/>
        </w:rPr>
      </w:pPr>
      <w:r w:rsidRPr="00A847B7">
        <w:rPr>
          <w:rFonts w:cstheme="minorHAnsi"/>
        </w:rPr>
        <w:t>b</w:t>
      </w:r>
      <w:r w:rsidR="00E7349E" w:rsidRPr="00A847B7">
        <w:rPr>
          <w:rFonts w:cstheme="minorHAnsi"/>
        </w:rPr>
        <w:t>étonnières et pompes à béton, à l’exception des bétonnières à tambour utilisées pour le transport de béton ;</w:t>
      </w:r>
    </w:p>
    <w:p w14:paraId="6B1F3B26" w14:textId="77777777" w:rsidR="00151FA3" w:rsidRPr="00A847B7" w:rsidRDefault="00151FA3" w:rsidP="00EE0687">
      <w:pPr>
        <w:pStyle w:val="Paragraphedeliste"/>
        <w:numPr>
          <w:ilvl w:val="1"/>
          <w:numId w:val="120"/>
        </w:numPr>
        <w:rPr>
          <w:rFonts w:cstheme="minorHAnsi"/>
        </w:rPr>
      </w:pPr>
      <w:r w:rsidRPr="00A847B7">
        <w:rPr>
          <w:rFonts w:cstheme="minorHAnsi"/>
        </w:rPr>
        <w:t>g</w:t>
      </w:r>
      <w:r w:rsidR="00E7349E" w:rsidRPr="00A847B7">
        <w:rPr>
          <w:rFonts w:cstheme="minorHAnsi"/>
        </w:rPr>
        <w:t>roupes générateurs mobiles ;</w:t>
      </w:r>
    </w:p>
    <w:p w14:paraId="43358E3A" w14:textId="77777777" w:rsidR="00151FA3" w:rsidRPr="00A847B7" w:rsidRDefault="00151FA3" w:rsidP="00EE0687">
      <w:pPr>
        <w:pStyle w:val="Paragraphedeliste"/>
        <w:numPr>
          <w:ilvl w:val="1"/>
          <w:numId w:val="120"/>
        </w:numPr>
        <w:rPr>
          <w:rFonts w:cstheme="minorHAnsi"/>
        </w:rPr>
      </w:pPr>
      <w:r w:rsidRPr="00A847B7">
        <w:rPr>
          <w:rFonts w:cstheme="minorHAnsi"/>
        </w:rPr>
        <w:t>e</w:t>
      </w:r>
      <w:r w:rsidR="00E7349E" w:rsidRPr="00A847B7">
        <w:rPr>
          <w:rFonts w:cstheme="minorHAnsi"/>
        </w:rPr>
        <w:t>ngins de forage mobiles ;</w:t>
      </w:r>
    </w:p>
    <w:p w14:paraId="3A79A773" w14:textId="77777777" w:rsidR="00151FA3" w:rsidRPr="00A847B7" w:rsidRDefault="00151FA3" w:rsidP="00EE0687">
      <w:pPr>
        <w:pStyle w:val="Paragraphedeliste"/>
        <w:numPr>
          <w:ilvl w:val="1"/>
          <w:numId w:val="120"/>
        </w:numPr>
        <w:rPr>
          <w:rFonts w:cstheme="minorHAnsi"/>
        </w:rPr>
      </w:pPr>
      <w:r w:rsidRPr="00A847B7">
        <w:rPr>
          <w:rFonts w:cstheme="minorHAnsi"/>
        </w:rPr>
        <w:t>l</w:t>
      </w:r>
      <w:r w:rsidR="00E7349E" w:rsidRPr="00A847B7">
        <w:rPr>
          <w:rFonts w:cstheme="minorHAnsi"/>
        </w:rPr>
        <w:t>es véhicules de collection ;</w:t>
      </w:r>
    </w:p>
    <w:p w14:paraId="409E13AC" w14:textId="77777777" w:rsidR="00151FA3" w:rsidRPr="00A847B7" w:rsidRDefault="00151FA3" w:rsidP="00EE0687">
      <w:pPr>
        <w:pStyle w:val="Paragraphedeliste"/>
        <w:numPr>
          <w:ilvl w:val="1"/>
          <w:numId w:val="120"/>
        </w:numPr>
        <w:rPr>
          <w:rFonts w:cstheme="minorHAnsi"/>
        </w:rPr>
      </w:pPr>
      <w:r w:rsidRPr="00A847B7">
        <w:rPr>
          <w:rFonts w:cstheme="minorHAnsi"/>
        </w:rPr>
        <w:t>l</w:t>
      </w:r>
      <w:r w:rsidR="00E7349E" w:rsidRPr="00A847B7">
        <w:rPr>
          <w:rFonts w:cstheme="minorHAnsi"/>
        </w:rPr>
        <w:t>es véhicules utilisés pour le transport des marchandises des cirques ainsi que pour la restauration et le logement des personnels des cirques ;</w:t>
      </w:r>
    </w:p>
    <w:p w14:paraId="54CBC0E2" w14:textId="77777777" w:rsidR="00151FA3" w:rsidRPr="00A847B7" w:rsidRDefault="00151FA3" w:rsidP="00EE0687">
      <w:pPr>
        <w:pStyle w:val="Paragraphedeliste"/>
        <w:numPr>
          <w:ilvl w:val="1"/>
          <w:numId w:val="120"/>
        </w:numPr>
        <w:rPr>
          <w:rFonts w:cstheme="minorHAnsi"/>
        </w:rPr>
      </w:pPr>
      <w:r w:rsidRPr="00A847B7">
        <w:rPr>
          <w:rFonts w:cstheme="minorHAnsi"/>
        </w:rPr>
        <w:t>l</w:t>
      </w:r>
      <w:r w:rsidR="00E7349E" w:rsidRPr="00A847B7">
        <w:rPr>
          <w:rFonts w:cstheme="minorHAnsi"/>
        </w:rPr>
        <w:t>es véhicules utilisés pour le transport des jeux, manèges forains et autres marchandises utilisées au sein des fêtes foraines ;</w:t>
      </w:r>
    </w:p>
    <w:p w14:paraId="03E5BB75" w14:textId="77777777" w:rsidR="00151FA3" w:rsidRPr="00A847B7" w:rsidRDefault="00151FA3" w:rsidP="00EE0687">
      <w:pPr>
        <w:pStyle w:val="Paragraphedeliste"/>
        <w:numPr>
          <w:ilvl w:val="1"/>
          <w:numId w:val="120"/>
        </w:numPr>
        <w:rPr>
          <w:rFonts w:cstheme="minorHAnsi"/>
        </w:rPr>
      </w:pPr>
      <w:r w:rsidRPr="00A847B7">
        <w:rPr>
          <w:rFonts w:cstheme="minorHAnsi"/>
        </w:rPr>
        <w:t>l</w:t>
      </w:r>
      <w:r w:rsidR="00E7349E" w:rsidRPr="00A847B7">
        <w:rPr>
          <w:rFonts w:cstheme="minorHAnsi"/>
        </w:rPr>
        <w:t>es véhicules utilisés par les centres équestres ;</w:t>
      </w:r>
    </w:p>
    <w:p w14:paraId="0703904A" w14:textId="01E68D93" w:rsidR="00E7349E" w:rsidRPr="00A847B7" w:rsidRDefault="00151FA3" w:rsidP="00EE0687">
      <w:pPr>
        <w:pStyle w:val="Paragraphedeliste"/>
        <w:numPr>
          <w:ilvl w:val="1"/>
          <w:numId w:val="120"/>
        </w:numPr>
        <w:rPr>
          <w:rFonts w:cstheme="minorHAnsi"/>
        </w:rPr>
      </w:pPr>
      <w:r w:rsidRPr="00A847B7">
        <w:rPr>
          <w:rFonts w:cstheme="minorHAnsi"/>
        </w:rPr>
        <w:t>l</w:t>
      </w:r>
      <w:r w:rsidR="00E7349E" w:rsidRPr="00A847B7">
        <w:rPr>
          <w:rFonts w:cstheme="minorHAnsi"/>
        </w:rPr>
        <w:t>es véhicules utilisés par les exploitants agricoles pour le transport de leurs récoltes.</w:t>
      </w:r>
    </w:p>
    <w:p w14:paraId="04D1ED70" w14:textId="77777777" w:rsidR="00E31D16" w:rsidRDefault="00E31D16" w:rsidP="005A54C4">
      <w:pPr>
        <w:pStyle w:val="Paragraphedeliste"/>
        <w:ind w:left="1440"/>
        <w:rPr>
          <w:rFonts w:cstheme="minorHAnsi"/>
        </w:rPr>
      </w:pPr>
    </w:p>
    <w:p w14:paraId="3F101F4D" w14:textId="5A18A9AC" w:rsidR="00361A7A" w:rsidRPr="00A847B7" w:rsidRDefault="00361A7A" w:rsidP="00361A7A">
      <w:pPr>
        <w:rPr>
          <w:rFonts w:cstheme="minorHAnsi"/>
        </w:rPr>
      </w:pPr>
      <w:r w:rsidRPr="00A847B7">
        <w:rPr>
          <w:rFonts w:cstheme="minorHAnsi"/>
        </w:rPr>
        <w:br w:type="page"/>
      </w:r>
    </w:p>
    <w:p w14:paraId="3C9CCA2E" w14:textId="55F0A874" w:rsidR="00361A7A" w:rsidRDefault="00361A7A" w:rsidP="0080047B">
      <w:pPr>
        <w:rPr>
          <w:rFonts w:cstheme="minorHAnsi"/>
        </w:rPr>
      </w:pPr>
    </w:p>
    <w:p w14:paraId="0C7B5FDB" w14:textId="741915BE" w:rsidR="009366B6" w:rsidRDefault="009366B6" w:rsidP="0080047B">
      <w:pPr>
        <w:rPr>
          <w:rFonts w:cstheme="minorHAnsi"/>
        </w:rPr>
      </w:pPr>
    </w:p>
    <w:p w14:paraId="01641B47" w14:textId="03DFE701" w:rsidR="009366B6" w:rsidRDefault="009366B6" w:rsidP="0080047B">
      <w:pPr>
        <w:rPr>
          <w:rFonts w:cstheme="minorHAnsi"/>
        </w:rPr>
      </w:pPr>
    </w:p>
    <w:p w14:paraId="3FADD181" w14:textId="54EFFE11" w:rsidR="009366B6" w:rsidRDefault="009366B6" w:rsidP="0080047B">
      <w:pPr>
        <w:rPr>
          <w:rFonts w:cstheme="minorHAnsi"/>
        </w:rPr>
      </w:pPr>
    </w:p>
    <w:p w14:paraId="15F2B0AA" w14:textId="1E152441" w:rsidR="009366B6" w:rsidRDefault="009366B6" w:rsidP="0080047B">
      <w:pPr>
        <w:rPr>
          <w:rFonts w:cstheme="minorHAnsi"/>
        </w:rPr>
      </w:pPr>
    </w:p>
    <w:p w14:paraId="2C1C82D8" w14:textId="5DB966F7" w:rsidR="009366B6" w:rsidRDefault="009366B6" w:rsidP="0080047B">
      <w:pPr>
        <w:rPr>
          <w:rFonts w:cstheme="minorHAnsi"/>
        </w:rPr>
      </w:pPr>
    </w:p>
    <w:p w14:paraId="2CAFFA68" w14:textId="3402EDAD" w:rsidR="009366B6" w:rsidRDefault="009366B6" w:rsidP="0080047B">
      <w:pPr>
        <w:rPr>
          <w:rFonts w:cstheme="minorHAnsi"/>
        </w:rPr>
      </w:pPr>
    </w:p>
    <w:p w14:paraId="6F64D1D3" w14:textId="0DD40466" w:rsidR="009366B6" w:rsidRDefault="009366B6" w:rsidP="0080047B">
      <w:pPr>
        <w:rPr>
          <w:rFonts w:cstheme="minorHAnsi"/>
        </w:rPr>
      </w:pPr>
    </w:p>
    <w:p w14:paraId="19B98404" w14:textId="77777777" w:rsidR="009366B6" w:rsidRPr="00A847B7" w:rsidRDefault="009366B6" w:rsidP="0080047B">
      <w:pPr>
        <w:rPr>
          <w:rFonts w:cstheme="minorHAnsi"/>
        </w:rPr>
      </w:pPr>
    </w:p>
    <w:p w14:paraId="768D4526" w14:textId="77777777" w:rsidR="009E781D" w:rsidRPr="00A847B7" w:rsidRDefault="009E781D" w:rsidP="009E781D">
      <w:pPr>
        <w:pStyle w:val="Titre1"/>
        <w:rPr>
          <w:caps/>
        </w:rPr>
      </w:pPr>
      <w:bookmarkStart w:id="158" w:name="_Toc30149325"/>
      <w:bookmarkStart w:id="159" w:name="_Toc60781069"/>
      <w:r w:rsidRPr="00A847B7">
        <w:rPr>
          <w:caps/>
        </w:rPr>
        <w:t>Focus sur le contrôle fiscal et social</w:t>
      </w:r>
      <w:bookmarkEnd w:id="158"/>
      <w:bookmarkEnd w:id="159"/>
    </w:p>
    <w:p w14:paraId="24A2C781" w14:textId="77777777" w:rsidR="009E781D" w:rsidRPr="00A847B7" w:rsidRDefault="009E781D" w:rsidP="009E781D"/>
    <w:p w14:paraId="13CC6DB8" w14:textId="77777777" w:rsidR="009E781D" w:rsidRPr="00A847B7" w:rsidRDefault="009E781D" w:rsidP="009E781D">
      <w:r w:rsidRPr="00A847B7">
        <w:br w:type="page"/>
      </w:r>
    </w:p>
    <w:p w14:paraId="2499D4C2" w14:textId="77777777" w:rsidR="009E781D" w:rsidRPr="00A847B7" w:rsidRDefault="009E781D" w:rsidP="009E781D">
      <w:pPr>
        <w:jc w:val="center"/>
        <w:rPr>
          <w:b/>
        </w:rPr>
      </w:pPr>
    </w:p>
    <w:p w14:paraId="3C83D0B2" w14:textId="3050230D" w:rsidR="009E781D" w:rsidRDefault="009E781D" w:rsidP="009E781D">
      <w:pPr>
        <w:pStyle w:val="Titre2"/>
      </w:pPr>
      <w:bookmarkStart w:id="160" w:name="_Toc30149326"/>
      <w:bookmarkStart w:id="161" w:name="_Toc60781070"/>
      <w:r w:rsidRPr="00A847B7">
        <w:t>En matière de contrôle fiscal</w:t>
      </w:r>
      <w:bookmarkEnd w:id="160"/>
      <w:bookmarkEnd w:id="161"/>
    </w:p>
    <w:p w14:paraId="0D5D818B" w14:textId="77777777" w:rsidR="009366B6" w:rsidRPr="009366B6" w:rsidRDefault="009366B6" w:rsidP="009366B6"/>
    <w:p w14:paraId="01B87711" w14:textId="03BB49C2" w:rsidR="009E781D" w:rsidRPr="00A847B7" w:rsidRDefault="009E781D" w:rsidP="009E781D">
      <w:pPr>
        <w:pStyle w:val="Titre3"/>
      </w:pPr>
      <w:bookmarkStart w:id="162" w:name="_Toc60781071"/>
      <w:r w:rsidRPr="00A847B7">
        <w:t xml:space="preserve">Slide </w:t>
      </w:r>
      <w:r w:rsidR="00D17ACD">
        <w:t>108</w:t>
      </w:r>
      <w:r w:rsidRPr="00A847B7">
        <w:t xml:space="preserve"> : </w:t>
      </w:r>
      <w:r w:rsidR="00C07C49" w:rsidRPr="00A847B7">
        <w:t>T</w:t>
      </w:r>
      <w:r w:rsidR="00563D1C" w:rsidRPr="00A847B7">
        <w:t>aux de l’intérêt de retard</w:t>
      </w:r>
      <w:bookmarkEnd w:id="162"/>
    </w:p>
    <w:p w14:paraId="56AFCA71" w14:textId="3564FDE4" w:rsidR="002A7E27" w:rsidRPr="00A847B7" w:rsidRDefault="009366B6" w:rsidP="009366B6">
      <w:r w:rsidRPr="004F587E">
        <w:rPr>
          <w:u w:val="single"/>
        </w:rPr>
        <w:t xml:space="preserve">Source </w:t>
      </w:r>
      <w:r w:rsidRPr="00A847B7">
        <w:t>:</w:t>
      </w:r>
      <w:r w:rsidR="005F7E48" w:rsidRPr="00A847B7">
        <w:t xml:space="preserve"> Loi de Finances pour 2021, </w:t>
      </w:r>
      <w:r w:rsidR="005F7E48" w:rsidRPr="00F836B4">
        <w:t>a</w:t>
      </w:r>
      <w:r w:rsidR="002A7E27" w:rsidRPr="00F836B4">
        <w:t xml:space="preserve">rticle </w:t>
      </w:r>
      <w:r w:rsidR="00946F71" w:rsidRPr="00946F71">
        <w:t>68</w:t>
      </w:r>
    </w:p>
    <w:p w14:paraId="3E24DCE1" w14:textId="77777777" w:rsidR="00FC305E" w:rsidRPr="00A847B7" w:rsidRDefault="00F8443C" w:rsidP="00F8443C">
      <w:r w:rsidRPr="00A847B7">
        <w:t>La L</w:t>
      </w:r>
      <w:r w:rsidR="005F7E48" w:rsidRPr="00A847B7">
        <w:t xml:space="preserve">oi de Finances pour </w:t>
      </w:r>
      <w:r w:rsidRPr="00A847B7">
        <w:t xml:space="preserve">2018 a réduit le taux des intérêts de retard </w:t>
      </w:r>
      <w:r w:rsidR="005F7E48" w:rsidRPr="00A847B7">
        <w:t xml:space="preserve">de 0,40 % </w:t>
      </w:r>
      <w:r w:rsidRPr="00A847B7">
        <w:t xml:space="preserve">à 0,20 % pour les intérêts </w:t>
      </w:r>
      <w:r w:rsidR="00ED0E46" w:rsidRPr="00A847B7">
        <w:t>de retard</w:t>
      </w:r>
      <w:r w:rsidR="00FC305E" w:rsidRPr="00A847B7">
        <w:t xml:space="preserve"> (pour les impôts et taxes recouvrés par l’administration fiscale et l’administration des douanes) et les intérêts moratoires dus par l’Etat. </w:t>
      </w:r>
    </w:p>
    <w:p w14:paraId="687ABA81" w14:textId="229EB8D1" w:rsidR="00F8443C" w:rsidRPr="00A847B7" w:rsidRDefault="00FC305E" w:rsidP="00F8443C">
      <w:r w:rsidRPr="00A847B7">
        <w:t>Cette diminution du taux s’appliquait pour les intérêts courants</w:t>
      </w:r>
      <w:r w:rsidR="00F8443C" w:rsidRPr="00A847B7">
        <w:t xml:space="preserve"> du 1</w:t>
      </w:r>
      <w:r w:rsidR="00F8443C" w:rsidRPr="00A847B7">
        <w:rPr>
          <w:vertAlign w:val="superscript"/>
        </w:rPr>
        <w:t>er</w:t>
      </w:r>
      <w:r w:rsidR="00F8443C" w:rsidRPr="00A847B7">
        <w:t xml:space="preserve"> janvier 2018 au 31 décembre 2020.</w:t>
      </w:r>
    </w:p>
    <w:p w14:paraId="6F1A5B86" w14:textId="2E9C330C" w:rsidR="002A7E27" w:rsidRPr="00A847B7" w:rsidRDefault="00C81D13" w:rsidP="00F8443C">
      <w:pPr>
        <w:spacing w:beforeAutospacing="1" w:after="100" w:afterAutospacing="1"/>
      </w:pPr>
      <w:r w:rsidRPr="00A847B7">
        <w:t>La Loi de Finances pour 2020 pérenn</w:t>
      </w:r>
      <w:r w:rsidR="00C549D6" w:rsidRPr="00A847B7">
        <w:t>ise</w:t>
      </w:r>
      <w:r w:rsidRPr="00A847B7">
        <w:t xml:space="preserve"> c</w:t>
      </w:r>
      <w:r w:rsidR="00F8443C" w:rsidRPr="00A847B7">
        <w:t xml:space="preserve">e taux </w:t>
      </w:r>
      <w:r w:rsidRPr="00A847B7">
        <w:t>de 0,20 %</w:t>
      </w:r>
      <w:r w:rsidR="00F8443C" w:rsidRPr="00A847B7">
        <w:t xml:space="preserve"> pour les intérêts de retard et pour les intérêts moratoires</w:t>
      </w:r>
      <w:r w:rsidRPr="00A847B7">
        <w:t xml:space="preserve">, sans prévoir d’échéance précise pour </w:t>
      </w:r>
      <w:r w:rsidR="00ED0E46" w:rsidRPr="00A847B7">
        <w:t>sa révision.</w:t>
      </w:r>
    </w:p>
    <w:p w14:paraId="47BA1909" w14:textId="77777777" w:rsidR="009E781D" w:rsidRPr="00A847B7" w:rsidRDefault="009E781D" w:rsidP="009E781D"/>
    <w:p w14:paraId="495F5BBD" w14:textId="67179D03" w:rsidR="009E781D" w:rsidRPr="00A847B7" w:rsidRDefault="009E781D" w:rsidP="009E781D">
      <w:pPr>
        <w:pStyle w:val="Titre3"/>
      </w:pPr>
      <w:bookmarkStart w:id="163" w:name="_Toc60781072"/>
      <w:r w:rsidRPr="00A847B7">
        <w:t xml:space="preserve">Slide </w:t>
      </w:r>
      <w:r w:rsidR="00752EE4">
        <w:t>109</w:t>
      </w:r>
      <w:r w:rsidRPr="00A847B7">
        <w:t xml:space="preserve"> : </w:t>
      </w:r>
      <w:r w:rsidR="00A25789">
        <w:t>H</w:t>
      </w:r>
      <w:r w:rsidR="003E1BD8" w:rsidRPr="00A847B7">
        <w:t>armonisation des procédures de recouvrement forcé</w:t>
      </w:r>
      <w:bookmarkEnd w:id="163"/>
    </w:p>
    <w:p w14:paraId="56F8D16C" w14:textId="55E68127" w:rsidR="006E7BD1" w:rsidRDefault="009366B6" w:rsidP="00285FE9">
      <w:r w:rsidRPr="004F587E">
        <w:rPr>
          <w:u w:val="single"/>
        </w:rPr>
        <w:t>Source</w:t>
      </w:r>
      <w:r>
        <w:rPr>
          <w:u w:val="single"/>
        </w:rPr>
        <w:t>s</w:t>
      </w:r>
      <w:r w:rsidRPr="004F587E">
        <w:rPr>
          <w:u w:val="single"/>
        </w:rPr>
        <w:t xml:space="preserve"> </w:t>
      </w:r>
      <w:r w:rsidRPr="00A847B7">
        <w:t>:</w:t>
      </w:r>
      <w:r w:rsidR="00285FE9">
        <w:t xml:space="preserve"> </w:t>
      </w:r>
    </w:p>
    <w:p w14:paraId="42CEEF73" w14:textId="0120DB99" w:rsidR="006E7BD1" w:rsidRDefault="00285FE9" w:rsidP="00EE0687">
      <w:pPr>
        <w:pStyle w:val="Paragraphedeliste"/>
        <w:numPr>
          <w:ilvl w:val="0"/>
          <w:numId w:val="306"/>
        </w:numPr>
      </w:pPr>
      <w:r>
        <w:t xml:space="preserve">Loi de Finances pour 2021, </w:t>
      </w:r>
      <w:r w:rsidRPr="005A54C4">
        <w:t xml:space="preserve">article </w:t>
      </w:r>
      <w:r w:rsidR="00517123" w:rsidRPr="005A54C4">
        <w:t>160</w:t>
      </w:r>
    </w:p>
    <w:p w14:paraId="7478A3BF" w14:textId="6495408A" w:rsidR="00826EE8" w:rsidRPr="00285FE9" w:rsidRDefault="00826EE8" w:rsidP="00EE0687">
      <w:pPr>
        <w:pStyle w:val="Paragraphedeliste"/>
        <w:numPr>
          <w:ilvl w:val="0"/>
          <w:numId w:val="306"/>
        </w:numPr>
      </w:pPr>
      <w:r>
        <w:t>Loi de Financement de la Sécurité Sociale pour 2021, article 31</w:t>
      </w:r>
    </w:p>
    <w:p w14:paraId="7490E15A" w14:textId="71C7770F" w:rsidR="00285FE9" w:rsidRDefault="00606B01" w:rsidP="00285FE9">
      <w:r>
        <w:t>La Loi de Finances pour 2021 instaure</w:t>
      </w:r>
      <w:r w:rsidR="00B12CB4">
        <w:t>, à compter du 1</w:t>
      </w:r>
      <w:r w:rsidR="00B12CB4" w:rsidRPr="00B12CB4">
        <w:rPr>
          <w:vertAlign w:val="superscript"/>
        </w:rPr>
        <w:t>er</w:t>
      </w:r>
      <w:r w:rsidR="00B12CB4">
        <w:t xml:space="preserve"> janvier 2022,</w:t>
      </w:r>
      <w:r>
        <w:t xml:space="preserve"> </w:t>
      </w:r>
      <w:r w:rsidR="00B12CB4">
        <w:t>l</w:t>
      </w:r>
      <w:r>
        <w:t xml:space="preserve">es règles communes </w:t>
      </w:r>
      <w:r w:rsidR="00B12CB4">
        <w:t xml:space="preserve">suivantes </w:t>
      </w:r>
      <w:r>
        <w:t xml:space="preserve">au recouvrement forcé des créances publiques, qu’elles soient recouvrées par les </w:t>
      </w:r>
      <w:r w:rsidR="00B13255">
        <w:t>comptables</w:t>
      </w:r>
      <w:r>
        <w:t xml:space="preserve"> de </w:t>
      </w:r>
      <w:r w:rsidR="00B13255">
        <w:t>la Direction Générale des Finances Publiques (DGFiP) ou par les comptables de la Direction Générale des Douanes et des Droits Indirects (DGDDI).</w:t>
      </w:r>
    </w:p>
    <w:p w14:paraId="314AAEDB" w14:textId="3DA0E09F" w:rsidR="00B13255" w:rsidRPr="004F72BD" w:rsidRDefault="00B13255" w:rsidP="00EE0687">
      <w:pPr>
        <w:pStyle w:val="Paragraphedeliste"/>
        <w:numPr>
          <w:ilvl w:val="0"/>
          <w:numId w:val="146"/>
        </w:numPr>
      </w:pPr>
      <w:r>
        <w:rPr>
          <w:b/>
          <w:bCs/>
          <w:i/>
          <w:iCs/>
          <w:u w:val="single"/>
        </w:rPr>
        <w:t>Mise en demeure</w:t>
      </w:r>
    </w:p>
    <w:p w14:paraId="5FD619BD" w14:textId="02E47EDC" w:rsidR="004F72BD" w:rsidRDefault="00990DED" w:rsidP="004F72BD">
      <w:r>
        <w:t>Il est prévu qu</w:t>
      </w:r>
      <w:r w:rsidR="00886E28">
        <w:t>’</w:t>
      </w:r>
      <w:r w:rsidR="00E01D6D">
        <w:t>à défaut</w:t>
      </w:r>
      <w:r w:rsidR="00886E28">
        <w:t xml:space="preserve"> de</w:t>
      </w:r>
      <w:r w:rsidR="00E01D6D">
        <w:t xml:space="preserve"> </w:t>
      </w:r>
      <w:r w:rsidR="00886E28">
        <w:t xml:space="preserve">paiement des sommes dues dans les délais, </w:t>
      </w:r>
      <w:r>
        <w:t>les comptables publics puissent notifier au redevable une mise en demeure de payer pour le recouvrement des créances dont ils ont la charge, la notification de cette mise en demeure de payer interrompant la prescription de l’action en recouvrement.</w:t>
      </w:r>
    </w:p>
    <w:p w14:paraId="02E2B213" w14:textId="54A2FE67" w:rsidR="00F06A61" w:rsidRDefault="00083660" w:rsidP="004F72BD">
      <w:r>
        <w:t>Lorsque la mise en demeure de payer porte à la connaissance du redevable des sanctions fiscales, aucune poursuite ne peut être engagée par le comptable public avant l’expiration d’un délai de 30 jours à compter de la notification de ladite mise en demeure</w:t>
      </w:r>
      <w:r w:rsidR="00C06078">
        <w:t xml:space="preserve"> (même lorsque la mise en de</w:t>
      </w:r>
      <w:r w:rsidR="00F06A61">
        <w:t>meure est précédée d’une lettre de relance</w:t>
      </w:r>
      <w:r w:rsidR="001710F9">
        <w:t xml:space="preserve"> restée sans réponse</w:t>
      </w:r>
      <w:r w:rsidR="00C06078">
        <w:t>)</w:t>
      </w:r>
      <w:r w:rsidR="001710F9">
        <w:t>.</w:t>
      </w:r>
    </w:p>
    <w:p w14:paraId="425BA240" w14:textId="0344E940" w:rsidR="00B13255" w:rsidRPr="004B3810" w:rsidRDefault="004F72BD" w:rsidP="00EE0687">
      <w:pPr>
        <w:pStyle w:val="Paragraphedeliste"/>
        <w:numPr>
          <w:ilvl w:val="0"/>
          <w:numId w:val="146"/>
        </w:numPr>
      </w:pPr>
      <w:r>
        <w:rPr>
          <w:b/>
          <w:bCs/>
          <w:i/>
          <w:iCs/>
          <w:u w:val="single"/>
        </w:rPr>
        <w:t>Ordre</w:t>
      </w:r>
      <w:r w:rsidR="00947A6F">
        <w:rPr>
          <w:b/>
          <w:bCs/>
          <w:i/>
          <w:iCs/>
          <w:u w:val="single"/>
        </w:rPr>
        <w:t xml:space="preserve"> </w:t>
      </w:r>
      <w:r>
        <w:rPr>
          <w:b/>
          <w:bCs/>
          <w:i/>
          <w:iCs/>
          <w:u w:val="single"/>
        </w:rPr>
        <w:t>d’</w:t>
      </w:r>
      <w:r w:rsidR="00947A6F">
        <w:rPr>
          <w:b/>
          <w:bCs/>
          <w:i/>
          <w:iCs/>
          <w:u w:val="single"/>
        </w:rPr>
        <w:t>imputation des paiements</w:t>
      </w:r>
    </w:p>
    <w:p w14:paraId="6409321B" w14:textId="77777777" w:rsidR="00F0065A" w:rsidRPr="004723E9" w:rsidRDefault="00F0065A" w:rsidP="00F0065A">
      <w:r>
        <w:t>Il faut savoir que le comptable public, qu’il s’agisse de la Direction Générale des Finances Publiques ou de la Direction Générale des Douanes et des Droits Indirects, doit désormais imputer le paiement partiel d’une créance en priorité sur le principal de celle-ci, puis sur les sanctions et autres accessoires de la dette hors intérêts, et enfin sur les intérêts.</w:t>
      </w:r>
    </w:p>
    <w:p w14:paraId="2ABFD768" w14:textId="600AA968" w:rsidR="00947A6F" w:rsidRPr="00E215E4" w:rsidRDefault="00947A6F" w:rsidP="00EE0687">
      <w:pPr>
        <w:pStyle w:val="Paragraphedeliste"/>
        <w:numPr>
          <w:ilvl w:val="0"/>
          <w:numId w:val="146"/>
        </w:numPr>
      </w:pPr>
      <w:r>
        <w:rPr>
          <w:b/>
          <w:bCs/>
          <w:i/>
          <w:iCs/>
          <w:u w:val="single"/>
        </w:rPr>
        <w:lastRenderedPageBreak/>
        <w:t>Délais de prescription</w:t>
      </w:r>
    </w:p>
    <w:p w14:paraId="67C32D14" w14:textId="77777777" w:rsidR="00E108F8" w:rsidRDefault="00E215E4" w:rsidP="00E215E4">
      <w:r>
        <w:t>Sauf dispositions contraires, et sous réserve des cas de suspension ou d’interruption de</w:t>
      </w:r>
      <w:r w:rsidR="00E108F8">
        <w:t xml:space="preserve"> </w:t>
      </w:r>
      <w:r>
        <w:t xml:space="preserve">la prescription, le délai pour agir </w:t>
      </w:r>
      <w:r w:rsidR="00205246">
        <w:t xml:space="preserve">dont dispose le comptable public pour </w:t>
      </w:r>
      <w:r w:rsidR="00E108F8">
        <w:t>recouvrer</w:t>
      </w:r>
      <w:r w:rsidR="00205246">
        <w:t xml:space="preserve"> d</w:t>
      </w:r>
      <w:r>
        <w:t xml:space="preserve">es créances de toute nature </w:t>
      </w:r>
      <w:r w:rsidR="00205246">
        <w:t>est de</w:t>
      </w:r>
      <w:r>
        <w:t xml:space="preserve"> </w:t>
      </w:r>
      <w:r w:rsidR="00205246">
        <w:t>4</w:t>
      </w:r>
      <w:r>
        <w:t> ans</w:t>
      </w:r>
      <w:r w:rsidR="00E108F8">
        <w:t>.</w:t>
      </w:r>
    </w:p>
    <w:p w14:paraId="7F05605E" w14:textId="61E321F7" w:rsidR="00E215E4" w:rsidRPr="00947A6F" w:rsidRDefault="00E108F8" w:rsidP="00E215E4">
      <w:r>
        <w:t xml:space="preserve">Ce délai est décompté </w:t>
      </w:r>
      <w:r w:rsidR="00E215E4">
        <w:t xml:space="preserve">à </w:t>
      </w:r>
      <w:r>
        <w:t>parti</w:t>
      </w:r>
      <w:r w:rsidR="00E215E4">
        <w:t>r du jour de la mise en recouvrement du rôle ou de l’envoi du titre exécutoire</w:t>
      </w:r>
      <w:r>
        <w:t>.</w:t>
      </w:r>
    </w:p>
    <w:p w14:paraId="369066B1" w14:textId="68B33263" w:rsidR="00947A6F" w:rsidRPr="00B12CB4" w:rsidRDefault="004F72BD" w:rsidP="00EE0687">
      <w:pPr>
        <w:pStyle w:val="Paragraphedeliste"/>
        <w:numPr>
          <w:ilvl w:val="0"/>
          <w:numId w:val="146"/>
        </w:numPr>
        <w:rPr>
          <w:b/>
          <w:bCs/>
          <w:i/>
          <w:iCs/>
          <w:u w:val="single"/>
        </w:rPr>
      </w:pPr>
      <w:r w:rsidRPr="00B12CB4">
        <w:rPr>
          <w:b/>
          <w:bCs/>
          <w:i/>
          <w:iCs/>
          <w:u w:val="single"/>
        </w:rPr>
        <w:t>Autres mesures</w:t>
      </w:r>
    </w:p>
    <w:p w14:paraId="3D8CB8DF" w14:textId="2B3CA467" w:rsidR="00285FE9" w:rsidRDefault="009363CE" w:rsidP="00285FE9">
      <w:r>
        <w:t>Les titres exécutoires, les actes de poursuite et les actes judiciaires ou extrajudiciaires peuvent être signifiés pour le recouvrement des créances dues à un comptable public par un huissier de justice ou par tout agent de l’administration habilité à exercer des poursuites au nom du comptable.</w:t>
      </w:r>
    </w:p>
    <w:p w14:paraId="507BD3D1" w14:textId="4012E896" w:rsidR="009363CE" w:rsidRDefault="00F1636B" w:rsidP="00285FE9">
      <w:r>
        <w:t xml:space="preserve">Lorsque l’administration décide de procéder à leur notification par voie de signification, les propositions de rectifications et les </w:t>
      </w:r>
      <w:r w:rsidR="006902CE">
        <w:t>taxations d’office</w:t>
      </w:r>
      <w:r>
        <w:t xml:space="preserve"> peuvent être signifiées par tout agent de l’administration habilité à exercer des poursuites au nom du comptable.</w:t>
      </w:r>
    </w:p>
    <w:p w14:paraId="339D25F2" w14:textId="605F7F3B" w:rsidR="00F1636B" w:rsidRDefault="006902CE" w:rsidP="00285FE9">
      <w:r>
        <w:t>Enfin, l</w:t>
      </w:r>
      <w:r w:rsidR="00900863">
        <w:t>es biens meubles saisis par tout agent de l’administration habilité à exercer des poursuites au nom du comptable peuvent être vendus aux enchères publiques par tout officier public ministériel habilité à procéder aux ventes aux enchères publiques ou par tout agent de l’administration habilité à vendre au nom du comptable public.</w:t>
      </w:r>
    </w:p>
    <w:p w14:paraId="5B1BEBDC" w14:textId="77777777" w:rsidR="003E1BD8" w:rsidRPr="00A847B7" w:rsidRDefault="003E1BD8" w:rsidP="009E781D">
      <w:pPr>
        <w:spacing w:beforeAutospacing="1" w:after="100" w:afterAutospacing="1"/>
        <w:rPr>
          <w:rFonts w:cstheme="minorHAnsi"/>
        </w:rPr>
      </w:pPr>
    </w:p>
    <w:p w14:paraId="2B50B59F" w14:textId="1D1FAC3E" w:rsidR="003E1BD8" w:rsidRPr="00A847B7" w:rsidRDefault="003E1BD8" w:rsidP="003E1BD8">
      <w:pPr>
        <w:pStyle w:val="Titre3"/>
      </w:pPr>
      <w:bookmarkStart w:id="164" w:name="_Toc60781073"/>
      <w:r w:rsidRPr="00A847B7">
        <w:t xml:space="preserve">Slide </w:t>
      </w:r>
      <w:r w:rsidR="00583AE1">
        <w:t>110</w:t>
      </w:r>
      <w:r w:rsidRPr="00A847B7">
        <w:t xml:space="preserve"> : </w:t>
      </w:r>
      <w:r w:rsidR="00A25789">
        <w:t>C</w:t>
      </w:r>
      <w:r w:rsidR="00D610E9" w:rsidRPr="00A847B7">
        <w:t>ontrôle douanier</w:t>
      </w:r>
      <w:bookmarkEnd w:id="164"/>
    </w:p>
    <w:p w14:paraId="3D10C087" w14:textId="0F474332" w:rsidR="00937542" w:rsidRPr="00DC20C8" w:rsidRDefault="009366B6" w:rsidP="00366D15">
      <w:r w:rsidRPr="004F587E">
        <w:rPr>
          <w:u w:val="single"/>
        </w:rPr>
        <w:t xml:space="preserve">Source </w:t>
      </w:r>
      <w:r w:rsidRPr="00A847B7">
        <w:t>:</w:t>
      </w:r>
      <w:r w:rsidR="00503A94">
        <w:t xml:space="preserve"> Loi de Finances pour </w:t>
      </w:r>
      <w:r w:rsidR="00503A94" w:rsidRPr="0066637B">
        <w:t xml:space="preserve">2021, </w:t>
      </w:r>
      <w:r w:rsidR="00503A94" w:rsidRPr="00DC20C8">
        <w:t>article</w:t>
      </w:r>
      <w:r w:rsidR="00937542" w:rsidRPr="00DC20C8">
        <w:t>s</w:t>
      </w:r>
      <w:r w:rsidR="009D510A" w:rsidRPr="00DC20C8">
        <w:t> </w:t>
      </w:r>
      <w:r w:rsidR="00937542" w:rsidRPr="00DC20C8">
        <w:t>170</w:t>
      </w:r>
      <w:r w:rsidR="00DC20C8">
        <w:t xml:space="preserve"> et</w:t>
      </w:r>
      <w:r w:rsidR="009D510A" w:rsidRPr="00DC20C8">
        <w:t xml:space="preserve"> 178</w:t>
      </w:r>
    </w:p>
    <w:p w14:paraId="1035EF81" w14:textId="7C7F0566" w:rsidR="00503A94" w:rsidRPr="00A62015" w:rsidRDefault="00922E8C" w:rsidP="00EE0687">
      <w:pPr>
        <w:pStyle w:val="Paragraphedeliste"/>
        <w:numPr>
          <w:ilvl w:val="0"/>
          <w:numId w:val="239"/>
        </w:numPr>
        <w:rPr>
          <w:b/>
          <w:bCs/>
          <w:i/>
          <w:iCs/>
          <w:u w:val="single"/>
        </w:rPr>
      </w:pPr>
      <w:r>
        <w:rPr>
          <w:b/>
          <w:bCs/>
          <w:i/>
          <w:iCs/>
          <w:u w:val="single"/>
        </w:rPr>
        <w:t>TVA</w:t>
      </w:r>
      <w:r w:rsidR="001E7598">
        <w:rPr>
          <w:b/>
          <w:bCs/>
          <w:i/>
          <w:iCs/>
          <w:u w:val="single"/>
        </w:rPr>
        <w:t xml:space="preserve"> </w:t>
      </w:r>
      <w:r w:rsidR="00503A94" w:rsidRPr="00A62015">
        <w:rPr>
          <w:b/>
          <w:bCs/>
          <w:i/>
          <w:iCs/>
          <w:u w:val="single"/>
        </w:rPr>
        <w:t>douanière</w:t>
      </w:r>
    </w:p>
    <w:p w14:paraId="27D6399A" w14:textId="0DE7C9D0" w:rsidR="00D356A8" w:rsidRDefault="00124219" w:rsidP="00366D15">
      <w:r>
        <w:t>Par principe, le</w:t>
      </w:r>
      <w:r w:rsidR="009222B5">
        <w:t>s personnes qui interviennent dans des opérations d’exportations exonérées de TVA doivent être agréées par l’administration en tant qu’opérateurs de détaxe</w:t>
      </w:r>
      <w:r>
        <w:t xml:space="preserve"> : elles doivent alors </w:t>
      </w:r>
      <w:r w:rsidR="009222B5">
        <w:t>transmett</w:t>
      </w:r>
      <w:r>
        <w:t>re</w:t>
      </w:r>
      <w:r w:rsidR="009222B5">
        <w:t xml:space="preserve"> à l’administration, au moyen d’une plate-forme d’échange de données informatisées certifiée, les données électroniques des bordereaux de vente à l’exportation qu’elles émettent ou qui sont émis par les vendeurs qui leur sont affiliés</w:t>
      </w:r>
      <w:r>
        <w:t>.</w:t>
      </w:r>
    </w:p>
    <w:p w14:paraId="11B6687D" w14:textId="7B8C88A0" w:rsidR="00124219" w:rsidRDefault="00491CBC" w:rsidP="00491CBC">
      <w:r>
        <w:t xml:space="preserve">Il est désormais prévu que </w:t>
      </w:r>
      <w:r w:rsidR="00124219">
        <w:t xml:space="preserve">solliciter ou obtenir le visa du bordereau lorsque les conditions d’application de l’exonération ne sont pas réunies </w:t>
      </w:r>
      <w:r w:rsidR="003144AF">
        <w:t>pourra</w:t>
      </w:r>
      <w:r w:rsidR="00124219">
        <w:t xml:space="preserve"> être sanctionné</w:t>
      </w:r>
      <w:r w:rsidR="00EB1912">
        <w:t xml:space="preserve"> selon les procédures douanières</w:t>
      </w:r>
      <w:r w:rsidR="00124219">
        <w:t>.</w:t>
      </w:r>
    </w:p>
    <w:p w14:paraId="5E8DB21F" w14:textId="77777777" w:rsidR="00C52A4F" w:rsidRDefault="00510D8D" w:rsidP="00491CBC">
      <w:r>
        <w:t>Par ailleurs</w:t>
      </w:r>
      <w:r w:rsidR="00C52A4F">
        <w:t> :</w:t>
      </w:r>
    </w:p>
    <w:p w14:paraId="0A454D77" w14:textId="2D8BED94" w:rsidR="0037614E" w:rsidRDefault="0037614E" w:rsidP="00EE0687">
      <w:pPr>
        <w:pStyle w:val="Paragraphedeliste"/>
        <w:numPr>
          <w:ilvl w:val="0"/>
          <w:numId w:val="238"/>
        </w:numPr>
      </w:pPr>
      <w:r>
        <w:t>s</w:t>
      </w:r>
      <w:r w:rsidR="00C52A4F">
        <w:t xml:space="preserve">olliciter ou obtenir un visa frauduleux des bordereaux de vente en détaxe par des personnes physiques sera puni de 150 € à 1500 € d’amende et </w:t>
      </w:r>
      <w:r>
        <w:t xml:space="preserve">par la </w:t>
      </w:r>
      <w:r w:rsidR="00C52A4F">
        <w:t>confiscation de la marchandise</w:t>
      </w:r>
      <w:r>
        <w:t> ;</w:t>
      </w:r>
    </w:p>
    <w:p w14:paraId="7BCC24EF" w14:textId="201E93FC" w:rsidR="0037614E" w:rsidRDefault="00742DE5" w:rsidP="00EE0687">
      <w:pPr>
        <w:pStyle w:val="Paragraphedeliste"/>
        <w:numPr>
          <w:ilvl w:val="0"/>
          <w:numId w:val="238"/>
        </w:numPr>
      </w:pPr>
      <w:r>
        <w:t>à compter du 1</w:t>
      </w:r>
      <w:r w:rsidRPr="00DC20C8">
        <w:rPr>
          <w:vertAlign w:val="superscript"/>
        </w:rPr>
        <w:t>er</w:t>
      </w:r>
      <w:r>
        <w:t xml:space="preserve"> janvier 2022, </w:t>
      </w:r>
      <w:r w:rsidR="0037614E">
        <w:t>les manquements à l’obligation de transmission à l’administration des douanes des informations lui permettant de constater la base d’imposition seront punis d’une amende de 300 € à 3 000 €.</w:t>
      </w:r>
    </w:p>
    <w:p w14:paraId="203D3128" w14:textId="0B4BC51D" w:rsidR="00922E8C" w:rsidRDefault="00922E8C" w:rsidP="006D6A2D">
      <w:r>
        <w:t>S’agissant de la base d’imposition à la TVA due à l’importation, elle est par principe égale à la valeur définie par la législation douanière</w:t>
      </w:r>
      <w:r w:rsidR="000735B2">
        <w:t>, cette b</w:t>
      </w:r>
      <w:r>
        <w:t xml:space="preserve">ase d’imposition à la TVA à l’importation </w:t>
      </w:r>
      <w:r w:rsidR="000735B2">
        <w:t>étant</w:t>
      </w:r>
      <w:r>
        <w:t xml:space="preserve"> constatée par l’administration des douanes.</w:t>
      </w:r>
    </w:p>
    <w:p w14:paraId="6D9F8A6A" w14:textId="4EEA753A" w:rsidR="002A2C5A" w:rsidRPr="0037614E" w:rsidRDefault="00E37057" w:rsidP="00922E8C">
      <w:r>
        <w:lastRenderedPageBreak/>
        <w:t xml:space="preserve">En cas de constatation, par l’administration des douanes, d’un manquement à l’obligation déclarative de la base d’imposition à la TVA due à l’importation, il est désormais prévu </w:t>
      </w:r>
      <w:r w:rsidR="006D6A2D">
        <w:t xml:space="preserve">que les agents des douanes puissent sanctionner et poursuivre ces manquements. </w:t>
      </w:r>
    </w:p>
    <w:p w14:paraId="79E70DB7" w14:textId="3317B591" w:rsidR="00B269D8" w:rsidRPr="00BB3ED2" w:rsidRDefault="00B269D8" w:rsidP="00EE0687">
      <w:pPr>
        <w:pStyle w:val="Paragraphedeliste"/>
        <w:numPr>
          <w:ilvl w:val="0"/>
          <w:numId w:val="240"/>
        </w:numPr>
        <w:spacing w:beforeAutospacing="1" w:after="100" w:afterAutospacing="1"/>
        <w:rPr>
          <w:rFonts w:cstheme="minorHAnsi"/>
          <w:b/>
          <w:bCs/>
          <w:i/>
          <w:iCs/>
          <w:u w:val="single"/>
        </w:rPr>
      </w:pPr>
      <w:r w:rsidRPr="00BB3ED2">
        <w:rPr>
          <w:rFonts w:cstheme="minorHAnsi"/>
          <w:b/>
          <w:bCs/>
          <w:i/>
          <w:iCs/>
          <w:u w:val="single"/>
        </w:rPr>
        <w:t>Délai de prescription</w:t>
      </w:r>
    </w:p>
    <w:p w14:paraId="2F9D4375" w14:textId="006C0E5C" w:rsidR="00B269D8" w:rsidRDefault="00B269D8" w:rsidP="00366D15">
      <w:pPr>
        <w:spacing w:beforeAutospacing="1" w:after="100" w:afterAutospacing="1"/>
        <w:rPr>
          <w:rFonts w:cstheme="minorHAnsi"/>
        </w:rPr>
      </w:pPr>
      <w:r>
        <w:rPr>
          <w:rFonts w:cstheme="minorHAnsi"/>
        </w:rPr>
        <w:t xml:space="preserve">Par principe, </w:t>
      </w:r>
      <w:r w:rsidR="00B22210">
        <w:rPr>
          <w:rFonts w:cstheme="minorHAnsi"/>
        </w:rPr>
        <w:t>l</w:t>
      </w:r>
      <w:r w:rsidR="00B22210">
        <w:t xml:space="preserve">e droit de reprise de l'administration douanière s'exerce pendant un délai de </w:t>
      </w:r>
      <w:r w:rsidR="00800621">
        <w:t xml:space="preserve">3 </w:t>
      </w:r>
      <w:r w:rsidR="00B22210">
        <w:t>ans, à compter du fait générateur, cette prescription étant interrompue par la notification d'un procès-verbal de douane.</w:t>
      </w:r>
    </w:p>
    <w:p w14:paraId="71B175DD" w14:textId="56567BE0" w:rsidR="00B269D8" w:rsidRPr="00A847B7" w:rsidRDefault="006D176A" w:rsidP="00366D15">
      <w:pPr>
        <w:spacing w:beforeAutospacing="1" w:after="100" w:afterAutospacing="1"/>
        <w:rPr>
          <w:rFonts w:cstheme="minorHAnsi"/>
        </w:rPr>
      </w:pPr>
      <w:r>
        <w:t xml:space="preserve">Même si </w:t>
      </w:r>
      <w:r w:rsidR="00A83C9C">
        <w:t xml:space="preserve">ce délai est </w:t>
      </w:r>
      <w:r>
        <w:t xml:space="preserve">écoulé, les omissions ou insuffisances d'imposition constitutives d'infractions ayant pour objet ou résultat le </w:t>
      </w:r>
      <w:r w:rsidR="00BB3ED2">
        <w:t>non-recouvrement</w:t>
      </w:r>
      <w:r>
        <w:t xml:space="preserve"> de droit ou de taxes, révélées par une procédure judiciaire ou par une procédure devant les juridictions administratives, peuvent être réparées par l'administration des douanes jusqu'à la fin de l'année suivant celle de la décision qui a clos l'instance et, au plus tard</w:t>
      </w:r>
      <w:r w:rsidR="00BB3ED2" w:rsidRPr="00BB3ED2">
        <w:t xml:space="preserve"> </w:t>
      </w:r>
      <w:r w:rsidR="00BB3ED2">
        <w:t>à l’échéance des 10 ans qui suivent la date à laquelle l’imposition est due.</w:t>
      </w:r>
    </w:p>
    <w:p w14:paraId="6C894F86" w14:textId="77777777" w:rsidR="00840610" w:rsidRPr="00A847B7" w:rsidRDefault="00840610" w:rsidP="00366D15">
      <w:pPr>
        <w:spacing w:beforeAutospacing="1" w:after="100" w:afterAutospacing="1"/>
        <w:rPr>
          <w:rFonts w:cstheme="minorHAnsi"/>
        </w:rPr>
      </w:pPr>
    </w:p>
    <w:p w14:paraId="116B3290" w14:textId="1E145623" w:rsidR="003E1BD8" w:rsidRPr="00A847B7" w:rsidRDefault="003E1BD8" w:rsidP="003E1BD8">
      <w:pPr>
        <w:pStyle w:val="Titre3"/>
      </w:pPr>
      <w:bookmarkStart w:id="165" w:name="_Toc60781074"/>
      <w:r w:rsidRPr="00A847B7">
        <w:t xml:space="preserve">Slide </w:t>
      </w:r>
      <w:r w:rsidR="00A64212">
        <w:t>111</w:t>
      </w:r>
      <w:r w:rsidRPr="00A847B7">
        <w:t xml:space="preserve"> : </w:t>
      </w:r>
      <w:r w:rsidR="00E14929" w:rsidRPr="00A847B7">
        <w:t>Droit de communication</w:t>
      </w:r>
      <w:bookmarkEnd w:id="165"/>
    </w:p>
    <w:p w14:paraId="1C780B9B" w14:textId="2965F908" w:rsidR="001F43C4" w:rsidRPr="001F43C4" w:rsidRDefault="009366B6" w:rsidP="001F43C4">
      <w:r w:rsidRPr="004F587E">
        <w:rPr>
          <w:u w:val="single"/>
        </w:rPr>
        <w:t xml:space="preserve">Source </w:t>
      </w:r>
      <w:r w:rsidRPr="00A847B7">
        <w:t>:</w:t>
      </w:r>
      <w:r w:rsidR="001F43C4">
        <w:t xml:space="preserve"> Loi de Finances pour 2021, </w:t>
      </w:r>
      <w:r w:rsidR="001F43C4" w:rsidRPr="00DC20C8">
        <w:t>article</w:t>
      </w:r>
      <w:r w:rsidR="00501DCF" w:rsidRPr="00DC20C8">
        <w:t>s</w:t>
      </w:r>
      <w:r w:rsidR="001F43C4" w:rsidRPr="00DC20C8">
        <w:t xml:space="preserve"> </w:t>
      </w:r>
      <w:r w:rsidR="008F2B86" w:rsidRPr="00DB0934">
        <w:t>173</w:t>
      </w:r>
      <w:r w:rsidR="0066637B">
        <w:t xml:space="preserve">, </w:t>
      </w:r>
      <w:r w:rsidR="001869F5">
        <w:t>185 et 186</w:t>
      </w:r>
    </w:p>
    <w:p w14:paraId="703E7374" w14:textId="0122B2D8" w:rsidR="000F0578" w:rsidRPr="00C66BA4" w:rsidRDefault="00E85489" w:rsidP="00EE0687">
      <w:pPr>
        <w:pStyle w:val="Paragraphedeliste"/>
        <w:numPr>
          <w:ilvl w:val="0"/>
          <w:numId w:val="146"/>
        </w:numPr>
        <w:rPr>
          <w:b/>
          <w:bCs/>
          <w:i/>
          <w:iCs/>
          <w:u w:val="single"/>
        </w:rPr>
      </w:pPr>
      <w:r w:rsidRPr="00C66BA4">
        <w:rPr>
          <w:b/>
          <w:bCs/>
          <w:i/>
          <w:iCs/>
          <w:u w:val="single"/>
        </w:rPr>
        <w:t>Opérateurs de téléphonie et d’Internet</w:t>
      </w:r>
    </w:p>
    <w:p w14:paraId="7CE51FC1" w14:textId="7AE922A5" w:rsidR="001F43C4" w:rsidRPr="00E85489" w:rsidRDefault="001F43C4" w:rsidP="00E85489">
      <w:r>
        <w:t>L’</w:t>
      </w:r>
      <w:r w:rsidR="00835AD6">
        <w:t>administration</w:t>
      </w:r>
      <w:r>
        <w:t xml:space="preserve"> fiscale dispose d’un droit de communication </w:t>
      </w:r>
      <w:r w:rsidR="00177CCE">
        <w:t xml:space="preserve">qu’elle peut exercer auprès des </w:t>
      </w:r>
      <w:r w:rsidR="008E6484">
        <w:t xml:space="preserve">opérateurs de </w:t>
      </w:r>
      <w:r w:rsidR="008E6484" w:rsidRPr="00836A37">
        <w:t xml:space="preserve">téléphonie et des fournisseurs d’accès et d’hébergement </w:t>
      </w:r>
      <w:r w:rsidR="00E85489">
        <w:t>I</w:t>
      </w:r>
      <w:r w:rsidR="008E6484" w:rsidRPr="00836A37">
        <w:t>nternet</w:t>
      </w:r>
      <w:r w:rsidR="000D0841" w:rsidRPr="00836A37">
        <w:t xml:space="preserve"> afin de lutter contre la fraude fisc</w:t>
      </w:r>
      <w:r w:rsidR="00730F35" w:rsidRPr="00836A37">
        <w:t>ale</w:t>
      </w:r>
      <w:r w:rsidR="004C088B">
        <w:rPr>
          <w:rFonts w:ascii="Arial" w:hAnsi="Arial" w:cs="Arial"/>
        </w:rPr>
        <w:t xml:space="preserve"> </w:t>
      </w:r>
      <w:r w:rsidR="004C088B" w:rsidRPr="00E85489">
        <w:t xml:space="preserve">(recherche d’infractions, preuve de domiciliation, existence d’une activité occulte, etc.). </w:t>
      </w:r>
    </w:p>
    <w:p w14:paraId="5609BE77" w14:textId="77777777" w:rsidR="008A2B23" w:rsidRDefault="00CD5F1D" w:rsidP="001F43C4">
      <w:r>
        <w:t xml:space="preserve">La mise en œuvre du droit de communication devra désormais faire l’objet d’une autorisation préalable par un contrôleur des demandes de données de connexion. Ce contrôleur des demandes de données de connexion sera, en alternance, un membre du Conseil d’État, en activité ou honoraire, élu par l’assemblée générale du Conseil d’État, et un magistrat de la Cour de cassation, en activité ou honoraire, élu par l’assemblée générale de la Cour de cassation. Son suppléant, issu de l’autre juridiction, </w:t>
      </w:r>
      <w:r w:rsidR="008A2B23">
        <w:t>sera</w:t>
      </w:r>
      <w:r>
        <w:t xml:space="preserve"> désigné selon les mêmes modalités. </w:t>
      </w:r>
    </w:p>
    <w:p w14:paraId="0C8E37E2" w14:textId="489EB517" w:rsidR="001F43C4" w:rsidRDefault="00CD5F1D" w:rsidP="001F43C4">
      <w:r>
        <w:t xml:space="preserve">Le contrôleur des demandes de données de connexion et son suppléant sont élus pour une durée de </w:t>
      </w:r>
      <w:r w:rsidR="00784918">
        <w:t>4 </w:t>
      </w:r>
      <w:r>
        <w:t>ans non renouvelable.</w:t>
      </w:r>
    </w:p>
    <w:p w14:paraId="74F5518E" w14:textId="0BC28C4F" w:rsidR="000F0578" w:rsidRPr="001F43C4" w:rsidRDefault="000F0578" w:rsidP="001F43C4">
      <w:r>
        <w:t>Le contrôleur des demandes de données de connexion ne peut recevoir ni solliciter aucune instruction de la direction générale des finances publiques, ni d’aucune autre autorité dans l’exercice de sa mission.</w:t>
      </w:r>
    </w:p>
    <w:p w14:paraId="1697EDD9" w14:textId="2E3E4D10" w:rsidR="00EF7181" w:rsidRDefault="00C66BA4" w:rsidP="00EE0687">
      <w:pPr>
        <w:pStyle w:val="Paragraphedeliste"/>
        <w:numPr>
          <w:ilvl w:val="0"/>
          <w:numId w:val="146"/>
        </w:numPr>
        <w:spacing w:beforeAutospacing="1" w:after="100" w:afterAutospacing="1"/>
        <w:rPr>
          <w:rFonts w:cstheme="minorHAnsi"/>
          <w:b/>
          <w:bCs/>
          <w:i/>
          <w:iCs/>
          <w:u w:val="single"/>
        </w:rPr>
      </w:pPr>
      <w:r w:rsidRPr="00C66BA4">
        <w:rPr>
          <w:rFonts w:cstheme="minorHAnsi"/>
          <w:b/>
          <w:bCs/>
          <w:i/>
          <w:iCs/>
          <w:u w:val="single"/>
        </w:rPr>
        <w:t>Travailleurs indépendants</w:t>
      </w:r>
    </w:p>
    <w:p w14:paraId="37F6F120" w14:textId="1B91E2B9" w:rsidR="00D92453" w:rsidRDefault="00C66BA4" w:rsidP="0072389E">
      <w:pPr>
        <w:spacing w:beforeAutospacing="1" w:after="100" w:afterAutospacing="1"/>
      </w:pPr>
      <w:r>
        <w:rPr>
          <w:rFonts w:cstheme="minorHAnsi"/>
        </w:rPr>
        <w:t>Jusqu’à présent</w:t>
      </w:r>
      <w:r w:rsidR="00F765F2">
        <w:rPr>
          <w:rFonts w:cstheme="minorHAnsi"/>
        </w:rPr>
        <w:t xml:space="preserve">, </w:t>
      </w:r>
      <w:r w:rsidR="0072389E">
        <w:rPr>
          <w:rFonts w:cstheme="minorHAnsi"/>
        </w:rPr>
        <w:t>l</w:t>
      </w:r>
      <w:r w:rsidR="008D79DF">
        <w:t xml:space="preserve">es organismes de la sécurité sociale </w:t>
      </w:r>
      <w:r w:rsidR="0072389E">
        <w:t xml:space="preserve">devaient </w:t>
      </w:r>
      <w:r w:rsidR="008D79DF">
        <w:t>communique</w:t>
      </w:r>
      <w:r w:rsidR="0072389E">
        <w:t>r</w:t>
      </w:r>
      <w:r w:rsidR="008D79DF">
        <w:t xml:space="preserve"> à l'administration fiscale, avant le 30 juin de chaque année, les éléments nécessaires à l'établissement de l'impôt sur le revenu des travailleurs indépendants </w:t>
      </w:r>
      <w:r w:rsidR="00003598">
        <w:t>placés sous le régime fiscal de la micro-entreprise</w:t>
      </w:r>
      <w:r w:rsidR="00380AC8">
        <w:t xml:space="preserve"> ayant </w:t>
      </w:r>
      <w:r w:rsidR="002E16C3">
        <w:t>opté</w:t>
      </w:r>
      <w:r w:rsidR="00380AC8">
        <w:t xml:space="preserve"> pour le versement libératoire</w:t>
      </w:r>
      <w:r w:rsidR="0072389E">
        <w:t>.</w:t>
      </w:r>
    </w:p>
    <w:p w14:paraId="718E71C8" w14:textId="77C7266B" w:rsidR="008D79DF" w:rsidRDefault="00D92453" w:rsidP="0072389E">
      <w:pPr>
        <w:spacing w:beforeAutospacing="1" w:after="100" w:afterAutospacing="1"/>
      </w:pPr>
      <w:r>
        <w:t xml:space="preserve">Désormais, cette communication vise tous les </w:t>
      </w:r>
      <w:r w:rsidR="00003598">
        <w:t>travailleurs</w:t>
      </w:r>
      <w:r>
        <w:t xml:space="preserve"> </w:t>
      </w:r>
      <w:r w:rsidR="00003598">
        <w:t>indépendants</w:t>
      </w:r>
      <w:r>
        <w:t xml:space="preserve"> </w:t>
      </w:r>
      <w:r w:rsidR="005B2DBA">
        <w:t>placé</w:t>
      </w:r>
      <w:r w:rsidR="00784918">
        <w:t>s</w:t>
      </w:r>
      <w:r w:rsidR="005B2DBA">
        <w:t xml:space="preserve"> sous le régime auto-entrepreneur, qu’ils aient ou non </w:t>
      </w:r>
      <w:r w:rsidR="002E16C3">
        <w:t>opté</w:t>
      </w:r>
      <w:r w:rsidR="005B2DBA">
        <w:t xml:space="preserve"> pour</w:t>
      </w:r>
      <w:r w:rsidR="005B2DBA" w:rsidRPr="005B2DBA">
        <w:t xml:space="preserve"> </w:t>
      </w:r>
      <w:r w:rsidR="005B2DBA">
        <w:t xml:space="preserve">le versement libératoire </w:t>
      </w:r>
      <w:r>
        <w:t xml:space="preserve">à </w:t>
      </w:r>
      <w:r w:rsidR="00003598">
        <w:t>raison</w:t>
      </w:r>
      <w:r>
        <w:t xml:space="preserve"> de </w:t>
      </w:r>
      <w:r w:rsidR="00003598">
        <w:t>toutes les impositions dues par eux.</w:t>
      </w:r>
    </w:p>
    <w:p w14:paraId="26A20677" w14:textId="07B97AB3" w:rsidR="00003598" w:rsidRPr="004D7510" w:rsidRDefault="00416E7A" w:rsidP="00EE0687">
      <w:pPr>
        <w:pStyle w:val="Paragraphedeliste"/>
        <w:numPr>
          <w:ilvl w:val="0"/>
          <w:numId w:val="237"/>
        </w:numPr>
        <w:rPr>
          <w:b/>
          <w:bCs/>
          <w:i/>
          <w:iCs/>
          <w:u w:val="single"/>
        </w:rPr>
      </w:pPr>
      <w:r w:rsidRPr="004D7510">
        <w:rPr>
          <w:b/>
          <w:bCs/>
          <w:i/>
          <w:iCs/>
          <w:u w:val="single"/>
        </w:rPr>
        <w:t>Particuliers employeurs</w:t>
      </w:r>
    </w:p>
    <w:p w14:paraId="2008ECA5" w14:textId="7735773C" w:rsidR="003E1BD8" w:rsidRDefault="00416E7A" w:rsidP="005B3CD8">
      <w:r w:rsidRPr="0068086C">
        <w:lastRenderedPageBreak/>
        <w:t>De la même manière, désormais, les</w:t>
      </w:r>
      <w:r w:rsidR="00575D22" w:rsidRPr="0068086C">
        <w:t xml:space="preserve"> organismes mentionnés de la sécurité sociale doivent communiquer à</w:t>
      </w:r>
      <w:r w:rsidR="00575D22">
        <w:t xml:space="preserve"> l’administration fiscale, avant le </w:t>
      </w:r>
      <w:r w:rsidR="00575D22" w:rsidDel="00784918">
        <w:t>1</w:t>
      </w:r>
      <w:r w:rsidR="00575D22" w:rsidRPr="00DC20C8" w:rsidDel="00784918">
        <w:rPr>
          <w:vertAlign w:val="superscript"/>
        </w:rPr>
        <w:t>er</w:t>
      </w:r>
      <w:r w:rsidR="00575D22" w:rsidDel="00784918">
        <w:t xml:space="preserve"> </w:t>
      </w:r>
      <w:r w:rsidR="00575D22">
        <w:t>mars de chaque année, les éléments dont ils ont connaissance et qui sont nécessaires à l’établissement et au contrôle de l’impôt sur le revenu</w:t>
      </w:r>
      <w:r w:rsidR="001F77EF">
        <w:t xml:space="preserve"> </w:t>
      </w:r>
      <w:r w:rsidR="005B3CD8">
        <w:t xml:space="preserve">des particuliers employeurs d’un salarié à domicile. </w:t>
      </w:r>
    </w:p>
    <w:p w14:paraId="7156FB87" w14:textId="66B28A31" w:rsidR="00AD0971" w:rsidRPr="00A847B7" w:rsidRDefault="00AD0971" w:rsidP="005B3CD8">
      <w:pPr>
        <w:rPr>
          <w:rFonts w:cstheme="minorHAnsi"/>
        </w:rPr>
      </w:pPr>
      <w:r>
        <w:t xml:space="preserve">Sont visées les données déclarées par les particuliers employeurs qui utilisent des dispositifs simplifiés (comme par exemple le </w:t>
      </w:r>
      <w:proofErr w:type="spellStart"/>
      <w:r>
        <w:t>Cesu</w:t>
      </w:r>
      <w:proofErr w:type="spellEnd"/>
      <w:r>
        <w:t xml:space="preserve"> ou Pajemploi) ou qui ont recours à des organismes ou à des associations pour déclarer les rémunérations versées à leurs salariés à domicile.</w:t>
      </w:r>
    </w:p>
    <w:p w14:paraId="3C608288" w14:textId="77777777" w:rsidR="00113104" w:rsidRPr="00A847B7" w:rsidRDefault="00113104" w:rsidP="009E781D">
      <w:pPr>
        <w:spacing w:beforeAutospacing="1" w:after="100" w:afterAutospacing="1"/>
        <w:rPr>
          <w:rFonts w:cstheme="minorHAnsi"/>
        </w:rPr>
      </w:pPr>
    </w:p>
    <w:p w14:paraId="3B593FE8" w14:textId="7F824790" w:rsidR="003E1BD8" w:rsidRPr="00A847B7" w:rsidRDefault="003E1BD8" w:rsidP="003E1BD8">
      <w:pPr>
        <w:pStyle w:val="Titre3"/>
      </w:pPr>
      <w:bookmarkStart w:id="166" w:name="_Toc60781075"/>
      <w:r w:rsidRPr="00A847B7">
        <w:t xml:space="preserve">Slide </w:t>
      </w:r>
      <w:r w:rsidR="00F439DB">
        <w:t>112</w:t>
      </w:r>
      <w:r w:rsidRPr="00A847B7">
        <w:t xml:space="preserve"> : </w:t>
      </w:r>
      <w:r w:rsidR="008209E6">
        <w:t>C</w:t>
      </w:r>
      <w:r w:rsidR="002F4CF4">
        <w:t>ontrôle des contributions indirectes et é</w:t>
      </w:r>
      <w:r w:rsidR="00CF225C" w:rsidRPr="00A847B7">
        <w:t>chantillonage</w:t>
      </w:r>
      <w:bookmarkEnd w:id="166"/>
    </w:p>
    <w:p w14:paraId="1371C867" w14:textId="63773768" w:rsidR="00713AA2" w:rsidRPr="0068086C" w:rsidRDefault="009366B6" w:rsidP="0068086C">
      <w:r w:rsidRPr="004F587E">
        <w:rPr>
          <w:u w:val="single"/>
        </w:rPr>
        <w:t xml:space="preserve">Source </w:t>
      </w:r>
      <w:r w:rsidRPr="00A847B7">
        <w:t>:</w:t>
      </w:r>
      <w:r w:rsidR="00285584" w:rsidRPr="0068086C">
        <w:t xml:space="preserve"> Loi de Finances pour 2021, </w:t>
      </w:r>
      <w:r w:rsidR="00285584" w:rsidRPr="00DC20C8">
        <w:t xml:space="preserve">article </w:t>
      </w:r>
      <w:r w:rsidR="00707448" w:rsidRPr="00707448">
        <w:t>184</w:t>
      </w:r>
    </w:p>
    <w:p w14:paraId="2581650D" w14:textId="75335A8F" w:rsidR="00101528" w:rsidRDefault="0068086C" w:rsidP="003E1BD8">
      <w:r w:rsidRPr="0068086C">
        <w:t xml:space="preserve">Dans le </w:t>
      </w:r>
      <w:r>
        <w:t>cadre du contrôle des c</w:t>
      </w:r>
      <w:r w:rsidR="006F3506">
        <w:t xml:space="preserve">ontributions indirectes, les </w:t>
      </w:r>
      <w:r w:rsidR="00101528">
        <w:t>agents de l’administration peuvent</w:t>
      </w:r>
      <w:r w:rsidR="002F4CF4">
        <w:t xml:space="preserve"> </w:t>
      </w:r>
      <w:r w:rsidR="006F3506">
        <w:t>désormais</w:t>
      </w:r>
      <w:r w:rsidR="00101528">
        <w:t xml:space="preserve"> procéder ou faire procéder à des prélèvements d’échantillons aux fins d’analyse ou d’expertise, en la présence soit du propriétaire, soit du détenteur du produit ou de la marchandise, soit d’un représentant de l’un d’eux, soit, à défaut, d’un témoin requis par les agents et n’appartenant pas à l’administration chargée des contributions indirectes.</w:t>
      </w:r>
    </w:p>
    <w:p w14:paraId="08F9120A" w14:textId="47C602D6" w:rsidR="00101528" w:rsidRDefault="00101528" w:rsidP="003E1BD8">
      <w:r>
        <w:t>Chaque prélèvement d’échantillons fait l’objet d’un procès-verbal décrivant les opérations effectuées, notamment l’identification des échantillons, et comportant toutes les indications jugées utiles pour établir l’authenticité des échantillons prélevés.</w:t>
      </w:r>
      <w:r w:rsidR="002F4CF4">
        <w:t xml:space="preserve"> C</w:t>
      </w:r>
      <w:r>
        <w:t>e procès-verbal est signé par les agents de l’administration.</w:t>
      </w:r>
    </w:p>
    <w:p w14:paraId="1BD481F7" w14:textId="2D15E0B6" w:rsidR="0068086C" w:rsidRDefault="0068086C" w:rsidP="003E1BD8">
      <w:r>
        <w:t>La personne présente lors du prélèvement peut faire insérer au procès-verbal toutes les déclarations qu’elle juge utiles. Elle est invitée à signer le procès-verbal. En cas de refus de signature, mention en est portée au procès-verbal.</w:t>
      </w:r>
    </w:p>
    <w:p w14:paraId="3B5A6236" w14:textId="79566D3B" w:rsidR="0068086C" w:rsidRPr="00A847B7" w:rsidRDefault="0068086C" w:rsidP="003E1BD8">
      <w:pPr>
        <w:rPr>
          <w:highlight w:val="yellow"/>
        </w:rPr>
      </w:pPr>
      <w:r>
        <w:t>Une copie du procès-verbal est transmise au propriétaire ou au détenteur du produit ou de la marchandise ou au représentant de l’un d’eux ayant assisté au prélèvement et, si elle est différente, à la personne chez laquelle le prélèvement a été effectué. </w:t>
      </w:r>
    </w:p>
    <w:p w14:paraId="0A339644" w14:textId="51790676" w:rsidR="003E1BD8" w:rsidRPr="00A847B7" w:rsidRDefault="003E1BD8" w:rsidP="003E1BD8">
      <w:pPr>
        <w:spacing w:beforeAutospacing="1" w:after="100" w:afterAutospacing="1"/>
        <w:rPr>
          <w:rFonts w:cstheme="minorHAnsi"/>
        </w:rPr>
      </w:pPr>
    </w:p>
    <w:p w14:paraId="58C70F57" w14:textId="1B806461" w:rsidR="00CF225C" w:rsidRPr="00A847B7" w:rsidRDefault="00CF225C" w:rsidP="00CF225C">
      <w:pPr>
        <w:pStyle w:val="Titre3"/>
      </w:pPr>
      <w:bookmarkStart w:id="167" w:name="_Toc60781076"/>
      <w:r w:rsidRPr="00A847B7">
        <w:t xml:space="preserve">Slide </w:t>
      </w:r>
      <w:r w:rsidR="00FB50DD">
        <w:t>113</w:t>
      </w:r>
      <w:r w:rsidRPr="00A847B7">
        <w:t xml:space="preserve"> : </w:t>
      </w:r>
      <w:r w:rsidR="00445B9A">
        <w:t>Fichier d’identificat</w:t>
      </w:r>
      <w:r w:rsidR="005B74E7">
        <w:t>ion des redevables</w:t>
      </w:r>
      <w:bookmarkEnd w:id="167"/>
    </w:p>
    <w:p w14:paraId="1C29F23A" w14:textId="7F168616" w:rsidR="00445B9A" w:rsidRDefault="009366B6" w:rsidP="005F740A">
      <w:pPr>
        <w:rPr>
          <w:highlight w:val="yellow"/>
        </w:rPr>
      </w:pPr>
      <w:r w:rsidRPr="004F587E">
        <w:rPr>
          <w:u w:val="single"/>
        </w:rPr>
        <w:t xml:space="preserve">Source </w:t>
      </w:r>
      <w:r w:rsidRPr="00A847B7">
        <w:t>:</w:t>
      </w:r>
      <w:r w:rsidR="007A2394" w:rsidRPr="007A2394">
        <w:t xml:space="preserve"> Loi de Finances pour </w:t>
      </w:r>
      <w:r w:rsidR="007A2394" w:rsidRPr="00FD7001">
        <w:t xml:space="preserve">2021, </w:t>
      </w:r>
      <w:r w:rsidR="007A2394" w:rsidRPr="00DC20C8">
        <w:t xml:space="preserve">article </w:t>
      </w:r>
      <w:r w:rsidR="00445B9A" w:rsidRPr="00DC20C8">
        <w:t>231</w:t>
      </w:r>
    </w:p>
    <w:p w14:paraId="78C7A5BC" w14:textId="1A77C706" w:rsidR="00D8767A" w:rsidRDefault="00847C20" w:rsidP="000442ED">
      <w:pPr>
        <w:rPr>
          <w:rFonts w:eastAsia="Times New Roman"/>
          <w:lang w:eastAsia="fr-FR"/>
        </w:rPr>
      </w:pPr>
      <w:r>
        <w:rPr>
          <w:rFonts w:eastAsia="Times New Roman"/>
          <w:lang w:eastAsia="fr-FR"/>
        </w:rPr>
        <w:t>Il est prévu que l</w:t>
      </w:r>
      <w:r w:rsidR="00D8767A" w:rsidRPr="00D8767A">
        <w:rPr>
          <w:rFonts w:eastAsia="Times New Roman"/>
          <w:lang w:eastAsia="fr-FR"/>
        </w:rPr>
        <w:t>es collectivités territoriales, les établissements publics qui leur sont rattachés et les établissements publics sociaux et médico-sociaux pourr</w:t>
      </w:r>
      <w:r>
        <w:rPr>
          <w:rFonts w:eastAsia="Times New Roman"/>
          <w:lang w:eastAsia="fr-FR"/>
        </w:rPr>
        <w:t>ont</w:t>
      </w:r>
      <w:r w:rsidR="00D8767A" w:rsidRPr="00D8767A">
        <w:rPr>
          <w:rFonts w:eastAsia="Times New Roman"/>
          <w:lang w:eastAsia="fr-FR"/>
        </w:rPr>
        <w:t xml:space="preserve"> obtenir communication des éléments d’identification de leurs débiteurs</w:t>
      </w:r>
      <w:r>
        <w:rPr>
          <w:rFonts w:eastAsia="Times New Roman"/>
          <w:lang w:eastAsia="fr-FR"/>
        </w:rPr>
        <w:t xml:space="preserve">, en vue </w:t>
      </w:r>
      <w:r w:rsidR="000442ED">
        <w:rPr>
          <w:rFonts w:eastAsia="Times New Roman"/>
          <w:lang w:eastAsia="fr-FR"/>
        </w:rPr>
        <w:t xml:space="preserve">de faciliter l’identification des </w:t>
      </w:r>
      <w:r w:rsidR="00D8767A" w:rsidRPr="00D8767A">
        <w:rPr>
          <w:rFonts w:eastAsia="Times New Roman"/>
          <w:lang w:eastAsia="fr-FR"/>
        </w:rPr>
        <w:t xml:space="preserve">redevables et de </w:t>
      </w:r>
      <w:r w:rsidR="000442ED">
        <w:rPr>
          <w:rFonts w:eastAsia="Times New Roman"/>
          <w:lang w:eastAsia="fr-FR"/>
        </w:rPr>
        <w:t xml:space="preserve">leur </w:t>
      </w:r>
      <w:r w:rsidR="00D8767A" w:rsidRPr="00D8767A">
        <w:rPr>
          <w:rFonts w:eastAsia="Times New Roman"/>
          <w:lang w:eastAsia="fr-FR"/>
        </w:rPr>
        <w:t>permettre d’avoir connaissance par voie électronique des sommes mises à leur charge.</w:t>
      </w:r>
    </w:p>
    <w:p w14:paraId="001ADE5E" w14:textId="21D15D92" w:rsidR="00BE4EFE" w:rsidRDefault="00BE4EFE" w:rsidP="000442ED">
      <w:pPr>
        <w:rPr>
          <w:rFonts w:eastAsia="Times New Roman"/>
          <w:lang w:eastAsia="fr-FR"/>
        </w:rPr>
      </w:pPr>
    </w:p>
    <w:p w14:paraId="548D9945" w14:textId="468F5F56" w:rsidR="009E781D" w:rsidRDefault="009E781D" w:rsidP="009E781D">
      <w:pPr>
        <w:rPr>
          <w:rFonts w:cstheme="minorHAnsi"/>
        </w:rPr>
      </w:pPr>
      <w:r w:rsidRPr="00A847B7">
        <w:rPr>
          <w:rFonts w:cstheme="minorHAnsi"/>
        </w:rPr>
        <w:br w:type="page"/>
      </w:r>
    </w:p>
    <w:p w14:paraId="054945C8" w14:textId="77777777" w:rsidR="009366B6" w:rsidRPr="00A847B7" w:rsidRDefault="009366B6" w:rsidP="009E781D">
      <w:pPr>
        <w:rPr>
          <w:rFonts w:cstheme="minorHAnsi"/>
        </w:rPr>
      </w:pPr>
    </w:p>
    <w:p w14:paraId="59980917" w14:textId="7A84CE69" w:rsidR="00F26F38" w:rsidRDefault="00C86808" w:rsidP="00302BE8">
      <w:pPr>
        <w:pStyle w:val="Titre2"/>
        <w:rPr>
          <w:rFonts w:cstheme="minorHAnsi"/>
        </w:rPr>
      </w:pPr>
      <w:bookmarkStart w:id="168" w:name="_Toc30149332"/>
      <w:bookmarkStart w:id="169" w:name="_Toc60781077"/>
      <w:r w:rsidRPr="00A847B7">
        <w:t>En matière de contrôle social</w:t>
      </w:r>
      <w:bookmarkEnd w:id="168"/>
      <w:bookmarkEnd w:id="169"/>
    </w:p>
    <w:p w14:paraId="2AAAAD0F" w14:textId="77777777" w:rsidR="00302BE8" w:rsidRDefault="00302BE8" w:rsidP="00302BE8">
      <w:pPr>
        <w:rPr>
          <w:rFonts w:cstheme="minorHAnsi"/>
        </w:rPr>
      </w:pPr>
    </w:p>
    <w:p w14:paraId="21EBFF70" w14:textId="60ABF09C" w:rsidR="00302BE8" w:rsidRPr="00F048D5" w:rsidRDefault="00302BE8" w:rsidP="00302BE8">
      <w:pPr>
        <w:pStyle w:val="Titre3"/>
      </w:pPr>
      <w:bookmarkStart w:id="170" w:name="_Toc60781078"/>
      <w:r w:rsidRPr="00F048D5">
        <w:t xml:space="preserve">Slide </w:t>
      </w:r>
      <w:r w:rsidR="00FB50DD">
        <w:t>114</w:t>
      </w:r>
      <w:r w:rsidRPr="00F048D5">
        <w:t xml:space="preserve"> : </w:t>
      </w:r>
      <w:r w:rsidRPr="00291723">
        <w:t>Droit de communication</w:t>
      </w:r>
      <w:bookmarkEnd w:id="170"/>
      <w:r w:rsidRPr="00291723">
        <w:t xml:space="preserve"> </w:t>
      </w:r>
    </w:p>
    <w:p w14:paraId="75B3339E" w14:textId="3B59C182" w:rsidR="00302BE8" w:rsidRPr="00F048D5" w:rsidRDefault="00302BE8" w:rsidP="00302BE8">
      <w:r w:rsidRPr="00C7028A">
        <w:rPr>
          <w:u w:val="single"/>
        </w:rPr>
        <w:t>Source</w:t>
      </w:r>
      <w:r w:rsidRPr="00291723">
        <w:t xml:space="preserve"> : Loi de Financement de la sécurité sociale pour 2021, art</w:t>
      </w:r>
      <w:r w:rsidR="00DC3EDC">
        <w:t xml:space="preserve">icle </w:t>
      </w:r>
      <w:r>
        <w:t>22, 1°</w:t>
      </w:r>
    </w:p>
    <w:p w14:paraId="76D033A0" w14:textId="77777777" w:rsidR="00302BE8" w:rsidRDefault="00302BE8" w:rsidP="00302BE8">
      <w:r>
        <w:t xml:space="preserve">Pour information, le droit de communication permet d'obtenir, sans que s'y oppose le secret professionnel, les documents et informations nécessaires : </w:t>
      </w:r>
    </w:p>
    <w:p w14:paraId="2C596B73" w14:textId="77777777" w:rsidR="00302BE8" w:rsidRDefault="00302BE8" w:rsidP="00EE0687">
      <w:pPr>
        <w:pStyle w:val="Paragraphedeliste"/>
        <w:numPr>
          <w:ilvl w:val="0"/>
          <w:numId w:val="264"/>
        </w:numPr>
        <w:spacing w:before="0" w:after="160" w:line="259" w:lineRule="auto"/>
      </w:pPr>
      <w:r>
        <w:t>aux agents des organismes chargés de la gestion d'un régime obligatoire de sécurité sociale pour contrôler la sincérité et l'exactitude des déclarations souscrites ou l'authenticité des pièces produites en vue de l'attribution et du paiement des prestations servies par lesdits organismes ;</w:t>
      </w:r>
    </w:p>
    <w:p w14:paraId="7D7BEB06" w14:textId="77777777" w:rsidR="00302BE8" w:rsidRDefault="00302BE8" w:rsidP="00EE0687">
      <w:pPr>
        <w:pStyle w:val="Paragraphedeliste"/>
        <w:numPr>
          <w:ilvl w:val="0"/>
          <w:numId w:val="264"/>
        </w:numPr>
        <w:spacing w:before="0" w:after="160" w:line="259" w:lineRule="auto"/>
      </w:pPr>
      <w:r>
        <w:t xml:space="preserve">aux agents chargés du contrôle de l’Urssaf et de la MSA pour accomplir leurs missions de contrôle et de lutte contre le travail dissimulé ; </w:t>
      </w:r>
    </w:p>
    <w:p w14:paraId="15F433A0" w14:textId="77777777" w:rsidR="00302BE8" w:rsidRDefault="00302BE8" w:rsidP="00EE0687">
      <w:pPr>
        <w:pStyle w:val="Paragraphedeliste"/>
        <w:numPr>
          <w:ilvl w:val="0"/>
          <w:numId w:val="264"/>
        </w:numPr>
        <w:spacing w:before="0" w:after="160" w:line="259" w:lineRule="auto"/>
      </w:pPr>
      <w:r>
        <w:t>aux agents des organismes de sécurité sociale pour recouvrer les prestations versées indûment ou des prestations recouvrables sur la succession.</w:t>
      </w:r>
    </w:p>
    <w:p w14:paraId="546D5113" w14:textId="50AC6D95" w:rsidR="00302BE8" w:rsidRDefault="00302BE8" w:rsidP="00302BE8">
      <w:r>
        <w:t>Ce</w:t>
      </w:r>
      <w:r w:rsidRPr="00B550EF">
        <w:t xml:space="preserve"> droit </w:t>
      </w:r>
      <w:r>
        <w:t>de communication</w:t>
      </w:r>
      <w:r w:rsidRPr="00B550EF">
        <w:t xml:space="preserve"> peut porter sur des informations relatives à des personnes non identifiées, dans des conditions fixées par décret en Conseil d'Etat pris après avis de la C</w:t>
      </w:r>
      <w:r>
        <w:t>NIL.</w:t>
      </w:r>
    </w:p>
    <w:p w14:paraId="00CC187A" w14:textId="77777777" w:rsidR="00302BE8" w:rsidRDefault="00302BE8" w:rsidP="00302BE8">
      <w:r>
        <w:t xml:space="preserve">Dorénavant, les données ainsi obtenues pourront faire l’objet d’une interconnexion avec les données des Urssaf au titre de l’accomplissement de leurs missions de contrôle et de lutte contre le travail dissimulé. </w:t>
      </w:r>
    </w:p>
    <w:p w14:paraId="30D3BA3E" w14:textId="01F4CACC" w:rsidR="00302BE8" w:rsidRDefault="00302BE8" w:rsidP="00302BE8">
      <w:r>
        <w:t>Les modalités de cette interconnexion seront définies par décret en Conseil d’État, pris après avis de la Commission nationale de l’informatique et des libertés (CNIL).</w:t>
      </w:r>
    </w:p>
    <w:p w14:paraId="459C9FA9" w14:textId="77777777" w:rsidR="00302BE8" w:rsidRPr="00F048D5" w:rsidRDefault="00302BE8" w:rsidP="00302BE8"/>
    <w:p w14:paraId="24A5F225" w14:textId="783E3FB6" w:rsidR="00302BE8" w:rsidRPr="00F048D5" w:rsidRDefault="00302BE8" w:rsidP="00302BE8">
      <w:pPr>
        <w:pStyle w:val="Titre3"/>
      </w:pPr>
      <w:bookmarkStart w:id="171" w:name="_Toc60781079"/>
      <w:r w:rsidRPr="00F048D5">
        <w:t xml:space="preserve">Slide </w:t>
      </w:r>
      <w:r w:rsidR="009847B8">
        <w:t>115</w:t>
      </w:r>
      <w:r w:rsidRPr="00F048D5">
        <w:t xml:space="preserve"> : </w:t>
      </w:r>
      <w:r w:rsidRPr="00C7028A">
        <w:t>Travail dissimulé</w:t>
      </w:r>
      <w:bookmarkEnd w:id="171"/>
      <w:r w:rsidRPr="00C7028A">
        <w:t xml:space="preserve"> </w:t>
      </w:r>
    </w:p>
    <w:p w14:paraId="0D474C36" w14:textId="7D617D74" w:rsidR="00302BE8" w:rsidRPr="00F048D5" w:rsidRDefault="00302BE8" w:rsidP="00302BE8">
      <w:r w:rsidRPr="00C7028A">
        <w:rPr>
          <w:u w:val="single"/>
        </w:rPr>
        <w:t xml:space="preserve">Source </w:t>
      </w:r>
      <w:r w:rsidRPr="00C7028A">
        <w:t>: Loi de Financement de la sécurité sociale pour 2021, art</w:t>
      </w:r>
      <w:r w:rsidR="00DC3EDC">
        <w:t xml:space="preserve">icle </w:t>
      </w:r>
      <w:r>
        <w:t>26</w:t>
      </w:r>
    </w:p>
    <w:p w14:paraId="03437422" w14:textId="72FE17D1" w:rsidR="00302BE8" w:rsidRPr="009366B6" w:rsidRDefault="00554B26" w:rsidP="00EE0687">
      <w:pPr>
        <w:pStyle w:val="Paragraphedeliste"/>
        <w:numPr>
          <w:ilvl w:val="0"/>
          <w:numId w:val="146"/>
        </w:numPr>
        <w:spacing w:beforeAutospacing="1" w:after="100" w:afterAutospacing="1"/>
        <w:rPr>
          <w:rFonts w:cstheme="minorHAnsi"/>
          <w:b/>
          <w:bCs/>
          <w:i/>
          <w:iCs/>
          <w:u w:val="single"/>
        </w:rPr>
      </w:pPr>
      <w:r w:rsidRPr="009366B6">
        <w:rPr>
          <w:rFonts w:cstheme="minorHAnsi"/>
          <w:b/>
          <w:bCs/>
          <w:i/>
          <w:iCs/>
          <w:u w:val="single"/>
        </w:rPr>
        <w:t>N</w:t>
      </w:r>
      <w:r w:rsidR="00302BE8" w:rsidRPr="009366B6">
        <w:rPr>
          <w:rFonts w:cstheme="minorHAnsi"/>
          <w:b/>
          <w:bCs/>
          <w:i/>
          <w:iCs/>
          <w:u w:val="single"/>
        </w:rPr>
        <w:t>ouvelle circonstance aggravante : l’infraction commise en bande organisée</w:t>
      </w:r>
    </w:p>
    <w:p w14:paraId="4DCAFEE3" w14:textId="3B370AF8" w:rsidR="00302BE8" w:rsidRPr="00EC0112" w:rsidRDefault="00302BE8" w:rsidP="00302BE8">
      <w:pPr>
        <w:spacing w:beforeAutospacing="1" w:after="100" w:afterAutospacing="1"/>
        <w:rPr>
          <w:rFonts w:cstheme="minorHAnsi"/>
        </w:rPr>
      </w:pPr>
      <w:r w:rsidRPr="00EC0112">
        <w:rPr>
          <w:rFonts w:cstheme="minorHAnsi"/>
        </w:rPr>
        <w:t>Pour rappel,</w:t>
      </w:r>
      <w:r w:rsidR="001B5D23" w:rsidRPr="001B5D23">
        <w:rPr>
          <w:rFonts w:cstheme="minorHAnsi"/>
        </w:rPr>
        <w:t xml:space="preserve"> </w:t>
      </w:r>
      <w:r w:rsidR="001B5D23" w:rsidRPr="00EC0112">
        <w:rPr>
          <w:rFonts w:cstheme="minorHAnsi"/>
        </w:rPr>
        <w:t>en cas de constat d'infractions de travail dissimulé, de marchandage, de prêt illicite de main-d'œuvre ou d'emploi d'étrangers non autorisés à travailler</w:t>
      </w:r>
      <w:r w:rsidR="001B5D23">
        <w:rPr>
          <w:rFonts w:cstheme="minorHAnsi"/>
        </w:rPr>
        <w:t>, l’employeur concerné se voit refuser</w:t>
      </w:r>
      <w:r w:rsidRPr="00EC0112">
        <w:rPr>
          <w:rFonts w:cstheme="minorHAnsi"/>
        </w:rPr>
        <w:t xml:space="preserve"> </w:t>
      </w:r>
      <w:r w:rsidR="00554B26">
        <w:rPr>
          <w:rFonts w:cstheme="minorHAnsi"/>
        </w:rPr>
        <w:t>la possibilité de bénéficier</w:t>
      </w:r>
      <w:r w:rsidRPr="00EC0112">
        <w:rPr>
          <w:rFonts w:cstheme="minorHAnsi"/>
        </w:rPr>
        <w:t xml:space="preserve"> de toute</w:t>
      </w:r>
      <w:r w:rsidR="001B5D23">
        <w:rPr>
          <w:rFonts w:cstheme="minorHAnsi"/>
        </w:rPr>
        <w:t>s</w:t>
      </w:r>
      <w:r w:rsidRPr="00EC0112">
        <w:rPr>
          <w:rFonts w:cstheme="minorHAnsi"/>
        </w:rPr>
        <w:t xml:space="preserve"> mesure</w:t>
      </w:r>
      <w:r w:rsidR="001B5D23">
        <w:rPr>
          <w:rFonts w:cstheme="minorHAnsi"/>
        </w:rPr>
        <w:t>s</w:t>
      </w:r>
      <w:r w:rsidRPr="00EC0112">
        <w:rPr>
          <w:rFonts w:cstheme="minorHAnsi"/>
        </w:rPr>
        <w:t xml:space="preserve"> de réduction ou d’exonération</w:t>
      </w:r>
      <w:r w:rsidR="001B5D23" w:rsidRPr="001B5D23">
        <w:rPr>
          <w:rFonts w:cstheme="minorHAnsi"/>
        </w:rPr>
        <w:t xml:space="preserve"> </w:t>
      </w:r>
      <w:r w:rsidR="001B5D23" w:rsidRPr="00EC0112">
        <w:rPr>
          <w:rFonts w:cstheme="minorHAnsi"/>
        </w:rPr>
        <w:t>de cotisations</w:t>
      </w:r>
      <w:r w:rsidR="001B5D23">
        <w:rPr>
          <w:rFonts w:cstheme="minorHAnsi"/>
        </w:rPr>
        <w:t xml:space="preserve"> ou contributions</w:t>
      </w:r>
      <w:r w:rsidR="001B5D23" w:rsidRPr="00EC0112">
        <w:rPr>
          <w:rFonts w:cstheme="minorHAnsi"/>
        </w:rPr>
        <w:t xml:space="preserve"> sociales</w:t>
      </w:r>
      <w:r w:rsidRPr="00EC0112">
        <w:rPr>
          <w:rFonts w:cstheme="minorHAnsi"/>
        </w:rPr>
        <w:t>,</w:t>
      </w:r>
      <w:r w:rsidR="001B5D23">
        <w:rPr>
          <w:rFonts w:cstheme="minorHAnsi"/>
        </w:rPr>
        <w:t xml:space="preserve"> qu</w:t>
      </w:r>
      <w:r w:rsidR="00BB262A">
        <w:rPr>
          <w:rFonts w:cstheme="minorHAnsi"/>
        </w:rPr>
        <w:t>’</w:t>
      </w:r>
      <w:r w:rsidR="001B5D23">
        <w:rPr>
          <w:rFonts w:cstheme="minorHAnsi"/>
        </w:rPr>
        <w:t>elles soient</w:t>
      </w:r>
      <w:r w:rsidRPr="00EC0112">
        <w:rPr>
          <w:rFonts w:cstheme="minorHAnsi"/>
        </w:rPr>
        <w:t xml:space="preserve"> totale</w:t>
      </w:r>
      <w:r w:rsidR="001B5D23">
        <w:rPr>
          <w:rFonts w:cstheme="minorHAnsi"/>
        </w:rPr>
        <w:t>s</w:t>
      </w:r>
      <w:r w:rsidRPr="00EC0112">
        <w:rPr>
          <w:rFonts w:cstheme="minorHAnsi"/>
        </w:rPr>
        <w:t xml:space="preserve"> ou partielle</w:t>
      </w:r>
      <w:r w:rsidR="001B5D23">
        <w:rPr>
          <w:rFonts w:cstheme="minorHAnsi"/>
        </w:rPr>
        <w:t>s</w:t>
      </w:r>
      <w:r w:rsidRPr="00EC0112">
        <w:rPr>
          <w:rFonts w:cstheme="minorHAnsi"/>
        </w:rPr>
        <w:t>.</w:t>
      </w:r>
    </w:p>
    <w:p w14:paraId="7FA12FB1" w14:textId="07FAD4A3" w:rsidR="00302BE8" w:rsidRPr="00EC0112" w:rsidRDefault="00302BE8" w:rsidP="00302BE8">
      <w:pPr>
        <w:spacing w:beforeAutospacing="1" w:after="100" w:afterAutospacing="1"/>
        <w:rPr>
          <w:rFonts w:cstheme="minorHAnsi"/>
        </w:rPr>
      </w:pPr>
      <w:r w:rsidRPr="00EC0112">
        <w:rPr>
          <w:rFonts w:cstheme="minorHAnsi"/>
        </w:rPr>
        <w:t>Cette annulation</w:t>
      </w:r>
      <w:r w:rsidR="001B5D23">
        <w:rPr>
          <w:rFonts w:cstheme="minorHAnsi"/>
        </w:rPr>
        <w:t xml:space="preserve"> de charges</w:t>
      </w:r>
      <w:r w:rsidRPr="00EC0112">
        <w:rPr>
          <w:rFonts w:cstheme="minorHAnsi"/>
        </w:rPr>
        <w:t xml:space="preserve"> peut toutefois être partielle, notamment lorsque la dissimulation d'activité ou de salariés représente une proportion limitée de l'activité ou des salariés régulièrement déclarés</w:t>
      </w:r>
      <w:r w:rsidR="001B5D23">
        <w:rPr>
          <w:rFonts w:cstheme="minorHAnsi"/>
        </w:rPr>
        <w:t>. L’annulation partielle de charge ne peut être établie dans deux situations :</w:t>
      </w:r>
      <w:r w:rsidRPr="00EC0112">
        <w:rPr>
          <w:rFonts w:cstheme="minorHAnsi"/>
        </w:rPr>
        <w:t xml:space="preserve"> si </w:t>
      </w:r>
      <w:r w:rsidR="001B5D23">
        <w:rPr>
          <w:rFonts w:cstheme="minorHAnsi"/>
        </w:rPr>
        <w:t>la dissimulation</w:t>
      </w:r>
      <w:r w:rsidR="001B5D23" w:rsidRPr="00EC0112">
        <w:rPr>
          <w:rFonts w:cstheme="minorHAnsi"/>
        </w:rPr>
        <w:t xml:space="preserve"> </w:t>
      </w:r>
      <w:r w:rsidRPr="00EC0112">
        <w:rPr>
          <w:rFonts w:cstheme="minorHAnsi"/>
        </w:rPr>
        <w:t>concerne des mineurs ou des personnes vulnérables.</w:t>
      </w:r>
    </w:p>
    <w:p w14:paraId="65AF995A" w14:textId="2016B431" w:rsidR="00302BE8" w:rsidRDefault="00302BE8" w:rsidP="00302BE8">
      <w:pPr>
        <w:spacing w:beforeAutospacing="1" w:after="100" w:afterAutospacing="1"/>
        <w:rPr>
          <w:rFonts w:cstheme="minorHAnsi"/>
        </w:rPr>
      </w:pPr>
      <w:r w:rsidRPr="00EC0112">
        <w:rPr>
          <w:rFonts w:cstheme="minorHAnsi"/>
        </w:rPr>
        <w:t xml:space="preserve">Dorénavant, la modulation de cette sanction </w:t>
      </w:r>
      <w:r w:rsidR="00286FE2">
        <w:rPr>
          <w:rFonts w:cstheme="minorHAnsi"/>
        </w:rPr>
        <w:t xml:space="preserve">est </w:t>
      </w:r>
      <w:r w:rsidR="00A73E1D">
        <w:rPr>
          <w:rFonts w:cstheme="minorHAnsi"/>
        </w:rPr>
        <w:t>également impossible</w:t>
      </w:r>
      <w:r w:rsidRPr="00EC0112">
        <w:rPr>
          <w:rFonts w:cstheme="minorHAnsi"/>
        </w:rPr>
        <w:t xml:space="preserve"> lorsque les faits de travail dissimulé sont commis en bande organisée.</w:t>
      </w:r>
    </w:p>
    <w:p w14:paraId="1C9AFBDF" w14:textId="77777777" w:rsidR="00302BE8" w:rsidRPr="009366B6" w:rsidRDefault="00302BE8" w:rsidP="00EE0687">
      <w:pPr>
        <w:pStyle w:val="Paragraphedeliste"/>
        <w:numPr>
          <w:ilvl w:val="0"/>
          <w:numId w:val="146"/>
        </w:numPr>
        <w:spacing w:beforeAutospacing="1" w:after="100" w:afterAutospacing="1"/>
        <w:rPr>
          <w:rFonts w:cstheme="minorHAnsi"/>
          <w:b/>
          <w:bCs/>
          <w:i/>
          <w:iCs/>
          <w:u w:val="single"/>
        </w:rPr>
      </w:pPr>
      <w:r w:rsidRPr="009366B6">
        <w:rPr>
          <w:rFonts w:cstheme="minorHAnsi"/>
          <w:b/>
          <w:bCs/>
          <w:i/>
          <w:iCs/>
          <w:u w:val="single"/>
        </w:rPr>
        <w:lastRenderedPageBreak/>
        <w:t xml:space="preserve">Modification des modalités d'appréciation du caractère limité de la dissimulation </w:t>
      </w:r>
    </w:p>
    <w:p w14:paraId="00BD5C41" w14:textId="1A5F5A63" w:rsidR="00302BE8" w:rsidRPr="00EC0112" w:rsidRDefault="00302BE8" w:rsidP="00302BE8">
      <w:pPr>
        <w:spacing w:beforeAutospacing="1" w:after="100" w:afterAutospacing="1"/>
        <w:rPr>
          <w:rFonts w:cstheme="minorHAnsi"/>
        </w:rPr>
      </w:pPr>
      <w:r w:rsidRPr="00EC0112">
        <w:rPr>
          <w:rFonts w:cstheme="minorHAnsi"/>
        </w:rPr>
        <w:t>Actuellement, la dissimulation</w:t>
      </w:r>
      <w:r>
        <w:rPr>
          <w:rFonts w:cstheme="minorHAnsi"/>
        </w:rPr>
        <w:t xml:space="preserve"> d’activité ou d’emploi</w:t>
      </w:r>
      <w:r w:rsidRPr="00EC0112">
        <w:rPr>
          <w:rFonts w:cstheme="minorHAnsi"/>
        </w:rPr>
        <w:t xml:space="preserve"> est considérée comme limitée si</w:t>
      </w:r>
      <w:r w:rsidR="001B5D23">
        <w:rPr>
          <w:rFonts w:cstheme="minorHAnsi"/>
        </w:rPr>
        <w:t>,</w:t>
      </w:r>
      <w:r w:rsidRPr="00EC0112">
        <w:rPr>
          <w:rFonts w:cstheme="minorHAnsi"/>
        </w:rPr>
        <w:t xml:space="preserve"> </w:t>
      </w:r>
      <w:r w:rsidR="001B5D23" w:rsidRPr="00EC0112">
        <w:rPr>
          <w:rFonts w:cstheme="minorHAnsi"/>
        </w:rPr>
        <w:t>à la suite du constat d'une des infractions précitées</w:t>
      </w:r>
      <w:r w:rsidR="001B5D23">
        <w:rPr>
          <w:rFonts w:cstheme="minorHAnsi"/>
        </w:rPr>
        <w:t>,</w:t>
      </w:r>
      <w:r w:rsidRPr="00EC0112">
        <w:rPr>
          <w:rFonts w:cstheme="minorHAnsi"/>
        </w:rPr>
        <w:t xml:space="preserve"> les sommes </w:t>
      </w:r>
      <w:r w:rsidR="001B5D23">
        <w:rPr>
          <w:rFonts w:cstheme="minorHAnsi"/>
        </w:rPr>
        <w:t xml:space="preserve">soumises à cotisations sociales </w:t>
      </w:r>
      <w:r w:rsidRPr="00EC0112">
        <w:rPr>
          <w:rFonts w:cstheme="minorHAnsi"/>
        </w:rPr>
        <w:t>n'excèdent pas 10 % des rémunérations déclarées au titre de la période d'emploi faisant l'objet du redressement pour les employeurs de moins de 20 salariés et 5 % pour les autres</w:t>
      </w:r>
      <w:r w:rsidR="001B5D23">
        <w:rPr>
          <w:rFonts w:cstheme="minorHAnsi"/>
        </w:rPr>
        <w:t xml:space="preserve"> employeurs</w:t>
      </w:r>
      <w:r w:rsidRPr="00EC0112">
        <w:rPr>
          <w:rFonts w:cstheme="minorHAnsi"/>
        </w:rPr>
        <w:t xml:space="preserve">. </w:t>
      </w:r>
    </w:p>
    <w:p w14:paraId="7B88CC9A" w14:textId="1A1D7426" w:rsidR="00302BE8" w:rsidRDefault="008735BD" w:rsidP="00302BE8">
      <w:pPr>
        <w:spacing w:beforeAutospacing="1" w:after="100" w:afterAutospacing="1"/>
        <w:rPr>
          <w:rFonts w:cstheme="minorHAnsi"/>
        </w:rPr>
      </w:pPr>
      <w:r>
        <w:rPr>
          <w:rFonts w:cstheme="minorHAnsi"/>
        </w:rPr>
        <w:t>Cette</w:t>
      </w:r>
      <w:r w:rsidR="00302BE8" w:rsidRPr="00EC0112">
        <w:rPr>
          <w:rFonts w:cstheme="minorHAnsi"/>
        </w:rPr>
        <w:t xml:space="preserve"> dissimulation sera désormais</w:t>
      </w:r>
      <w:r w:rsidR="00302BE8">
        <w:rPr>
          <w:rFonts w:cstheme="minorHAnsi"/>
        </w:rPr>
        <w:t>, à compter du 1</w:t>
      </w:r>
      <w:r w:rsidR="00302BE8" w:rsidRPr="00D30401">
        <w:rPr>
          <w:rFonts w:cstheme="minorHAnsi"/>
          <w:vertAlign w:val="superscript"/>
        </w:rPr>
        <w:t>er</w:t>
      </w:r>
      <w:r w:rsidR="00302BE8">
        <w:rPr>
          <w:rFonts w:cstheme="minorHAnsi"/>
        </w:rPr>
        <w:t xml:space="preserve"> janvier 2021, </w:t>
      </w:r>
      <w:r w:rsidR="00302BE8" w:rsidRPr="00EC0112">
        <w:rPr>
          <w:rFonts w:cstheme="minorHAnsi"/>
        </w:rPr>
        <w:t>appréciée au regard d</w:t>
      </w:r>
      <w:r>
        <w:rPr>
          <w:rFonts w:cstheme="minorHAnsi"/>
        </w:rPr>
        <w:t xml:space="preserve">u critère </w:t>
      </w:r>
      <w:r w:rsidR="00302BE8" w:rsidRPr="00EC0112">
        <w:rPr>
          <w:rFonts w:cstheme="minorHAnsi"/>
        </w:rPr>
        <w:t>de la seule activité. Ainsi, le plafond permettant la modulation</w:t>
      </w:r>
      <w:r>
        <w:rPr>
          <w:rFonts w:cstheme="minorHAnsi"/>
        </w:rPr>
        <w:t>, aujourd’hui de 5% ou 10% des sommes recouvrées,</w:t>
      </w:r>
      <w:r w:rsidR="00302BE8" w:rsidRPr="00EC0112">
        <w:rPr>
          <w:rFonts w:cstheme="minorHAnsi"/>
        </w:rPr>
        <w:t xml:space="preserve"> sera</w:t>
      </w:r>
      <w:r>
        <w:rPr>
          <w:rFonts w:cstheme="minorHAnsi"/>
        </w:rPr>
        <w:t xml:space="preserve"> </w:t>
      </w:r>
      <w:r w:rsidR="00302BE8" w:rsidRPr="00EC0112">
        <w:rPr>
          <w:rFonts w:cstheme="minorHAnsi"/>
        </w:rPr>
        <w:t>le même, quel que soit le nombre de salariés concernés</w:t>
      </w:r>
      <w:r w:rsidR="00302BE8">
        <w:rPr>
          <w:rFonts w:cstheme="minorHAnsi"/>
        </w:rPr>
        <w:t xml:space="preserve">. </w:t>
      </w:r>
    </w:p>
    <w:p w14:paraId="628A3922" w14:textId="288F9394" w:rsidR="00A3072E" w:rsidRDefault="00B56692" w:rsidP="00532175">
      <w:pPr>
        <w:rPr>
          <w:rFonts w:cstheme="minorHAnsi"/>
        </w:rPr>
      </w:pPr>
      <w:r w:rsidRPr="00B56692">
        <w:rPr>
          <w:rFonts w:cstheme="minorHAnsi"/>
        </w:rPr>
        <w:t>Cette proportion d’activité dissimulée sera déterminée par décret mais ne pourra pas excéder 10 % de l’activité.</w:t>
      </w:r>
    </w:p>
    <w:p w14:paraId="4A1E297B" w14:textId="77777777" w:rsidR="00302BE8" w:rsidRPr="00F048D5" w:rsidRDefault="00302BE8" w:rsidP="00302BE8"/>
    <w:p w14:paraId="5450C71C" w14:textId="2862F183" w:rsidR="00A72511" w:rsidRPr="00F048D5" w:rsidRDefault="00302BE8" w:rsidP="00A72511">
      <w:pPr>
        <w:pStyle w:val="Titre3"/>
      </w:pPr>
      <w:bookmarkStart w:id="172" w:name="_Toc60781080"/>
      <w:r w:rsidRPr="00F048D5">
        <w:t xml:space="preserve">Slide </w:t>
      </w:r>
      <w:r w:rsidR="00021B8E">
        <w:t>116</w:t>
      </w:r>
      <w:r w:rsidRPr="00F048D5">
        <w:t xml:space="preserve"> : </w:t>
      </w:r>
      <w:r w:rsidR="00A72511" w:rsidRPr="00F54E71">
        <w:t xml:space="preserve">Recouvrement partiel de cotisations et ordre de </w:t>
      </w:r>
      <w:r w:rsidR="00286FE2">
        <w:t>p</w:t>
      </w:r>
      <w:r w:rsidR="00A72511" w:rsidRPr="00F54E71">
        <w:t>aiement</w:t>
      </w:r>
      <w:bookmarkEnd w:id="172"/>
    </w:p>
    <w:p w14:paraId="39F34F98" w14:textId="5C3564ED" w:rsidR="00A72511" w:rsidRPr="00F048D5" w:rsidRDefault="00A72511" w:rsidP="00A72511">
      <w:r w:rsidRPr="00963013">
        <w:rPr>
          <w:u w:val="single"/>
        </w:rPr>
        <w:t>Source</w:t>
      </w:r>
      <w:r w:rsidRPr="00327CBB">
        <w:t xml:space="preserve"> : Loi de Financement de la sécurité sociale pour 2021, art</w:t>
      </w:r>
      <w:r w:rsidR="00DC3EDC">
        <w:t>icle</w:t>
      </w:r>
      <w:r>
        <w:t xml:space="preserve"> 31</w:t>
      </w:r>
    </w:p>
    <w:p w14:paraId="46414C91" w14:textId="2F98887E" w:rsidR="00A72511" w:rsidRPr="00D82FBA" w:rsidRDefault="00A72511" w:rsidP="00A72511">
      <w:pPr>
        <w:spacing w:beforeAutospacing="1" w:after="100" w:afterAutospacing="1"/>
        <w:rPr>
          <w:rFonts w:cstheme="minorHAnsi"/>
        </w:rPr>
      </w:pPr>
      <w:r>
        <w:rPr>
          <w:rFonts w:cstheme="minorHAnsi"/>
        </w:rPr>
        <w:t>D</w:t>
      </w:r>
      <w:r w:rsidRPr="00D82FBA">
        <w:rPr>
          <w:rFonts w:cstheme="minorHAnsi"/>
        </w:rPr>
        <w:t>es règles d’imputation en cas de paiements partiels de cotisations ont été fixées</w:t>
      </w:r>
      <w:r>
        <w:rPr>
          <w:rFonts w:cstheme="minorHAnsi"/>
        </w:rPr>
        <w:t>, similaires à celles prévues en matière fiscale.</w:t>
      </w:r>
      <w:r w:rsidR="008735BD">
        <w:rPr>
          <w:rFonts w:cstheme="minorHAnsi"/>
        </w:rPr>
        <w:t xml:space="preserve"> Ces règles concernent aussi bien les entreprises que les travailleurs indépendants. </w:t>
      </w:r>
    </w:p>
    <w:p w14:paraId="5223220E" w14:textId="6073F972" w:rsidR="00A72511" w:rsidRDefault="00A72511" w:rsidP="00A72511">
      <w:pPr>
        <w:spacing w:beforeAutospacing="1" w:after="100" w:afterAutospacing="1"/>
        <w:rPr>
          <w:rFonts w:cstheme="minorHAnsi"/>
        </w:rPr>
      </w:pPr>
      <w:r w:rsidRPr="00D82FBA">
        <w:rPr>
          <w:rFonts w:cstheme="minorHAnsi"/>
        </w:rPr>
        <w:t>En cas de recouvrement partiel des cotisations et contributions sociales, le paiement doit ainsi</w:t>
      </w:r>
      <w:r w:rsidR="00286FE2">
        <w:rPr>
          <w:rFonts w:cstheme="minorHAnsi"/>
        </w:rPr>
        <w:t>, depuis le 1</w:t>
      </w:r>
      <w:r w:rsidR="00286FE2" w:rsidRPr="00532175">
        <w:rPr>
          <w:rFonts w:cstheme="minorHAnsi"/>
          <w:vertAlign w:val="superscript"/>
        </w:rPr>
        <w:t>er</w:t>
      </w:r>
      <w:r w:rsidR="00286FE2">
        <w:rPr>
          <w:rFonts w:cstheme="minorHAnsi"/>
        </w:rPr>
        <w:t xml:space="preserve"> janvier 2021,</w:t>
      </w:r>
      <w:r w:rsidRPr="00D82FBA">
        <w:rPr>
          <w:rFonts w:cstheme="minorHAnsi"/>
        </w:rPr>
        <w:t xml:space="preserve"> être prioritairement imputé sur la dette principale, puis le cas échéant sur les majorations de retard et pénalités restant dues et sur les frais de justice.</w:t>
      </w:r>
    </w:p>
    <w:p w14:paraId="28DE4296" w14:textId="77777777" w:rsidR="00A72511" w:rsidRPr="005C0A8E" w:rsidRDefault="00A72511" w:rsidP="00A72511">
      <w:pPr>
        <w:spacing w:beforeAutospacing="1" w:after="100" w:afterAutospacing="1"/>
        <w:rPr>
          <w:rFonts w:cstheme="minorHAnsi"/>
        </w:rPr>
      </w:pPr>
      <w:r w:rsidRPr="005C0A8E">
        <w:rPr>
          <w:rFonts w:cstheme="minorHAnsi"/>
        </w:rPr>
        <w:t xml:space="preserve">Pour l’affectation du paiement partiel aux sommes dues à titre principal, les cotisations et contributions salariales sont prélevées par priorité et dans des proportions identiques sur les sommes recouvrées. </w:t>
      </w:r>
    </w:p>
    <w:p w14:paraId="71AD439D" w14:textId="0326B2EA" w:rsidR="00A72511" w:rsidRPr="005C0A8E" w:rsidRDefault="008735BD" w:rsidP="00A72511">
      <w:pPr>
        <w:spacing w:beforeAutospacing="1" w:after="100" w:afterAutospacing="1"/>
        <w:rPr>
          <w:rFonts w:cstheme="minorHAnsi"/>
        </w:rPr>
      </w:pPr>
      <w:r>
        <w:rPr>
          <w:rFonts w:cstheme="minorHAnsi"/>
        </w:rPr>
        <w:t>Concernant les travailleurs indépendants, l</w:t>
      </w:r>
      <w:r w:rsidR="00A72511" w:rsidRPr="005C0A8E">
        <w:rPr>
          <w:rFonts w:cstheme="minorHAnsi"/>
        </w:rPr>
        <w:t xml:space="preserve">es cotisations et contributions </w:t>
      </w:r>
      <w:r w:rsidR="00A72511">
        <w:rPr>
          <w:rFonts w:cstheme="minorHAnsi"/>
        </w:rPr>
        <w:t xml:space="preserve">restant dues par ces </w:t>
      </w:r>
      <w:r>
        <w:rPr>
          <w:rFonts w:cstheme="minorHAnsi"/>
        </w:rPr>
        <w:t>derniers</w:t>
      </w:r>
      <w:r w:rsidR="00A72511" w:rsidRPr="005C0A8E">
        <w:rPr>
          <w:rFonts w:cstheme="minorHAnsi"/>
        </w:rPr>
        <w:t xml:space="preserve"> seront prélevées selon un ordre </w:t>
      </w:r>
      <w:r w:rsidR="00286FE2">
        <w:rPr>
          <w:rFonts w:cstheme="minorHAnsi"/>
        </w:rPr>
        <w:t>de priorité</w:t>
      </w:r>
      <w:r w:rsidR="00A72511" w:rsidRPr="005C0A8E">
        <w:rPr>
          <w:rFonts w:cstheme="minorHAnsi"/>
        </w:rPr>
        <w:t xml:space="preserve"> fixé par décret. </w:t>
      </w:r>
    </w:p>
    <w:p w14:paraId="3A1F0D5F" w14:textId="77777777" w:rsidR="00A72511" w:rsidRDefault="00A72511" w:rsidP="00302BE8">
      <w:pPr>
        <w:spacing w:beforeAutospacing="1" w:after="100" w:afterAutospacing="1"/>
        <w:rPr>
          <w:rFonts w:cstheme="minorHAnsi"/>
        </w:rPr>
      </w:pPr>
    </w:p>
    <w:p w14:paraId="7CE184C1" w14:textId="50944D55" w:rsidR="00302BE8" w:rsidRPr="00F048D5" w:rsidRDefault="00302BE8" w:rsidP="00302BE8">
      <w:pPr>
        <w:pStyle w:val="Titre3"/>
      </w:pPr>
      <w:bookmarkStart w:id="173" w:name="_Toc60781081"/>
      <w:r w:rsidRPr="00F048D5">
        <w:t xml:space="preserve">Slide </w:t>
      </w:r>
      <w:r w:rsidR="00AC1442">
        <w:t>117</w:t>
      </w:r>
      <w:r w:rsidRPr="00F048D5">
        <w:t> :</w:t>
      </w:r>
      <w:r w:rsidR="00C234C7">
        <w:t xml:space="preserve"> C</w:t>
      </w:r>
      <w:r>
        <w:t xml:space="preserve">ontrôle </w:t>
      </w:r>
      <w:r w:rsidRPr="00963F62">
        <w:rPr>
          <w:bCs/>
        </w:rPr>
        <w:t xml:space="preserve">de l’existence </w:t>
      </w:r>
      <w:r w:rsidR="008735BD">
        <w:rPr>
          <w:bCs/>
        </w:rPr>
        <w:t>des assurés</w:t>
      </w:r>
      <w:bookmarkEnd w:id="173"/>
    </w:p>
    <w:p w14:paraId="72AECA0F" w14:textId="3B193D8D" w:rsidR="00302BE8" w:rsidRPr="00F048D5" w:rsidRDefault="00302BE8" w:rsidP="00302BE8">
      <w:r w:rsidRPr="00C7028A">
        <w:rPr>
          <w:u w:val="single"/>
        </w:rPr>
        <w:t xml:space="preserve">Source </w:t>
      </w:r>
      <w:r w:rsidRPr="00C7028A">
        <w:t>: Loi de Financement de la sécurité sociale pour 2021, art</w:t>
      </w:r>
      <w:r w:rsidR="00657A4F">
        <w:t>icle</w:t>
      </w:r>
      <w:r w:rsidR="00532175">
        <w:t xml:space="preserve"> </w:t>
      </w:r>
      <w:r>
        <w:t>104</w:t>
      </w:r>
    </w:p>
    <w:p w14:paraId="368A9BA8" w14:textId="77777777" w:rsidR="00302BE8" w:rsidRPr="004E7F94" w:rsidRDefault="00302BE8" w:rsidP="00302BE8">
      <w:pPr>
        <w:spacing w:beforeAutospacing="1" w:after="100" w:afterAutospacing="1"/>
        <w:rPr>
          <w:rFonts w:cstheme="minorHAnsi"/>
        </w:rPr>
      </w:pPr>
      <w:r w:rsidRPr="004E7F94">
        <w:rPr>
          <w:rFonts w:cstheme="minorHAnsi"/>
        </w:rPr>
        <w:t xml:space="preserve">Un nouveau dispositif est créé afin de renforcer la lutte contre la fraude aux allocations de pension vieillesse. </w:t>
      </w:r>
    </w:p>
    <w:p w14:paraId="7E825FC2" w14:textId="1B39AF24" w:rsidR="00302BE8" w:rsidRPr="004E7F94" w:rsidRDefault="00302BE8" w:rsidP="00302BE8">
      <w:pPr>
        <w:spacing w:beforeAutospacing="1" w:after="100" w:afterAutospacing="1"/>
        <w:rPr>
          <w:rFonts w:cstheme="minorHAnsi"/>
        </w:rPr>
      </w:pPr>
      <w:r w:rsidRPr="004E7F94">
        <w:rPr>
          <w:rFonts w:cstheme="minorHAnsi"/>
        </w:rPr>
        <w:t xml:space="preserve">Le bénéficiaire d’une pension vieillesse d’un régime de retraite obligatoire résident hors territoire français, Mayotte, la Polynésie française et </w:t>
      </w:r>
      <w:r w:rsidR="000F6BF4">
        <w:rPr>
          <w:rFonts w:cstheme="minorHAnsi"/>
        </w:rPr>
        <w:t>Saint</w:t>
      </w:r>
      <w:r w:rsidR="000F6BF4" w:rsidRPr="004E7F94">
        <w:rPr>
          <w:rFonts w:cstheme="minorHAnsi"/>
        </w:rPr>
        <w:t xml:space="preserve"> </w:t>
      </w:r>
      <w:r w:rsidRPr="004E7F94">
        <w:rPr>
          <w:rFonts w:cstheme="minorHAnsi"/>
        </w:rPr>
        <w:t>Pierre</w:t>
      </w:r>
      <w:r w:rsidR="00471FCF">
        <w:rPr>
          <w:rFonts w:cstheme="minorHAnsi"/>
        </w:rPr>
        <w:t>-</w:t>
      </w:r>
      <w:r w:rsidRPr="004E7F94">
        <w:rPr>
          <w:rFonts w:cstheme="minorHAnsi"/>
        </w:rPr>
        <w:t>et</w:t>
      </w:r>
      <w:r w:rsidR="00471FCF">
        <w:rPr>
          <w:rFonts w:cstheme="minorHAnsi"/>
        </w:rPr>
        <w:t>-</w:t>
      </w:r>
      <w:r w:rsidRPr="004E7F94">
        <w:rPr>
          <w:rFonts w:cstheme="minorHAnsi"/>
        </w:rPr>
        <w:t xml:space="preserve">Miquelon compris, devra justifier chaque année de son existence à l’organisme ou au service de l’Etat assurant le service de cette pension. </w:t>
      </w:r>
    </w:p>
    <w:p w14:paraId="6AA08C9C" w14:textId="0F3DF792" w:rsidR="00302BE8" w:rsidRPr="004E7F94" w:rsidRDefault="00302BE8" w:rsidP="00302BE8">
      <w:pPr>
        <w:spacing w:beforeAutospacing="1" w:after="100" w:afterAutospacing="1"/>
        <w:rPr>
          <w:rFonts w:cstheme="minorHAnsi"/>
        </w:rPr>
      </w:pPr>
      <w:r w:rsidRPr="004E7F94">
        <w:rPr>
          <w:rFonts w:cstheme="minorHAnsi"/>
        </w:rPr>
        <w:t xml:space="preserve">La preuve d’existence pourra être apportée par l’utilisation de dispositifs techniques permettant l’usage de données biométriques adapté à cette preuve. Un </w:t>
      </w:r>
      <w:r w:rsidR="00471FCF">
        <w:rPr>
          <w:rFonts w:cstheme="minorHAnsi"/>
        </w:rPr>
        <w:t>D</w:t>
      </w:r>
      <w:r w:rsidRPr="004E7F94">
        <w:rPr>
          <w:rFonts w:cstheme="minorHAnsi"/>
        </w:rPr>
        <w:t xml:space="preserve">écret en Conseil d’État, pris après avis de la CNIL, précisera les moyens pouvant être utilisés à cette fin et les garanties apportées aux personnes dans l’utilisation de ces dispositifs et l’exercice de leurs droits. </w:t>
      </w:r>
    </w:p>
    <w:p w14:paraId="2C3F35AF" w14:textId="0F00BE97" w:rsidR="00302BE8" w:rsidRPr="004E7F94" w:rsidRDefault="00302BE8" w:rsidP="00302BE8">
      <w:pPr>
        <w:spacing w:beforeAutospacing="1" w:after="100" w:afterAutospacing="1"/>
        <w:rPr>
          <w:rFonts w:cstheme="minorHAnsi"/>
        </w:rPr>
      </w:pPr>
      <w:r w:rsidRPr="004E7F94">
        <w:rPr>
          <w:rFonts w:cstheme="minorHAnsi"/>
        </w:rPr>
        <w:lastRenderedPageBreak/>
        <w:t xml:space="preserve">Ce </w:t>
      </w:r>
      <w:r w:rsidR="00471FCF">
        <w:rPr>
          <w:rFonts w:cstheme="minorHAnsi"/>
        </w:rPr>
        <w:t>D</w:t>
      </w:r>
      <w:r w:rsidRPr="004E7F94">
        <w:rPr>
          <w:rFonts w:cstheme="minorHAnsi"/>
        </w:rPr>
        <w:t>écret précisera les conditions d’utilisation par les personnes concernées des outils numériques leur permettant d’effectuer cette démarche.</w:t>
      </w:r>
    </w:p>
    <w:p w14:paraId="0FFB3B77" w14:textId="4AD22598" w:rsidR="00302BE8" w:rsidRPr="004E7F94" w:rsidRDefault="00302BE8" w:rsidP="00302BE8">
      <w:pPr>
        <w:spacing w:beforeAutospacing="1" w:after="100" w:afterAutospacing="1"/>
        <w:rPr>
          <w:rFonts w:cstheme="minorHAnsi"/>
        </w:rPr>
      </w:pPr>
      <w:r w:rsidRPr="004E7F94">
        <w:rPr>
          <w:rFonts w:cstheme="minorHAnsi"/>
        </w:rPr>
        <w:t xml:space="preserve">La suspension du versement de la pension de retraite dans le cas où le bénéficiaire ne justifie pas de son existence ne pourra avoir lieu qu’à l’expiration d’un délai fixé par </w:t>
      </w:r>
      <w:r w:rsidR="00471FCF">
        <w:rPr>
          <w:rFonts w:cstheme="minorHAnsi"/>
        </w:rPr>
        <w:t>D</w:t>
      </w:r>
      <w:r w:rsidRPr="004E7F94">
        <w:rPr>
          <w:rFonts w:cstheme="minorHAnsi"/>
        </w:rPr>
        <w:t>écret.</w:t>
      </w:r>
    </w:p>
    <w:p w14:paraId="41585A51" w14:textId="7AF918DF" w:rsidR="00F26F38" w:rsidRDefault="00302BE8" w:rsidP="00F26F38">
      <w:pPr>
        <w:spacing w:beforeAutospacing="1" w:after="100" w:afterAutospacing="1"/>
        <w:rPr>
          <w:rFonts w:cstheme="minorHAnsi"/>
        </w:rPr>
      </w:pPr>
      <w:r w:rsidRPr="004E7F94">
        <w:rPr>
          <w:rFonts w:cstheme="minorHAnsi"/>
        </w:rPr>
        <w:t>A cette fin, les régimes obligatoires de retrai</w:t>
      </w:r>
      <w:r w:rsidR="00471FCF">
        <w:rPr>
          <w:rFonts w:cstheme="minorHAnsi"/>
        </w:rPr>
        <w:t>t</w:t>
      </w:r>
      <w:r w:rsidRPr="004E7F94">
        <w:rPr>
          <w:rFonts w:cstheme="minorHAnsi"/>
        </w:rPr>
        <w:t xml:space="preserve">e mutualiseront la gestion de ces preuves d’existence ainsi que les modalités de contrôle au moyen de l'Union des institutions et services de retraites dans des conditions fixées par </w:t>
      </w:r>
      <w:r w:rsidR="00471FCF">
        <w:rPr>
          <w:rFonts w:cstheme="minorHAnsi"/>
        </w:rPr>
        <w:t>D</w:t>
      </w:r>
      <w:r w:rsidRPr="004E7F94">
        <w:rPr>
          <w:rFonts w:cstheme="minorHAnsi"/>
        </w:rPr>
        <w:t>écret.</w:t>
      </w:r>
    </w:p>
    <w:p w14:paraId="544DBA9F" w14:textId="77777777" w:rsidR="00F26F38" w:rsidRPr="00A847B7" w:rsidRDefault="00F26F38" w:rsidP="00F26F38">
      <w:pPr>
        <w:spacing w:beforeAutospacing="1" w:after="100" w:afterAutospacing="1"/>
        <w:rPr>
          <w:rFonts w:cstheme="minorHAnsi"/>
        </w:rPr>
      </w:pPr>
    </w:p>
    <w:p w14:paraId="131FA791" w14:textId="174C8ECC" w:rsidR="00FA47E9" w:rsidRPr="00F048D5" w:rsidRDefault="00FA47E9" w:rsidP="00FA47E9">
      <w:pPr>
        <w:pStyle w:val="Titre3"/>
      </w:pPr>
      <w:bookmarkStart w:id="174" w:name="_Toc60781082"/>
      <w:r w:rsidRPr="00F048D5">
        <w:t xml:space="preserve">Slide </w:t>
      </w:r>
      <w:r w:rsidR="00AC1442">
        <w:t>118</w:t>
      </w:r>
      <w:r w:rsidRPr="00F048D5">
        <w:t xml:space="preserve"> : </w:t>
      </w:r>
      <w:r>
        <w:t>Rehaussement des pénalités en cas de fraude</w:t>
      </w:r>
      <w:bookmarkEnd w:id="174"/>
    </w:p>
    <w:p w14:paraId="406C1C13" w14:textId="15A6B038" w:rsidR="00FA47E9" w:rsidRPr="00F048D5" w:rsidRDefault="00FA47E9" w:rsidP="00FA47E9">
      <w:r w:rsidRPr="00C7028A">
        <w:rPr>
          <w:u w:val="single"/>
        </w:rPr>
        <w:t xml:space="preserve">Source </w:t>
      </w:r>
      <w:r w:rsidRPr="00C7028A">
        <w:t>: Loi de Financement de la sécurité sociale pour 2021, art</w:t>
      </w:r>
      <w:r w:rsidR="00657A4F">
        <w:t xml:space="preserve">icle </w:t>
      </w:r>
      <w:r>
        <w:t>88</w:t>
      </w:r>
    </w:p>
    <w:p w14:paraId="0E7DD9CD" w14:textId="77777777" w:rsidR="00FA47E9" w:rsidRDefault="00FA47E9" w:rsidP="00FA47E9">
      <w:r>
        <w:t>Pour rappel, l</w:t>
      </w:r>
      <w:r w:rsidRPr="00E5786F">
        <w:t>e montant de la pénalité</w:t>
      </w:r>
      <w:r>
        <w:t xml:space="preserve">, </w:t>
      </w:r>
      <w:r w:rsidRPr="004C3E35">
        <w:t xml:space="preserve">prononcée par le directeur de l'organisme chargé de la gestion des prestations familiales ou des prestations d'assurance vieillesse, au titre de toute prestation servie </w:t>
      </w:r>
      <w:r>
        <w:t xml:space="preserve">aux particuliers </w:t>
      </w:r>
      <w:r w:rsidRPr="004C3E35">
        <w:t>par l'organisme concerné</w:t>
      </w:r>
      <w:r>
        <w:t>, est fixé</w:t>
      </w:r>
      <w:r w:rsidRPr="00E5786F">
        <w:t xml:space="preserve"> en fonction de la gravité des faits</w:t>
      </w:r>
      <w:r>
        <w:t xml:space="preserve">. </w:t>
      </w:r>
    </w:p>
    <w:p w14:paraId="0D19393C" w14:textId="77777777" w:rsidR="00FA47E9" w:rsidRDefault="00FA47E9" w:rsidP="00FA47E9">
      <w:r>
        <w:t xml:space="preserve">Cette pénalité ne pourra désormais dépasser la </w:t>
      </w:r>
      <w:r w:rsidRPr="00E5786F">
        <w:t xml:space="preserve">limite de </w:t>
      </w:r>
      <w:r>
        <w:t>4</w:t>
      </w:r>
      <w:r w:rsidRPr="00E5786F">
        <w:t xml:space="preserve"> fois le plafond mensuel de la sécurité sociale</w:t>
      </w:r>
      <w:r>
        <w:t xml:space="preserve"> (PMSS), contre 2 actuellement. Pour rappel, le PMSS est de 3428€ au titre de l’année 2021.</w:t>
      </w:r>
    </w:p>
    <w:p w14:paraId="1BB56946" w14:textId="77777777" w:rsidR="00FA47E9" w:rsidRDefault="00FA47E9" w:rsidP="00FA47E9">
      <w:r w:rsidRPr="00E5786F">
        <w:t xml:space="preserve">Cette limite est doublée en cas de récidive dans un délai fixé par voie réglementaire. </w:t>
      </w:r>
      <w:r>
        <w:t xml:space="preserve">Cette limite est également doublée, portée à 8 PMSS lorsque l’intention de frauder est établie. </w:t>
      </w:r>
    </w:p>
    <w:p w14:paraId="199457EE" w14:textId="77777777" w:rsidR="00FA47E9" w:rsidRDefault="00FA47E9" w:rsidP="00FA47E9">
      <w:r>
        <w:t xml:space="preserve">Cette limite est portée à 16 fois le PMSS dans le cas d’une fraude commise en bande organisée, contre 8 actuellement. </w:t>
      </w:r>
    </w:p>
    <w:p w14:paraId="6AFE1376" w14:textId="77777777" w:rsidR="00FA47E9" w:rsidRPr="00465CF9" w:rsidRDefault="00FA47E9" w:rsidP="00FA47E9">
      <w:pPr>
        <w:spacing w:beforeAutospacing="1" w:after="100" w:afterAutospacing="1"/>
        <w:rPr>
          <w:rFonts w:cstheme="minorHAnsi"/>
        </w:rPr>
      </w:pPr>
    </w:p>
    <w:p w14:paraId="3EA05D76" w14:textId="1926AC5C" w:rsidR="00C86808" w:rsidRPr="00A847B7" w:rsidRDefault="00C86808" w:rsidP="00C86808">
      <w:pPr>
        <w:pStyle w:val="Titre3"/>
      </w:pPr>
      <w:bookmarkStart w:id="175" w:name="_Toc60781083"/>
      <w:r w:rsidRPr="00A847B7">
        <w:t xml:space="preserve">Slide </w:t>
      </w:r>
      <w:r w:rsidR="00821201">
        <w:t>119</w:t>
      </w:r>
      <w:r w:rsidRPr="00A847B7">
        <w:t xml:space="preserve"> : </w:t>
      </w:r>
      <w:r w:rsidR="008209E6">
        <w:t>M</w:t>
      </w:r>
      <w:r w:rsidR="003D41D3" w:rsidRPr="00A847B7">
        <w:t>esures diverses</w:t>
      </w:r>
      <w:bookmarkEnd w:id="175"/>
    </w:p>
    <w:p w14:paraId="248B349D" w14:textId="375FFF5A" w:rsidR="0071489B" w:rsidRDefault="009366B6" w:rsidP="009366B6">
      <w:pPr>
        <w:rPr>
          <w:highlight w:val="yellow"/>
        </w:rPr>
      </w:pPr>
      <w:r w:rsidRPr="004F587E">
        <w:rPr>
          <w:u w:val="single"/>
        </w:rPr>
        <w:t>Source</w:t>
      </w:r>
      <w:r>
        <w:rPr>
          <w:u w:val="single"/>
        </w:rPr>
        <w:t>s</w:t>
      </w:r>
      <w:r w:rsidRPr="004F587E">
        <w:rPr>
          <w:u w:val="single"/>
        </w:rPr>
        <w:t xml:space="preserve"> </w:t>
      </w:r>
      <w:r w:rsidRPr="00A847B7">
        <w:t>:</w:t>
      </w:r>
      <w:r w:rsidR="008209E6">
        <w:t xml:space="preserve"> </w:t>
      </w:r>
    </w:p>
    <w:p w14:paraId="303D83FC" w14:textId="07BAAEB4" w:rsidR="007F7679" w:rsidRPr="00ED6E9B" w:rsidRDefault="007F7679" w:rsidP="00EE0687">
      <w:pPr>
        <w:pStyle w:val="Paragraphedeliste"/>
        <w:numPr>
          <w:ilvl w:val="0"/>
          <w:numId w:val="250"/>
        </w:numPr>
        <w:rPr>
          <w:rFonts w:cstheme="minorHAnsi"/>
        </w:rPr>
      </w:pPr>
      <w:r w:rsidRPr="00A847B7">
        <w:t xml:space="preserve">Loi de Finances pour 2021, </w:t>
      </w:r>
      <w:r w:rsidRPr="00905C0E">
        <w:t>articles</w:t>
      </w:r>
      <w:r w:rsidRPr="00905C0E">
        <w:rPr>
          <w:rFonts w:cstheme="minorHAnsi"/>
        </w:rPr>
        <w:t xml:space="preserve"> </w:t>
      </w:r>
      <w:r>
        <w:rPr>
          <w:rFonts w:cstheme="minorHAnsi"/>
        </w:rPr>
        <w:t>189</w:t>
      </w:r>
      <w:r w:rsidRPr="00905C0E">
        <w:rPr>
          <w:rFonts w:cstheme="minorHAnsi"/>
        </w:rPr>
        <w:t xml:space="preserve"> et 2</w:t>
      </w:r>
      <w:r>
        <w:rPr>
          <w:rFonts w:cstheme="minorHAnsi"/>
        </w:rPr>
        <w:t>30</w:t>
      </w:r>
    </w:p>
    <w:p w14:paraId="73B551E7" w14:textId="633891CD" w:rsidR="007F7679" w:rsidRDefault="007F7679" w:rsidP="00EE0687">
      <w:pPr>
        <w:pStyle w:val="Paragraphedeliste"/>
        <w:numPr>
          <w:ilvl w:val="0"/>
          <w:numId w:val="249"/>
        </w:numPr>
      </w:pPr>
      <w:r w:rsidRPr="00F048D5">
        <w:t>Loi de Financement de la sécurité sociale pour 2021</w:t>
      </w:r>
      <w:r>
        <w:t xml:space="preserve">, </w:t>
      </w:r>
      <w:r w:rsidR="0071710C" w:rsidRPr="00C7028A">
        <w:t>art</w:t>
      </w:r>
      <w:r w:rsidR="00657A4F">
        <w:t xml:space="preserve">icles </w:t>
      </w:r>
      <w:r w:rsidR="0071710C">
        <w:t xml:space="preserve">85, </w:t>
      </w:r>
      <w:r w:rsidR="00EE1B15">
        <w:t xml:space="preserve">87, </w:t>
      </w:r>
      <w:r w:rsidR="0071710C">
        <w:t>89 et 90</w:t>
      </w:r>
    </w:p>
    <w:p w14:paraId="0C3E5485" w14:textId="77777777" w:rsidR="009366B6" w:rsidRDefault="009366B6" w:rsidP="009366B6">
      <w:pPr>
        <w:pStyle w:val="Paragraphedeliste"/>
      </w:pPr>
    </w:p>
    <w:p w14:paraId="502D12AE" w14:textId="5BCC23EC" w:rsidR="008209E6" w:rsidRPr="008209E6" w:rsidRDefault="008209E6" w:rsidP="00EE0687">
      <w:pPr>
        <w:pStyle w:val="Paragraphedeliste"/>
        <w:numPr>
          <w:ilvl w:val="0"/>
          <w:numId w:val="146"/>
        </w:numPr>
        <w:rPr>
          <w:b/>
          <w:bCs/>
          <w:i/>
          <w:iCs/>
          <w:u w:val="single"/>
        </w:rPr>
      </w:pPr>
      <w:r w:rsidRPr="008209E6">
        <w:rPr>
          <w:b/>
          <w:bCs/>
          <w:i/>
          <w:iCs/>
          <w:u w:val="single"/>
        </w:rPr>
        <w:t>Droit d</w:t>
      </w:r>
      <w:r w:rsidR="00F43086">
        <w:rPr>
          <w:b/>
          <w:bCs/>
          <w:i/>
          <w:iCs/>
          <w:u w:val="single"/>
        </w:rPr>
        <w:t>’accès des</w:t>
      </w:r>
      <w:r w:rsidRPr="008209E6">
        <w:rPr>
          <w:b/>
          <w:bCs/>
          <w:i/>
          <w:iCs/>
          <w:u w:val="single"/>
        </w:rPr>
        <w:t xml:space="preserve"> services de Pôle Emploi</w:t>
      </w:r>
    </w:p>
    <w:p w14:paraId="078A244C" w14:textId="7253FF34" w:rsidR="009D15E4" w:rsidRDefault="006A5578" w:rsidP="00C86808">
      <w:r>
        <w:t xml:space="preserve">Pour les besoins de l'accomplissement de leurs missions de contrôle et de recouvrement </w:t>
      </w:r>
      <w:r w:rsidR="00585B49">
        <w:t xml:space="preserve">en matière sociale, </w:t>
      </w:r>
      <w:r w:rsidR="00857088">
        <w:t xml:space="preserve">il est </w:t>
      </w:r>
      <w:r w:rsidR="008209E6">
        <w:t>désormais</w:t>
      </w:r>
      <w:r w:rsidR="003E17C7">
        <w:t xml:space="preserve"> admis que les services de Pôle Emploi </w:t>
      </w:r>
      <w:r w:rsidR="009D15E4">
        <w:t xml:space="preserve">disposent d'un droit d'accès direct aux </w:t>
      </w:r>
      <w:r w:rsidR="000F1CE4">
        <w:t>comptes bancaires et</w:t>
      </w:r>
      <w:r w:rsidR="009D15E4">
        <w:t xml:space="preserve"> aux informations contenues dans les déclarations </w:t>
      </w:r>
      <w:r w:rsidR="008209E6">
        <w:t>liées à la souscription et le dénouement des contrats de capitalisation ou des placements de même nature, notamment des contrats d'assurance vie</w:t>
      </w:r>
      <w:r w:rsidR="00011BCC">
        <w:t xml:space="preserve"> (accès au fichier des comptes bancaires et d’assurance-vie – FICOVIE)</w:t>
      </w:r>
      <w:r w:rsidR="008209E6">
        <w:t>.</w:t>
      </w:r>
    </w:p>
    <w:p w14:paraId="47519A89" w14:textId="7FB59519" w:rsidR="009D15E4" w:rsidRPr="00FC6E16" w:rsidRDefault="00F43086" w:rsidP="00EE0687">
      <w:pPr>
        <w:pStyle w:val="Paragraphedeliste"/>
        <w:numPr>
          <w:ilvl w:val="0"/>
          <w:numId w:val="241"/>
        </w:numPr>
        <w:rPr>
          <w:b/>
          <w:bCs/>
          <w:i/>
          <w:iCs/>
          <w:u w:val="single"/>
        </w:rPr>
      </w:pPr>
      <w:r w:rsidRPr="00FC6E16">
        <w:rPr>
          <w:b/>
          <w:bCs/>
          <w:i/>
          <w:iCs/>
          <w:u w:val="single"/>
        </w:rPr>
        <w:t xml:space="preserve">Droit d’accès des services de l’agence </w:t>
      </w:r>
      <w:r w:rsidR="00FC6E16" w:rsidRPr="00FC6E16">
        <w:rPr>
          <w:b/>
          <w:bCs/>
          <w:i/>
          <w:iCs/>
          <w:u w:val="single"/>
        </w:rPr>
        <w:t>de service de paiement (ASP)</w:t>
      </w:r>
    </w:p>
    <w:p w14:paraId="2196E295" w14:textId="25C53E8F" w:rsidR="00F43086" w:rsidRDefault="00FC6E16" w:rsidP="00C86808">
      <w:r>
        <w:t>Les agents de l'agence de service de paiement (ASP) seront habilités à accéder directement au fichier des comptes bancaires (FICOBA).</w:t>
      </w:r>
    </w:p>
    <w:p w14:paraId="62C5C987" w14:textId="77777777" w:rsidR="009A002D" w:rsidRDefault="009A002D" w:rsidP="00C86808"/>
    <w:p w14:paraId="4905FDD1" w14:textId="61B62ADB" w:rsidR="00765AAB" w:rsidRPr="002412A6" w:rsidRDefault="00C234C7" w:rsidP="00EE0687">
      <w:pPr>
        <w:pStyle w:val="Paragraphedeliste"/>
        <w:numPr>
          <w:ilvl w:val="0"/>
          <w:numId w:val="265"/>
        </w:numPr>
        <w:spacing w:before="0" w:after="160" w:line="259" w:lineRule="auto"/>
        <w:rPr>
          <w:b/>
          <w:bCs/>
          <w:i/>
          <w:iCs/>
          <w:u w:val="single"/>
        </w:rPr>
      </w:pPr>
      <w:r>
        <w:rPr>
          <w:b/>
          <w:bCs/>
          <w:i/>
          <w:iCs/>
          <w:u w:val="single"/>
        </w:rPr>
        <w:lastRenderedPageBreak/>
        <w:t xml:space="preserve">Communication et </w:t>
      </w:r>
      <w:r w:rsidR="00765AAB" w:rsidRPr="002412A6">
        <w:rPr>
          <w:b/>
          <w:bCs/>
          <w:i/>
          <w:iCs/>
          <w:u w:val="single"/>
        </w:rPr>
        <w:t>vérification de la situation des assurés étrangers</w:t>
      </w:r>
    </w:p>
    <w:p w14:paraId="05E72601" w14:textId="77777777" w:rsidR="00765AAB" w:rsidRPr="00846A99" w:rsidRDefault="00765AAB" w:rsidP="00765AAB">
      <w:r w:rsidRPr="00846A99">
        <w:t>Pour rappel, l'Urssaf, les CGSS et la MSA doivent vérifier, lors de l'affiliation et périodiquement, que les assurés étrangers sont en situation régulière en France au regard des règles de sécurité sociale.</w:t>
      </w:r>
    </w:p>
    <w:p w14:paraId="0FA99722" w14:textId="219DB378" w:rsidR="00765AAB" w:rsidRDefault="00765AAB" w:rsidP="00765AAB">
      <w:r w:rsidRPr="00846A99">
        <w:t>Il est prévu que ces organismes de Sécurité sociale se transmettent entre eux les informations collectées à ce titre auprès des fichiers des services de l’État</w:t>
      </w:r>
      <w:r w:rsidR="009A002D">
        <w:t xml:space="preserve">. </w:t>
      </w:r>
    </w:p>
    <w:p w14:paraId="7817B19D" w14:textId="30CF9070" w:rsidR="00765AAB" w:rsidRPr="00342A4F" w:rsidRDefault="00765AAB" w:rsidP="00EE0687">
      <w:pPr>
        <w:pStyle w:val="Paragraphedeliste"/>
        <w:numPr>
          <w:ilvl w:val="0"/>
          <w:numId w:val="267"/>
        </w:numPr>
        <w:spacing w:before="0" w:after="160" w:line="259" w:lineRule="auto"/>
        <w:rPr>
          <w:b/>
          <w:bCs/>
          <w:i/>
          <w:iCs/>
          <w:u w:val="single"/>
        </w:rPr>
      </w:pPr>
      <w:r w:rsidRPr="00342A4F">
        <w:rPr>
          <w:b/>
          <w:bCs/>
          <w:i/>
          <w:iCs/>
          <w:u w:val="single"/>
        </w:rPr>
        <w:t>Prescription CAF et fraude</w:t>
      </w:r>
    </w:p>
    <w:p w14:paraId="4005D211" w14:textId="5136A311" w:rsidR="00765AAB" w:rsidRDefault="00765AAB" w:rsidP="00765AAB">
      <w:r>
        <w:t>Dorénavant, l</w:t>
      </w:r>
      <w:r w:rsidRPr="00F616A4">
        <w:t>'action en recouvrement des prestations familiales indues en cas de manœuvres frauduleuses ou de fausse déclaration se prescri</w:t>
      </w:r>
      <w:r>
        <w:t>ra</w:t>
      </w:r>
      <w:r w:rsidRPr="00F616A4">
        <w:t xml:space="preserve"> par 5 ans.</w:t>
      </w:r>
    </w:p>
    <w:p w14:paraId="7CC2B32C" w14:textId="77777777" w:rsidR="00CA1689" w:rsidRPr="00D531AB" w:rsidRDefault="00CA1689" w:rsidP="00EE0687">
      <w:pPr>
        <w:pStyle w:val="Paragraphedeliste"/>
        <w:numPr>
          <w:ilvl w:val="0"/>
          <w:numId w:val="309"/>
        </w:numPr>
        <w:rPr>
          <w:b/>
          <w:bCs/>
          <w:i/>
          <w:iCs/>
          <w:u w:val="single"/>
        </w:rPr>
      </w:pPr>
      <w:r w:rsidRPr="00D531AB">
        <w:rPr>
          <w:b/>
          <w:bCs/>
          <w:i/>
          <w:iCs/>
          <w:u w:val="single"/>
        </w:rPr>
        <w:t xml:space="preserve">Numéro d’identification d’attente et lutte contre la fraude </w:t>
      </w:r>
    </w:p>
    <w:p w14:paraId="5460A3AE" w14:textId="77777777" w:rsidR="00CA1689" w:rsidRDefault="00CA1689" w:rsidP="00CA1689">
      <w:r>
        <w:t>Lorsqu’une personne n’a pas encore été inscrite au répertoire national d’identification des personnes physiques et sollicite l’ouverture de droits ou l’attribution de prestations servies par les organismes de sécurité sociale, un numéro d’identification d’attente lui est attribué.</w:t>
      </w:r>
    </w:p>
    <w:p w14:paraId="1A743E6D" w14:textId="77777777" w:rsidR="00CA1689" w:rsidRDefault="00CA1689" w:rsidP="00CA1689">
      <w:r>
        <w:t xml:space="preserve">Dans le cas où cette personne n’a pas fourni les différents éléments d’état civil permettant de certifier son identité à l’organisme lui ouvrant les droits ou lui servant des prestations, ou dans le cas où l’examen de ces pièces révèle une fraude à l’identité, il est mis fin aux droits et prestations qui ont été ouverts dans un délai fixé par décret et les prestations versées durant cette période feront l’objet d’une procédure en récupération d’indus. </w:t>
      </w:r>
    </w:p>
    <w:p w14:paraId="788BAADE" w14:textId="77777777" w:rsidR="00CA1689" w:rsidRDefault="00CA1689" w:rsidP="00CA1689">
      <w:r>
        <w:t xml:space="preserve">Ces dispositions feront l’objet d’un décret, non encore paru à ce jour. </w:t>
      </w:r>
    </w:p>
    <w:p w14:paraId="3A589DBC" w14:textId="4DADED42" w:rsidR="00765AAB" w:rsidRPr="005E428D" w:rsidRDefault="00C234C7" w:rsidP="00EE0687">
      <w:pPr>
        <w:pStyle w:val="Paragraphedeliste"/>
        <w:numPr>
          <w:ilvl w:val="0"/>
          <w:numId w:val="266"/>
        </w:numPr>
        <w:spacing w:before="0" w:after="160" w:line="259" w:lineRule="auto"/>
        <w:rPr>
          <w:b/>
          <w:bCs/>
          <w:i/>
          <w:iCs/>
          <w:u w:val="single"/>
        </w:rPr>
      </w:pPr>
      <w:r>
        <w:rPr>
          <w:b/>
          <w:bCs/>
          <w:i/>
          <w:iCs/>
          <w:u w:val="single"/>
        </w:rPr>
        <w:t>Non-</w:t>
      </w:r>
      <w:r w:rsidR="00765AAB" w:rsidRPr="005E428D">
        <w:rPr>
          <w:b/>
          <w:bCs/>
          <w:i/>
          <w:iCs/>
          <w:u w:val="single"/>
        </w:rPr>
        <w:t>respect de l’obligation de déclarer tout changement</w:t>
      </w:r>
    </w:p>
    <w:p w14:paraId="74A7FAAD" w14:textId="77777777" w:rsidR="00765AAB" w:rsidRDefault="00765AAB" w:rsidP="00765AAB">
      <w:r>
        <w:t xml:space="preserve">Actuellement, sauf cas de force majeure, la non-présentation par le demandeur d’une prestation des pièces justificatives entraîne la suspension, selon le cas : </w:t>
      </w:r>
    </w:p>
    <w:p w14:paraId="6B48C6B1" w14:textId="2BEC697A" w:rsidR="00765AAB" w:rsidRDefault="00765AAB" w:rsidP="00EE0687">
      <w:pPr>
        <w:pStyle w:val="Paragraphedeliste"/>
        <w:numPr>
          <w:ilvl w:val="0"/>
          <w:numId w:val="264"/>
        </w:numPr>
        <w:spacing w:before="0" w:after="160" w:line="259" w:lineRule="auto"/>
      </w:pPr>
      <w:r>
        <w:t xml:space="preserve">soit du délai d'instruction de la demande pendant une durée maximale fixée par </w:t>
      </w:r>
      <w:r w:rsidR="00D254CA">
        <w:t>D</w:t>
      </w:r>
      <w:r>
        <w:t>écret ;</w:t>
      </w:r>
    </w:p>
    <w:p w14:paraId="61FB5A47" w14:textId="77777777" w:rsidR="00765AAB" w:rsidRDefault="00765AAB" w:rsidP="00EE0687">
      <w:pPr>
        <w:pStyle w:val="Paragraphedeliste"/>
        <w:numPr>
          <w:ilvl w:val="0"/>
          <w:numId w:val="264"/>
        </w:numPr>
        <w:spacing w:before="0" w:after="160" w:line="259" w:lineRule="auto"/>
      </w:pPr>
      <w:r>
        <w:t>soit du versement de la prestation jusqu'à la production des pièces demandées.</w:t>
      </w:r>
    </w:p>
    <w:p w14:paraId="5445FE5A" w14:textId="78B9B5C1" w:rsidR="00C234C7" w:rsidRDefault="00765AAB" w:rsidP="00C86808">
      <w:pPr>
        <w:rPr>
          <w:rFonts w:cstheme="minorHAnsi"/>
        </w:rPr>
      </w:pPr>
      <w:r>
        <w:t xml:space="preserve">Les mêmes règles devront </w:t>
      </w:r>
      <w:r w:rsidR="00C234C7">
        <w:t xml:space="preserve">désormais </w:t>
      </w:r>
      <w:r>
        <w:t xml:space="preserve">s'appliquer en cas du non-respect par le demandeur de l’obligation de déclarer, auprès de l’organisme auquel </w:t>
      </w:r>
      <w:r w:rsidR="00C234C7">
        <w:t xml:space="preserve">il </w:t>
      </w:r>
      <w:r>
        <w:t xml:space="preserve">est rattaché, tout changement dans sa situation familiale ou dans son lieu de résidence affectant son rattachement au régime dont il dépend. Ce dernier se verra privé, jusqu’à régularisation de sa situation, du service des prestations en nature de l’assurance maladie. </w:t>
      </w:r>
    </w:p>
    <w:p w14:paraId="36DCBAD6" w14:textId="77777777" w:rsidR="00C234C7" w:rsidRDefault="00C234C7" w:rsidP="00C86808">
      <w:pPr>
        <w:rPr>
          <w:rFonts w:cstheme="minorHAnsi"/>
        </w:rPr>
      </w:pPr>
    </w:p>
    <w:p w14:paraId="3E9D5180" w14:textId="77777777" w:rsidR="00C86808" w:rsidRPr="00A847B7" w:rsidRDefault="00C86808" w:rsidP="00C86808">
      <w:pPr>
        <w:rPr>
          <w:rFonts w:cstheme="minorHAnsi"/>
        </w:rPr>
      </w:pPr>
      <w:r w:rsidRPr="00A847B7">
        <w:rPr>
          <w:rFonts w:cstheme="minorHAnsi"/>
        </w:rPr>
        <w:br w:type="page"/>
      </w:r>
    </w:p>
    <w:p w14:paraId="668AD153" w14:textId="4685C948" w:rsidR="009E781D" w:rsidRDefault="009E781D" w:rsidP="0080047B">
      <w:pPr>
        <w:rPr>
          <w:rFonts w:cstheme="minorHAnsi"/>
        </w:rPr>
      </w:pPr>
    </w:p>
    <w:p w14:paraId="1587AE65" w14:textId="113A0700" w:rsidR="009366B6" w:rsidRDefault="009366B6" w:rsidP="0080047B">
      <w:pPr>
        <w:rPr>
          <w:rFonts w:cstheme="minorHAnsi"/>
        </w:rPr>
      </w:pPr>
    </w:p>
    <w:p w14:paraId="7A2B4837" w14:textId="65237E57" w:rsidR="009366B6" w:rsidRDefault="009366B6" w:rsidP="0080047B">
      <w:pPr>
        <w:rPr>
          <w:rFonts w:cstheme="minorHAnsi"/>
        </w:rPr>
      </w:pPr>
    </w:p>
    <w:p w14:paraId="1DB2C445" w14:textId="1CB9C37F" w:rsidR="009366B6" w:rsidRDefault="009366B6" w:rsidP="0080047B">
      <w:pPr>
        <w:rPr>
          <w:rFonts w:cstheme="minorHAnsi"/>
        </w:rPr>
      </w:pPr>
    </w:p>
    <w:p w14:paraId="1D8D90BE" w14:textId="656EEB98" w:rsidR="009366B6" w:rsidRDefault="009366B6" w:rsidP="0080047B">
      <w:pPr>
        <w:rPr>
          <w:rFonts w:cstheme="minorHAnsi"/>
        </w:rPr>
      </w:pPr>
    </w:p>
    <w:p w14:paraId="6B5123A5" w14:textId="15C6A415" w:rsidR="009366B6" w:rsidRDefault="009366B6" w:rsidP="0080047B">
      <w:pPr>
        <w:rPr>
          <w:rFonts w:cstheme="minorHAnsi"/>
        </w:rPr>
      </w:pPr>
    </w:p>
    <w:p w14:paraId="00916A1D" w14:textId="2395F87C" w:rsidR="009366B6" w:rsidRDefault="009366B6" w:rsidP="0080047B">
      <w:pPr>
        <w:rPr>
          <w:rFonts w:cstheme="minorHAnsi"/>
        </w:rPr>
      </w:pPr>
    </w:p>
    <w:p w14:paraId="4B6A6432" w14:textId="62B72827" w:rsidR="009366B6" w:rsidRDefault="009366B6" w:rsidP="0080047B">
      <w:pPr>
        <w:rPr>
          <w:rFonts w:cstheme="minorHAnsi"/>
        </w:rPr>
      </w:pPr>
    </w:p>
    <w:p w14:paraId="278C3F2E" w14:textId="77777777" w:rsidR="009366B6" w:rsidRPr="00A847B7" w:rsidRDefault="009366B6" w:rsidP="0080047B">
      <w:pPr>
        <w:rPr>
          <w:rFonts w:cstheme="minorHAnsi"/>
        </w:rPr>
      </w:pPr>
    </w:p>
    <w:p w14:paraId="6D08D39C" w14:textId="335E0028" w:rsidR="006616F1" w:rsidRPr="00A847B7" w:rsidRDefault="006616F1" w:rsidP="006616F1">
      <w:pPr>
        <w:pStyle w:val="Titre1"/>
        <w:rPr>
          <w:caps/>
        </w:rPr>
      </w:pPr>
      <w:bookmarkStart w:id="176" w:name="_Toc30149335"/>
      <w:bookmarkStart w:id="177" w:name="_Toc60781084"/>
      <w:r w:rsidRPr="00A847B7">
        <w:rPr>
          <w:caps/>
        </w:rPr>
        <w:t>Focus sur l’Outre</w:t>
      </w:r>
      <w:r w:rsidR="00DB6759">
        <w:rPr>
          <w:caps/>
        </w:rPr>
        <w:t>-</w:t>
      </w:r>
      <w:r w:rsidRPr="00A847B7">
        <w:rPr>
          <w:caps/>
        </w:rPr>
        <w:t>mer</w:t>
      </w:r>
      <w:bookmarkEnd w:id="176"/>
      <w:bookmarkEnd w:id="177"/>
    </w:p>
    <w:p w14:paraId="06AB06C1" w14:textId="77777777" w:rsidR="006616F1" w:rsidRPr="00A847B7" w:rsidRDefault="006616F1" w:rsidP="006616F1"/>
    <w:p w14:paraId="6A2ECFFC" w14:textId="74738BA1" w:rsidR="006616F1" w:rsidRDefault="006616F1" w:rsidP="006616F1">
      <w:r w:rsidRPr="00A847B7">
        <w:br w:type="page"/>
      </w:r>
    </w:p>
    <w:p w14:paraId="0FC084DF" w14:textId="77777777" w:rsidR="009366B6" w:rsidRPr="00A847B7" w:rsidRDefault="009366B6" w:rsidP="006616F1"/>
    <w:p w14:paraId="22B44833" w14:textId="5E23E35B" w:rsidR="00282C25" w:rsidRDefault="00282C25" w:rsidP="00282C25">
      <w:pPr>
        <w:pStyle w:val="Titre2"/>
      </w:pPr>
      <w:bookmarkStart w:id="178" w:name="_Toc30149336"/>
      <w:bookmarkStart w:id="179" w:name="_Toc60781085"/>
      <w:r w:rsidRPr="00A847B7">
        <w:t>Les mesures fiscales</w:t>
      </w:r>
      <w:bookmarkEnd w:id="178"/>
      <w:r w:rsidR="00FD025B">
        <w:t xml:space="preserve"> et sociales</w:t>
      </w:r>
      <w:bookmarkEnd w:id="179"/>
    </w:p>
    <w:p w14:paraId="21D6074E" w14:textId="77777777" w:rsidR="009366B6" w:rsidRPr="009366B6" w:rsidRDefault="009366B6" w:rsidP="009366B6"/>
    <w:p w14:paraId="6400DE8E" w14:textId="0309B1C1" w:rsidR="00282C25" w:rsidRPr="00A847B7" w:rsidRDefault="00282C25" w:rsidP="00717199">
      <w:pPr>
        <w:pStyle w:val="Titre3"/>
      </w:pPr>
      <w:bookmarkStart w:id="180" w:name="_Toc60781086"/>
      <w:r w:rsidRPr="00A847B7">
        <w:t xml:space="preserve">Slide </w:t>
      </w:r>
      <w:r w:rsidR="00677CAD">
        <w:t>121</w:t>
      </w:r>
      <w:r w:rsidRPr="00A847B7">
        <w:t> :</w:t>
      </w:r>
      <w:r w:rsidR="000E53C4" w:rsidRPr="00A847B7">
        <w:t xml:space="preserve"> Dispositif Girardin et investissement dans l’immobilier en Outre-mer</w:t>
      </w:r>
      <w:bookmarkEnd w:id="180"/>
    </w:p>
    <w:p w14:paraId="47C3F8AB" w14:textId="63B8FC24" w:rsidR="003F6017" w:rsidRDefault="009366B6" w:rsidP="003637F4">
      <w:pPr>
        <w:rPr>
          <w:highlight w:val="yellow"/>
        </w:rPr>
      </w:pPr>
      <w:r w:rsidRPr="004F587E">
        <w:rPr>
          <w:u w:val="single"/>
        </w:rPr>
        <w:t xml:space="preserve">Source </w:t>
      </w:r>
      <w:r w:rsidRPr="00A847B7">
        <w:t>:</w:t>
      </w:r>
      <w:r w:rsidR="003637F4" w:rsidRPr="00A847B7">
        <w:t xml:space="preserve"> Loi de Finances </w:t>
      </w:r>
      <w:r w:rsidR="003637F4" w:rsidRPr="00A50BA5">
        <w:t xml:space="preserve">pour 2021, </w:t>
      </w:r>
      <w:r w:rsidR="00935E4E" w:rsidRPr="00DC20C8">
        <w:t xml:space="preserve">articles </w:t>
      </w:r>
      <w:r w:rsidR="003F6017" w:rsidRPr="00DC20C8">
        <w:t>105</w:t>
      </w:r>
      <w:r w:rsidR="00905532" w:rsidRPr="00DC20C8">
        <w:t xml:space="preserve"> et 108</w:t>
      </w:r>
    </w:p>
    <w:p w14:paraId="76D1B42A" w14:textId="77777777" w:rsidR="003637F4" w:rsidRPr="00E36803" w:rsidRDefault="003637F4" w:rsidP="00EE0687">
      <w:pPr>
        <w:pStyle w:val="Paragraphedeliste"/>
        <w:numPr>
          <w:ilvl w:val="0"/>
          <w:numId w:val="290"/>
        </w:numPr>
        <w:rPr>
          <w:b/>
          <w:bCs/>
          <w:i/>
          <w:iCs/>
          <w:u w:val="single"/>
        </w:rPr>
      </w:pPr>
      <w:r w:rsidRPr="00E36803">
        <w:rPr>
          <w:b/>
          <w:bCs/>
          <w:i/>
          <w:iCs/>
          <w:u w:val="single"/>
        </w:rPr>
        <w:t>Concernant la réduction d’impôt sur le revenu (IR) ouverte aux particuliers qui souhaitent investir dans l’immobilier</w:t>
      </w:r>
    </w:p>
    <w:p w14:paraId="65F9AC29" w14:textId="77777777" w:rsidR="00DC0E52" w:rsidRPr="00A847B7" w:rsidRDefault="00DC0E52" w:rsidP="00DC0E52">
      <w:r w:rsidRPr="00A847B7">
        <w:t>Cet avantage fiscal bénéficie aux personnes physiques ayant leur domicile fiscal en France métropolitaine ou dans les DOM.</w:t>
      </w:r>
    </w:p>
    <w:p w14:paraId="364E994E" w14:textId="77777777" w:rsidR="00DC0E52" w:rsidRPr="00A847B7" w:rsidRDefault="00DC0E52" w:rsidP="00DC0E52">
      <w:r w:rsidRPr="00A847B7">
        <w:t xml:space="preserve">Jusqu’au 31 décembre 2017, il était possible de bénéficier de cette réduction d’IR pour la réalisation de l’un des investissements suivants :  </w:t>
      </w:r>
    </w:p>
    <w:p w14:paraId="688C79DF" w14:textId="217669E1" w:rsidR="00DC0E52" w:rsidRPr="00A847B7" w:rsidRDefault="00DC0E52" w:rsidP="00EE0687">
      <w:pPr>
        <w:pStyle w:val="Paragraphedeliste"/>
        <w:numPr>
          <w:ilvl w:val="0"/>
          <w:numId w:val="32"/>
        </w:numPr>
      </w:pPr>
      <w:r w:rsidRPr="00A847B7">
        <w:t xml:space="preserve">la construction ou l’acquisition d’un logement neuf </w:t>
      </w:r>
      <w:r w:rsidR="00535FDB" w:rsidRPr="00A847B7">
        <w:t>affecté à la</w:t>
      </w:r>
      <w:r w:rsidRPr="00A847B7">
        <w:t xml:space="preserve"> résidence principale pendant au moins 5 ans</w:t>
      </w:r>
      <w:r w:rsidR="00203435">
        <w:t xml:space="preserve"> (at</w:t>
      </w:r>
      <w:r w:rsidRPr="00A847B7">
        <w:t>tention, la réduction est réservée aux primo-accédants</w:t>
      </w:r>
      <w:r w:rsidR="00C53540">
        <w:t>)</w:t>
      </w:r>
      <w:r w:rsidRPr="00A847B7">
        <w:t xml:space="preserve"> ;</w:t>
      </w:r>
    </w:p>
    <w:p w14:paraId="702C5400" w14:textId="4BE61FEA" w:rsidR="000E2850" w:rsidRPr="00A847B7" w:rsidRDefault="00DC0E52" w:rsidP="00EE0687">
      <w:pPr>
        <w:pStyle w:val="Paragraphedeliste"/>
        <w:numPr>
          <w:ilvl w:val="0"/>
          <w:numId w:val="32"/>
        </w:numPr>
      </w:pPr>
      <w:r w:rsidRPr="00A847B7">
        <w:t xml:space="preserve">l’acquisition d’un immeuble achevé depuis plus de 20 ans faisant l’objet de travaux de réhabilitation et destiné à devenir </w:t>
      </w:r>
      <w:r w:rsidR="00535FDB" w:rsidRPr="00A847B7">
        <w:t>la</w:t>
      </w:r>
      <w:r w:rsidRPr="00A847B7">
        <w:t xml:space="preserve"> résidence principale</w:t>
      </w:r>
      <w:r w:rsidR="00535FDB" w:rsidRPr="00A847B7">
        <w:t xml:space="preserve"> du contribuable</w:t>
      </w:r>
      <w:r w:rsidRPr="00A847B7">
        <w:t xml:space="preserve"> pendant au moins 5 ans ou à être placé en location nue (pendant 5 ans également) dans les 6 mois </w:t>
      </w:r>
      <w:r w:rsidR="00BA2639">
        <w:t>suivant</w:t>
      </w:r>
      <w:r w:rsidR="00BA2639" w:rsidRPr="00A847B7">
        <w:t xml:space="preserve"> </w:t>
      </w:r>
      <w:r w:rsidRPr="00A847B7">
        <w:t>l’achèvement des travaux</w:t>
      </w:r>
      <w:r w:rsidR="000E2850" w:rsidRPr="00A847B7">
        <w:t> ;</w:t>
      </w:r>
    </w:p>
    <w:p w14:paraId="6F9F731E" w14:textId="77777777" w:rsidR="00DC0E52" w:rsidRPr="00A847B7" w:rsidRDefault="00DC0E52" w:rsidP="00EE0687">
      <w:pPr>
        <w:pStyle w:val="Paragraphedeliste"/>
        <w:numPr>
          <w:ilvl w:val="0"/>
          <w:numId w:val="32"/>
        </w:numPr>
      </w:pPr>
      <w:r w:rsidRPr="00A847B7">
        <w:t>l’acquisition de parts ou actions de sociétés dont l'objet réel est exclusivement de construire des logements neufs situés dans les départements ou collectivités visés d’Outre-mer et qu'elles donnent en location nue pendant 5 ans au moins à compter de leur achèvement à des personnes, autres que les associés de la société, leur conjoint ou les membres de leur foyer fiscal, qui en font leur habitation principale ; ces sociétés doivent s'engager à achever les fondations des immeubles dans les 2 ans qui suivent la clôture de chaque souscription annuelle ; les souscripteurs doivent s'engager à conserver les parts ou actions pendant 5 ans au moins à compter de la date d'achèvement des immeubles.</w:t>
      </w:r>
    </w:p>
    <w:p w14:paraId="53102E1F" w14:textId="77777777" w:rsidR="00DC0E52" w:rsidRPr="00A847B7" w:rsidRDefault="00DC0E52" w:rsidP="00DC0E52">
      <w:r w:rsidRPr="00A847B7">
        <w:t xml:space="preserve">La Loi de Finances pour 2018 </w:t>
      </w:r>
      <w:r w:rsidR="000E2850" w:rsidRPr="00A847B7">
        <w:t>a prorogé</w:t>
      </w:r>
      <w:r w:rsidRPr="00A847B7">
        <w:t xml:space="preserve"> de 3 ans </w:t>
      </w:r>
      <w:r w:rsidR="000E2850" w:rsidRPr="00A847B7">
        <w:t xml:space="preserve">cet avantage fiscal uniquement pour </w:t>
      </w:r>
      <w:r w:rsidRPr="00A847B7">
        <w:t>les travaux de réhabilitation et de confortation de logements anciens</w:t>
      </w:r>
      <w:r w:rsidR="00A11039" w:rsidRPr="00A847B7">
        <w:t xml:space="preserve"> contre les risques sismiques ou cycloniques</w:t>
      </w:r>
      <w:r w:rsidRPr="00A847B7">
        <w:t xml:space="preserve"> : ces travaux ouvr</w:t>
      </w:r>
      <w:r w:rsidR="001F0B88" w:rsidRPr="00A847B7">
        <w:t>ai</w:t>
      </w:r>
      <w:r w:rsidRPr="00A847B7">
        <w:t xml:space="preserve">ent donc droit à la réduction d’impôt </w:t>
      </w:r>
      <w:r w:rsidR="001F0B88" w:rsidRPr="00A847B7">
        <w:t>à condition d’être réalisés au plus tard le</w:t>
      </w:r>
      <w:r w:rsidRPr="00A847B7">
        <w:t xml:space="preserve"> 31 décembre 2020. </w:t>
      </w:r>
    </w:p>
    <w:p w14:paraId="2EC64E94" w14:textId="77777777" w:rsidR="00A11039" w:rsidRPr="00A847B7" w:rsidRDefault="008F0437" w:rsidP="00DC0E52">
      <w:r w:rsidRPr="00A847B7">
        <w:t>La Loi de Finances pour 2021 proroge à nouveau de 3 ans cette réduction d’IR</w:t>
      </w:r>
      <w:r w:rsidR="00E9059B" w:rsidRPr="00A847B7">
        <w:t>, soit jusqu’au 31 décembre 2023</w:t>
      </w:r>
      <w:r w:rsidRPr="00A847B7">
        <w:t>,</w:t>
      </w:r>
      <w:r w:rsidR="00E9059B" w:rsidRPr="00A847B7">
        <w:t xml:space="preserve"> uniquement pour les travaux de réhabilitation et de confortation de logements anciens contre les risques sismiques ou cycloniques.</w:t>
      </w:r>
    </w:p>
    <w:p w14:paraId="7A93131C" w14:textId="5663327E" w:rsidR="003637F4" w:rsidRDefault="003637F4" w:rsidP="00EE0687">
      <w:pPr>
        <w:pStyle w:val="Paragraphedeliste"/>
        <w:numPr>
          <w:ilvl w:val="0"/>
          <w:numId w:val="290"/>
        </w:numPr>
      </w:pPr>
      <w:r>
        <w:rPr>
          <w:b/>
          <w:bCs/>
          <w:i/>
          <w:iCs/>
          <w:u w:val="single"/>
        </w:rPr>
        <w:t>Concernant le crédit d’impôt pour les organismes HLM qui achètent ou font construire des logements neufs</w:t>
      </w:r>
    </w:p>
    <w:p w14:paraId="77511A0C" w14:textId="3694E77D" w:rsidR="003637F4" w:rsidRDefault="003637F4" w:rsidP="003637F4">
      <w:r>
        <w:t xml:space="preserve">Les </w:t>
      </w:r>
      <w:r w:rsidRPr="00E36803">
        <w:t xml:space="preserve">organismes d'habitations à loyer modéré, à l'exception des sociétés anonymes coopératives d'intérêt collectif pour l'accession à la propriété, les sociétés d'économie mixte exerçant une activité immobilière outre-mer et les organismes </w:t>
      </w:r>
      <w:r>
        <w:t>équivalents</w:t>
      </w:r>
      <w:r w:rsidRPr="00E36803">
        <w:t xml:space="preserve"> peuvent bénéficier d'un crédit d'impôt à raison de l'acquisition ou de la </w:t>
      </w:r>
      <w:r w:rsidRPr="00E36803">
        <w:lastRenderedPageBreak/>
        <w:t>construction de logements neufs dans les départements d'</w:t>
      </w:r>
      <w:r w:rsidR="00641E5C">
        <w:t>O</w:t>
      </w:r>
      <w:r w:rsidRPr="00E36803">
        <w:t>utre-mer, lorsqu'ils respectent</w:t>
      </w:r>
      <w:r>
        <w:t xml:space="preserve"> certaines conditions.</w:t>
      </w:r>
    </w:p>
    <w:p w14:paraId="7D612861" w14:textId="266AB4BB" w:rsidR="003637F4" w:rsidRDefault="003637F4" w:rsidP="003637F4">
      <w:r>
        <w:t>Note</w:t>
      </w:r>
      <w:r w:rsidR="001C6F5B">
        <w:t>z</w:t>
      </w:r>
      <w:r>
        <w:t xml:space="preserve"> que</w:t>
      </w:r>
      <w:r w:rsidRPr="00E36803">
        <w:t xml:space="preserve"> la construction ou l'acquisition de logements bénéficiant </w:t>
      </w:r>
      <w:r>
        <w:t>de</w:t>
      </w:r>
      <w:r w:rsidRPr="00E36803">
        <w:t xml:space="preserve"> prêts conventionnés </w:t>
      </w:r>
      <w:r>
        <w:t>ouvrent droit au bénéfice de l’avantage fiscal, sous réserve de l’obtention d’un a</w:t>
      </w:r>
      <w:r w:rsidRPr="00E36803">
        <w:t>grément préalable du représentant de l'Etat dans le département de situation des logements.</w:t>
      </w:r>
    </w:p>
    <w:p w14:paraId="13571258" w14:textId="77777777" w:rsidR="003637F4" w:rsidRDefault="003637F4" w:rsidP="003637F4">
      <w:r w:rsidRPr="00E36803">
        <w:t>Le nombre de logements agréés par le représentant de l'Etat au titre d'une année ne peut excéder 25 % de la moyenne des logements livrés au cours des trois années précédentes dans le département</w:t>
      </w:r>
      <w:r>
        <w:t>.</w:t>
      </w:r>
    </w:p>
    <w:p w14:paraId="0E676C40" w14:textId="77777777" w:rsidR="003637F4" w:rsidRDefault="003637F4" w:rsidP="003637F4">
      <w:r>
        <w:t>Pour les travaux de rénovation et de réhabilitation pour lesquels une déclaration préalable de travaux ou une demande de permis de construire est déposée à compter du 1</w:t>
      </w:r>
      <w:r w:rsidRPr="00E36803">
        <w:rPr>
          <w:vertAlign w:val="superscript"/>
        </w:rPr>
        <w:t>er</w:t>
      </w:r>
      <w:r>
        <w:t xml:space="preserve"> janvier 2021, ce taux est porté à 35 % pour les logements situés à la Réunion.</w:t>
      </w:r>
    </w:p>
    <w:p w14:paraId="754DC8A0" w14:textId="77777777" w:rsidR="00A11039" w:rsidRPr="00A847B7" w:rsidRDefault="00A11039" w:rsidP="00DC0E52"/>
    <w:p w14:paraId="4BAADF58" w14:textId="2E653577" w:rsidR="007874D3" w:rsidRPr="00A847B7" w:rsidRDefault="007874D3" w:rsidP="007874D3">
      <w:pPr>
        <w:pStyle w:val="Titre3"/>
      </w:pPr>
      <w:bookmarkStart w:id="181" w:name="_Toc58878972"/>
      <w:bookmarkStart w:id="182" w:name="_Toc60781087"/>
      <w:r w:rsidRPr="00A847B7">
        <w:t xml:space="preserve">Slide </w:t>
      </w:r>
      <w:r w:rsidR="006B33F5">
        <w:t>122</w:t>
      </w:r>
      <w:r w:rsidRPr="00A847B7">
        <w:t> : Dispositif Girardin : aménagement des avantages fiscaux accordés au titre de la réalisation d’investissement</w:t>
      </w:r>
      <w:r w:rsidR="00110C6B" w:rsidRPr="00A847B7">
        <w:t>s</w:t>
      </w:r>
      <w:r w:rsidRPr="00A847B7">
        <w:t xml:space="preserve"> productifs</w:t>
      </w:r>
      <w:bookmarkEnd w:id="181"/>
      <w:bookmarkEnd w:id="182"/>
    </w:p>
    <w:p w14:paraId="0C974DFE" w14:textId="0655B5B7" w:rsidR="00CD01DB" w:rsidRPr="00DC20C8" w:rsidRDefault="009366B6" w:rsidP="007874D3">
      <w:r w:rsidRPr="004F587E">
        <w:rPr>
          <w:u w:val="single"/>
        </w:rPr>
        <w:t xml:space="preserve">Source </w:t>
      </w:r>
      <w:r w:rsidRPr="00A847B7">
        <w:t>:</w:t>
      </w:r>
      <w:r w:rsidR="007874D3" w:rsidRPr="00DC20C8">
        <w:t xml:space="preserve"> Loi de Finances pour 2021, </w:t>
      </w:r>
      <w:r w:rsidR="00EE0E53" w:rsidRPr="00DC20C8">
        <w:t xml:space="preserve">articles </w:t>
      </w:r>
      <w:r w:rsidR="00CD01DB" w:rsidRPr="00DC20C8">
        <w:t>108</w:t>
      </w:r>
      <w:r w:rsidR="003A2073">
        <w:t xml:space="preserve"> et 15</w:t>
      </w:r>
    </w:p>
    <w:p w14:paraId="56CC1534" w14:textId="48162A56" w:rsidR="007874D3" w:rsidRPr="003A2073" w:rsidRDefault="00126A30" w:rsidP="00EE0687">
      <w:pPr>
        <w:pStyle w:val="Paragraphedeliste"/>
        <w:numPr>
          <w:ilvl w:val="0"/>
          <w:numId w:val="86"/>
        </w:numPr>
        <w:rPr>
          <w:rFonts w:ascii="Arial" w:hAnsi="Arial" w:cs="Arial"/>
        </w:rPr>
      </w:pPr>
      <w:r w:rsidRPr="00A847B7">
        <w:rPr>
          <w:rFonts w:cstheme="minorHAnsi"/>
          <w:b/>
          <w:bCs/>
          <w:i/>
          <w:iCs/>
          <w:u w:val="single"/>
        </w:rPr>
        <w:t xml:space="preserve">Concernant la réduction d’impôt pour </w:t>
      </w:r>
      <w:r w:rsidR="00F9645F" w:rsidRPr="003A2073">
        <w:rPr>
          <w:rFonts w:cstheme="minorHAnsi"/>
          <w:b/>
          <w:bCs/>
          <w:i/>
          <w:iCs/>
          <w:u w:val="single"/>
        </w:rPr>
        <w:t>investissements productifs neufs réalisés dans le cadre d’une entreprise exerçant une activité agricole</w:t>
      </w:r>
      <w:r w:rsidR="003824A4" w:rsidRPr="003A2073">
        <w:rPr>
          <w:rFonts w:cstheme="minorHAnsi"/>
          <w:b/>
          <w:bCs/>
          <w:i/>
          <w:iCs/>
          <w:u w:val="single"/>
        </w:rPr>
        <w:t>,</w:t>
      </w:r>
      <w:r w:rsidR="00B26542" w:rsidRPr="003A2073">
        <w:rPr>
          <w:rFonts w:cstheme="minorHAnsi"/>
          <w:b/>
          <w:bCs/>
          <w:i/>
          <w:iCs/>
          <w:u w:val="single"/>
        </w:rPr>
        <w:t xml:space="preserve"> </w:t>
      </w:r>
      <w:r w:rsidR="00F9645F" w:rsidRPr="003A2073">
        <w:rPr>
          <w:rFonts w:cstheme="minorHAnsi"/>
          <w:b/>
          <w:bCs/>
          <w:i/>
          <w:iCs/>
          <w:u w:val="single"/>
        </w:rPr>
        <w:t>industrielle, commerciale ou artisanale (</w:t>
      </w:r>
      <w:r w:rsidR="00F9645F" w:rsidRPr="00DC20C8">
        <w:rPr>
          <w:rFonts w:cstheme="minorHAnsi"/>
          <w:b/>
          <w:i/>
          <w:u w:val="single"/>
        </w:rPr>
        <w:t>article 199 undecies B CGI</w:t>
      </w:r>
      <w:r w:rsidR="00F9645F" w:rsidRPr="003A2073">
        <w:rPr>
          <w:rFonts w:cstheme="minorHAnsi"/>
          <w:b/>
          <w:bCs/>
          <w:i/>
          <w:iCs/>
          <w:u w:val="single"/>
        </w:rPr>
        <w:t>)</w:t>
      </w:r>
    </w:p>
    <w:p w14:paraId="06A1DC6C" w14:textId="0F0D393C" w:rsidR="00F9645F" w:rsidRPr="00A847B7" w:rsidRDefault="00926C07" w:rsidP="00F9645F">
      <w:pPr>
        <w:rPr>
          <w:rFonts w:cstheme="minorHAnsi"/>
        </w:rPr>
      </w:pPr>
      <w:r w:rsidRPr="00A847B7">
        <w:rPr>
          <w:rFonts w:cstheme="minorHAnsi"/>
        </w:rPr>
        <w:t>Les contribuables domiciliés en France peuvent bénéficier d’une réduction d’impôt sur le revenu (IR) pour les investissements productifs neufs qu'ils réalisent dans les départements d'</w:t>
      </w:r>
      <w:r w:rsidR="00641E5C">
        <w:rPr>
          <w:rFonts w:cstheme="minorHAnsi"/>
        </w:rPr>
        <w:t>O</w:t>
      </w:r>
      <w:r w:rsidRPr="00A847B7">
        <w:rPr>
          <w:rFonts w:cstheme="minorHAnsi"/>
        </w:rPr>
        <w:t>utre-mer, à Saint-Pierre-et-Miquelon, en Nouvelle-Calédonie, en Polynésie française, à Saint-Martin, à Saint-Barthélemy, dans les îles Wallis-et-Futuna et les Terres australes et antarctiques françaises, dans le cadre d'une entreprise exerçant une activité agricole</w:t>
      </w:r>
      <w:r w:rsidR="0010613F">
        <w:rPr>
          <w:rFonts w:cstheme="minorHAnsi"/>
        </w:rPr>
        <w:t xml:space="preserve">, </w:t>
      </w:r>
      <w:r w:rsidRPr="00A847B7">
        <w:rPr>
          <w:rFonts w:cstheme="minorHAnsi"/>
        </w:rPr>
        <w:t>industrielle, commerciale ou artisanale.</w:t>
      </w:r>
    </w:p>
    <w:p w14:paraId="1C05EF27" w14:textId="0E191056" w:rsidR="00926C07" w:rsidRPr="00A847B7" w:rsidRDefault="00C676F2" w:rsidP="007874D3">
      <w:pPr>
        <w:rPr>
          <w:rFonts w:cstheme="minorHAnsi"/>
        </w:rPr>
      </w:pPr>
      <w:r w:rsidRPr="00A847B7">
        <w:rPr>
          <w:rFonts w:cstheme="minorHAnsi"/>
        </w:rPr>
        <w:t>Si, dans le délai de 5 ans de son acquisition ou de sa création, ou pendant sa durée normale d’utilisation si elle est inférieure ou, à compter du 1</w:t>
      </w:r>
      <w:r w:rsidRPr="00A847B7">
        <w:rPr>
          <w:rFonts w:cstheme="minorHAnsi"/>
          <w:vertAlign w:val="superscript"/>
        </w:rPr>
        <w:t>er</w:t>
      </w:r>
      <w:r w:rsidRPr="00A847B7">
        <w:rPr>
          <w:rFonts w:cstheme="minorHAnsi"/>
        </w:rPr>
        <w:t xml:space="preserve"> janvier 2022</w:t>
      </w:r>
      <w:r w:rsidR="0033448D" w:rsidRPr="00A847B7">
        <w:rPr>
          <w:rFonts w:cstheme="minorHAnsi"/>
        </w:rPr>
        <w:t xml:space="preserve">, pendant 7 ans </w:t>
      </w:r>
      <w:r w:rsidR="00383CE7" w:rsidRPr="00A847B7">
        <w:rPr>
          <w:rFonts w:cstheme="minorHAnsi"/>
        </w:rPr>
        <w:t>au moins lorsque sa durée normale d’utilisation est égale ou supérieure à 7 ans,</w:t>
      </w:r>
      <w:r w:rsidRPr="00A847B7">
        <w:rPr>
          <w:rFonts w:cstheme="minorHAnsi"/>
        </w:rPr>
        <w:t xml:space="preserve"> l</w:t>
      </w:r>
      <w:r w:rsidR="008C7E11" w:rsidRPr="00A847B7">
        <w:rPr>
          <w:rFonts w:cstheme="minorHAnsi"/>
        </w:rPr>
        <w:t>’investissement ayant ouvert droit à l’avantage fiscal</w:t>
      </w:r>
      <w:r w:rsidRPr="00A847B7">
        <w:rPr>
          <w:rFonts w:cstheme="minorHAnsi"/>
        </w:rPr>
        <w:t xml:space="preserve"> est vendu, s’il cesse d’être affecté à l’activité pour laquelle il a été créé ou acquis, ou si l’acquéreur cesse son activité</w:t>
      </w:r>
      <w:r w:rsidR="00383CE7" w:rsidRPr="00A847B7">
        <w:rPr>
          <w:rFonts w:cstheme="minorHAnsi"/>
        </w:rPr>
        <w:t>, la réduction d’impôt fera l’objet d’une reprise au titre</w:t>
      </w:r>
      <w:r w:rsidR="004037FE" w:rsidRPr="00A847B7">
        <w:rPr>
          <w:rFonts w:cstheme="minorHAnsi"/>
        </w:rPr>
        <w:t xml:space="preserve"> </w:t>
      </w:r>
      <w:r w:rsidR="00383CE7" w:rsidRPr="00A847B7">
        <w:rPr>
          <w:rFonts w:cstheme="minorHAnsi"/>
        </w:rPr>
        <w:t>de l’année au cours de laquelle cet</w:t>
      </w:r>
      <w:r w:rsidRPr="00A847B7">
        <w:rPr>
          <w:rFonts w:cstheme="minorHAnsi"/>
        </w:rPr>
        <w:t xml:space="preserve"> </w:t>
      </w:r>
      <w:r w:rsidR="004037FE" w:rsidRPr="00A847B7">
        <w:rPr>
          <w:rFonts w:cstheme="minorHAnsi"/>
        </w:rPr>
        <w:t>évènement est intervenu.</w:t>
      </w:r>
    </w:p>
    <w:p w14:paraId="64B0F0D6" w14:textId="6EF7BB97" w:rsidR="000C2651" w:rsidRPr="00A847B7" w:rsidRDefault="00BB74F9" w:rsidP="007874D3">
      <w:pPr>
        <w:rPr>
          <w:rFonts w:cstheme="minorHAnsi"/>
        </w:rPr>
      </w:pPr>
      <w:r w:rsidRPr="00A847B7">
        <w:rPr>
          <w:rFonts w:cstheme="minorHAnsi"/>
        </w:rPr>
        <w:t xml:space="preserve">Précisons que </w:t>
      </w:r>
      <w:r w:rsidR="009D79C8" w:rsidRPr="00A847B7">
        <w:rPr>
          <w:rFonts w:cstheme="minorHAnsi"/>
        </w:rPr>
        <w:t xml:space="preserve">la </w:t>
      </w:r>
      <w:r w:rsidRPr="00A847B7">
        <w:rPr>
          <w:rFonts w:cstheme="minorHAnsi"/>
        </w:rPr>
        <w:t>nouveauté</w:t>
      </w:r>
      <w:r w:rsidR="002C6E67" w:rsidRPr="00A847B7">
        <w:rPr>
          <w:rFonts w:cstheme="minorHAnsi"/>
        </w:rPr>
        <w:t xml:space="preserve"> </w:t>
      </w:r>
      <w:r w:rsidR="009D79C8" w:rsidRPr="00A847B7">
        <w:rPr>
          <w:rFonts w:cstheme="minorHAnsi"/>
        </w:rPr>
        <w:t>tenant au délai de 7 ans</w:t>
      </w:r>
      <w:r w:rsidR="002C6E67" w:rsidRPr="00A847B7">
        <w:rPr>
          <w:rFonts w:cstheme="minorHAnsi"/>
        </w:rPr>
        <w:t xml:space="preserve"> ne s’appliquera pas à Saint</w:t>
      </w:r>
      <w:r w:rsidR="00EE4AEE">
        <w:rPr>
          <w:rFonts w:cstheme="minorHAnsi"/>
        </w:rPr>
        <w:t>-</w:t>
      </w:r>
      <w:r w:rsidR="002C6E67" w:rsidRPr="00A847B7">
        <w:rPr>
          <w:rFonts w:cstheme="minorHAnsi"/>
        </w:rPr>
        <w:t>Martin à compter du 1</w:t>
      </w:r>
      <w:r w:rsidR="002C6E67" w:rsidRPr="00A847B7">
        <w:rPr>
          <w:rFonts w:cstheme="minorHAnsi"/>
          <w:vertAlign w:val="superscript"/>
        </w:rPr>
        <w:t>er</w:t>
      </w:r>
      <w:r w:rsidR="002C6E67" w:rsidRPr="00A847B7">
        <w:rPr>
          <w:rFonts w:cstheme="minorHAnsi"/>
        </w:rPr>
        <w:t xml:space="preserve"> janvier 2022. Pour les investissements réalisés sur ce territoire</w:t>
      </w:r>
      <w:r w:rsidR="00C52A67" w:rsidRPr="00A847B7">
        <w:rPr>
          <w:rFonts w:cstheme="minorHAnsi"/>
        </w:rPr>
        <w:t>, cette mesure s’appliquera à compter d’une date fixée par Décret à paraître</w:t>
      </w:r>
      <w:r w:rsidR="00166FDD" w:rsidRPr="00A847B7">
        <w:rPr>
          <w:rFonts w:cstheme="minorHAnsi"/>
        </w:rPr>
        <w:t>, qui ne pourra pas être postérieure de plus de 6 mois à la date de réception, par le Gouvernement</w:t>
      </w:r>
      <w:r w:rsidR="00F4090C" w:rsidRPr="00A847B7">
        <w:rPr>
          <w:rFonts w:cstheme="minorHAnsi"/>
        </w:rPr>
        <w:t xml:space="preserve">, de </w:t>
      </w:r>
      <w:r w:rsidR="000E5C60" w:rsidRPr="00A847B7">
        <w:rPr>
          <w:rFonts w:cstheme="minorHAnsi"/>
        </w:rPr>
        <w:t>la réponse de la Commission européenne quant à sa conformité à la réglementation européenne.</w:t>
      </w:r>
    </w:p>
    <w:p w14:paraId="4CA90F16" w14:textId="6CD0C5FB" w:rsidR="009D1D12" w:rsidRPr="00A847B7" w:rsidRDefault="009D1D12" w:rsidP="007874D3">
      <w:pPr>
        <w:rPr>
          <w:rFonts w:cstheme="minorHAnsi"/>
        </w:rPr>
      </w:pPr>
      <w:r w:rsidRPr="00A847B7">
        <w:rPr>
          <w:rFonts w:cstheme="minorHAnsi"/>
        </w:rPr>
        <w:t>La Loi de Finances pour 2021 prévoit également que le non</w:t>
      </w:r>
      <w:r w:rsidR="001D53E2" w:rsidRPr="00A847B7">
        <w:rPr>
          <w:rFonts w:cstheme="minorHAnsi"/>
        </w:rPr>
        <w:t>-respect</w:t>
      </w:r>
      <w:r w:rsidR="005757E7" w:rsidRPr="00A847B7">
        <w:rPr>
          <w:rFonts w:cstheme="minorHAnsi"/>
        </w:rPr>
        <w:t>,</w:t>
      </w:r>
      <w:r w:rsidR="001D53E2" w:rsidRPr="00A847B7">
        <w:rPr>
          <w:rFonts w:cstheme="minorHAnsi"/>
        </w:rPr>
        <w:t xml:space="preserve"> par l’entreprise locataire ou bénéficiaire des souscriptions</w:t>
      </w:r>
      <w:r w:rsidR="005757E7" w:rsidRPr="00A847B7">
        <w:rPr>
          <w:rFonts w:cstheme="minorHAnsi"/>
        </w:rPr>
        <w:t>, de l’engagement d’utiliser l’investisse</w:t>
      </w:r>
      <w:r w:rsidR="00C014B2" w:rsidRPr="00A847B7">
        <w:rPr>
          <w:rFonts w:cstheme="minorHAnsi"/>
        </w:rPr>
        <w:t>ment réalisé dans le cadre de l’activité pour laquelle il a été acquis ou créé</w:t>
      </w:r>
      <w:r w:rsidR="002A6FD0" w:rsidRPr="00A847B7">
        <w:rPr>
          <w:rFonts w:cstheme="minorHAnsi"/>
        </w:rPr>
        <w:t>, l’expose au paiement d’une am</w:t>
      </w:r>
      <w:r w:rsidR="001C0DD5" w:rsidRPr="00A847B7">
        <w:rPr>
          <w:rFonts w:cstheme="minorHAnsi"/>
        </w:rPr>
        <w:t xml:space="preserve">ende égale à 60 % </w:t>
      </w:r>
      <w:r w:rsidR="005632E8" w:rsidRPr="00A847B7">
        <w:rPr>
          <w:rFonts w:cstheme="minorHAnsi"/>
        </w:rPr>
        <w:t>du montant de l’avantage obtenu.</w:t>
      </w:r>
    </w:p>
    <w:p w14:paraId="476A10F0" w14:textId="3E83271C" w:rsidR="00482700" w:rsidRPr="00A847B7" w:rsidRDefault="006D327D" w:rsidP="00482700">
      <w:pPr>
        <w:rPr>
          <w:rFonts w:cstheme="minorHAnsi"/>
        </w:rPr>
      </w:pPr>
      <w:r w:rsidRPr="00A847B7">
        <w:rPr>
          <w:rFonts w:cstheme="minorHAnsi"/>
        </w:rPr>
        <w:t xml:space="preserve">Enfin, la Loi de Finances pour 2021 précise que le bénéfice de cette réduction d’impôt </w:t>
      </w:r>
      <w:r w:rsidR="000F48AE" w:rsidRPr="00A847B7">
        <w:rPr>
          <w:rFonts w:cstheme="minorHAnsi"/>
        </w:rPr>
        <w:t>pour les investissements réalisés dans les départements d’Outre-mer et à Saint-Martin est subordonné au respect de la règlementation</w:t>
      </w:r>
      <w:r w:rsidR="00EF4B96" w:rsidRPr="00A847B7">
        <w:rPr>
          <w:rFonts w:cstheme="minorHAnsi"/>
        </w:rPr>
        <w:t xml:space="preserve"> européenne en matière d’aides à l'investissement à finalité régionale.</w:t>
      </w:r>
    </w:p>
    <w:p w14:paraId="1F32FA42" w14:textId="73C1A9F7" w:rsidR="00EF4B96" w:rsidRPr="003A2073" w:rsidRDefault="009B05BB" w:rsidP="00EE0687">
      <w:pPr>
        <w:pStyle w:val="Paragraphedeliste"/>
        <w:numPr>
          <w:ilvl w:val="0"/>
          <w:numId w:val="86"/>
        </w:numPr>
        <w:rPr>
          <w:rFonts w:cstheme="minorHAnsi"/>
        </w:rPr>
      </w:pPr>
      <w:r w:rsidRPr="00A847B7">
        <w:rPr>
          <w:rFonts w:cstheme="minorHAnsi"/>
          <w:b/>
          <w:bCs/>
          <w:i/>
          <w:iCs/>
          <w:u w:val="single"/>
        </w:rPr>
        <w:lastRenderedPageBreak/>
        <w:t xml:space="preserve">Concernant la déduction fiscale pour les entreprises soumises à </w:t>
      </w:r>
      <w:r w:rsidRPr="003A2073">
        <w:rPr>
          <w:rFonts w:cstheme="minorHAnsi"/>
          <w:b/>
          <w:bCs/>
          <w:i/>
          <w:iCs/>
          <w:u w:val="single"/>
        </w:rPr>
        <w:t xml:space="preserve">l’impôt sur les sociétés qui </w:t>
      </w:r>
      <w:r w:rsidR="00573368" w:rsidRPr="003A2073">
        <w:rPr>
          <w:rFonts w:cstheme="minorHAnsi"/>
          <w:b/>
          <w:bCs/>
          <w:i/>
          <w:iCs/>
          <w:u w:val="single"/>
        </w:rPr>
        <w:t xml:space="preserve">réalisent des investissements </w:t>
      </w:r>
      <w:r w:rsidR="00F276E5" w:rsidRPr="003A2073">
        <w:rPr>
          <w:rFonts w:cstheme="minorHAnsi"/>
          <w:b/>
          <w:bCs/>
          <w:i/>
          <w:iCs/>
          <w:u w:val="single"/>
        </w:rPr>
        <w:t xml:space="preserve">productifs </w:t>
      </w:r>
      <w:r w:rsidR="00573368" w:rsidRPr="003A2073">
        <w:rPr>
          <w:rFonts w:cstheme="minorHAnsi"/>
          <w:b/>
          <w:bCs/>
          <w:i/>
          <w:iCs/>
          <w:u w:val="single"/>
        </w:rPr>
        <w:t>dans les départements de la Guadeloupe, de la Guyane, de la Martinique, de Mayotte et de la Réunion pour l’exercice de certaines activités (</w:t>
      </w:r>
      <w:r w:rsidR="00573368" w:rsidRPr="00DC20C8">
        <w:rPr>
          <w:rFonts w:cstheme="minorHAnsi"/>
          <w:b/>
          <w:i/>
          <w:u w:val="single"/>
        </w:rPr>
        <w:t>article 217 undecies CGI)</w:t>
      </w:r>
    </w:p>
    <w:p w14:paraId="633ADF29" w14:textId="00BC4DC3" w:rsidR="00482700" w:rsidRPr="00A847B7" w:rsidRDefault="00F276E5" w:rsidP="00482700">
      <w:pPr>
        <w:rPr>
          <w:rFonts w:cstheme="minorHAnsi"/>
        </w:rPr>
      </w:pPr>
      <w:r w:rsidRPr="00A847B7">
        <w:rPr>
          <w:rFonts w:cstheme="minorHAnsi"/>
        </w:rPr>
        <w:t>Les entreprises soumises à l’impôt sur les sociétés (IS) qui réalisent, au titre de leur dernier exercice clos, un chiffre d’affaire (CA) inférieur à 20 M€ peuvent déduire de leurs résultats une somme égale au montant hors taxe et frais de toute nature des investissements productifs réalisés dans les départements de la Guadeloupe, de la Guyane, de la Martinique, de Mayotte et de la Réunion pour l’exercice d’une activité agricole ou une activité industrielle, commerciale ou artisanale.</w:t>
      </w:r>
    </w:p>
    <w:p w14:paraId="2328C8BA" w14:textId="09597F01" w:rsidR="002D195A" w:rsidRPr="00A847B7" w:rsidRDefault="002D195A" w:rsidP="002D195A">
      <w:pPr>
        <w:rPr>
          <w:rFonts w:cstheme="minorHAnsi"/>
          <w:sz w:val="18"/>
          <w:szCs w:val="18"/>
        </w:rPr>
      </w:pPr>
      <w:r w:rsidRPr="00A847B7">
        <w:rPr>
          <w:rFonts w:cstheme="minorHAnsi"/>
          <w:color w:val="3C3C3C"/>
          <w:shd w:val="clear" w:color="auto" w:fill="FFFFFF"/>
        </w:rPr>
        <w:t>A compter du 1</w:t>
      </w:r>
      <w:r w:rsidRPr="00A847B7">
        <w:rPr>
          <w:rFonts w:cstheme="minorHAnsi"/>
          <w:color w:val="3C3C3C"/>
          <w:shd w:val="clear" w:color="auto" w:fill="FFFFFF"/>
          <w:vertAlign w:val="superscript"/>
        </w:rPr>
        <w:t>er</w:t>
      </w:r>
      <w:r w:rsidRPr="00A847B7">
        <w:rPr>
          <w:rFonts w:cstheme="minorHAnsi"/>
          <w:color w:val="3C3C3C"/>
          <w:shd w:val="clear" w:color="auto" w:fill="FFFFFF"/>
        </w:rPr>
        <w:t xml:space="preserve"> janvier 2022, </w:t>
      </w:r>
      <w:r w:rsidR="0060556F" w:rsidRPr="00A847B7">
        <w:rPr>
          <w:rFonts w:cstheme="minorHAnsi"/>
          <w:color w:val="3C3C3C"/>
          <w:shd w:val="clear" w:color="auto" w:fill="FFFFFF"/>
        </w:rPr>
        <w:t>et toutes conditions par ailleurs remplies</w:t>
      </w:r>
      <w:r w:rsidRPr="00A847B7">
        <w:rPr>
          <w:rFonts w:cstheme="minorHAnsi"/>
          <w:color w:val="3C3C3C"/>
          <w:shd w:val="clear" w:color="auto" w:fill="FFFFFF"/>
        </w:rPr>
        <w:t>, il est prévu que cette déduction s’applique aux achats ou constructions de logements neufs à usage locatif situés dans les départements d’</w:t>
      </w:r>
      <w:r w:rsidR="006E607D">
        <w:rPr>
          <w:rFonts w:cstheme="minorHAnsi"/>
          <w:color w:val="3C3C3C"/>
          <w:shd w:val="clear" w:color="auto" w:fill="FFFFFF"/>
        </w:rPr>
        <w:t>O</w:t>
      </w:r>
      <w:r w:rsidRPr="00A847B7">
        <w:rPr>
          <w:rFonts w:cstheme="minorHAnsi"/>
          <w:color w:val="3C3C3C"/>
          <w:shd w:val="clear" w:color="auto" w:fill="FFFFFF"/>
        </w:rPr>
        <w:t>utre-mer (DOM), à l’exclusion des logements neufs à caractère social, à hauteur du prix de revient des logements, minoré des taxes et commissions d’acquisition, ainsi que des aides publiques reçues.</w:t>
      </w:r>
    </w:p>
    <w:p w14:paraId="67C65121" w14:textId="35839743" w:rsidR="009C10E8" w:rsidRPr="00A847B7" w:rsidRDefault="00903D63" w:rsidP="009C10E8">
      <w:pPr>
        <w:rPr>
          <w:rFonts w:cstheme="minorHAnsi"/>
        </w:rPr>
      </w:pPr>
      <w:r w:rsidRPr="00A847B7">
        <w:rPr>
          <w:rFonts w:cstheme="minorHAnsi"/>
        </w:rPr>
        <w:t xml:space="preserve">Ce montant est retenu dans la limite de 2 615 € hors taxe </w:t>
      </w:r>
      <w:r w:rsidR="0060556F" w:rsidRPr="00A847B7">
        <w:rPr>
          <w:rFonts w:cstheme="minorHAnsi"/>
        </w:rPr>
        <w:t>par m² de surface habitable. Un Décret à paraître devra préciser la nature des sommes retenues pour l’appréciation du prix de revient de l’immeuble.</w:t>
      </w:r>
    </w:p>
    <w:p w14:paraId="653AB81F" w14:textId="6B95E739" w:rsidR="00A902D6" w:rsidRPr="00A847B7" w:rsidRDefault="006764DA" w:rsidP="00A902D6">
      <w:pPr>
        <w:rPr>
          <w:rFonts w:cstheme="minorHAnsi"/>
        </w:rPr>
      </w:pPr>
      <w:r w:rsidRPr="00A847B7">
        <w:rPr>
          <w:rFonts w:cstheme="minorHAnsi"/>
        </w:rPr>
        <w:t>Si, dans le délai de 5 ans de son acquisition ou de sa création, ou pendant sa durée normale d’utilisation si elle est inférieure ou, à compter du 1</w:t>
      </w:r>
      <w:r w:rsidRPr="00A847B7">
        <w:rPr>
          <w:rFonts w:cstheme="minorHAnsi"/>
          <w:vertAlign w:val="superscript"/>
        </w:rPr>
        <w:t>er</w:t>
      </w:r>
      <w:r w:rsidRPr="00A847B7">
        <w:rPr>
          <w:rFonts w:cstheme="minorHAnsi"/>
        </w:rPr>
        <w:t xml:space="preserve"> janvier 2022, pendant 7 ans au moins lorsque sa durée normale d’utilisation est égale ou supérieure à 7 ans, l’investissement ayant ouvert droit à l’avantage fiscal est vendu, s’il cesse d’être affecté à l’activité pour laquelle il a été créé ou acquis, ou si l’acquéreur cesse son activité, </w:t>
      </w:r>
      <w:r w:rsidR="00E00C53" w:rsidRPr="00A847B7">
        <w:rPr>
          <w:rFonts w:cstheme="minorHAnsi"/>
        </w:rPr>
        <w:t>les sommes déduites seront rapportées au résultat imposable de l’entreprise ayant opéré la déduction</w:t>
      </w:r>
      <w:r w:rsidRPr="00A847B7">
        <w:rPr>
          <w:rFonts w:cstheme="minorHAnsi"/>
        </w:rPr>
        <w:t xml:space="preserve"> au titre de l’année au cours de laquelle cet évènement est intervenu.</w:t>
      </w:r>
    </w:p>
    <w:p w14:paraId="6AF4B5AA" w14:textId="512FF41B" w:rsidR="001619A5" w:rsidRPr="00A847B7" w:rsidRDefault="001619A5" w:rsidP="007874D3">
      <w:pPr>
        <w:rPr>
          <w:rFonts w:cstheme="minorHAnsi"/>
        </w:rPr>
      </w:pPr>
      <w:r w:rsidRPr="00A847B7">
        <w:rPr>
          <w:rFonts w:cstheme="minorHAnsi"/>
        </w:rPr>
        <w:t>Notez également que pour les investissements dont la durée normale d’utilisation est au moins égale à 7 ans, l’entreprise bénéficiaire de la souscription</w:t>
      </w:r>
      <w:r w:rsidR="00C94F22" w:rsidRPr="00A847B7">
        <w:rPr>
          <w:rFonts w:cstheme="minorHAnsi"/>
        </w:rPr>
        <w:t xml:space="preserve"> devra prendre l’engagement d’utiliser effectivement pendant 7 ans au moins l’investissement dans le cadre de l’activité pour laquelle il a été acquis ou créé.</w:t>
      </w:r>
    </w:p>
    <w:p w14:paraId="22419D71" w14:textId="678E7D2E" w:rsidR="00417074" w:rsidRPr="00A847B7" w:rsidRDefault="00417074" w:rsidP="007874D3">
      <w:pPr>
        <w:rPr>
          <w:rFonts w:cstheme="minorHAnsi"/>
        </w:rPr>
      </w:pPr>
      <w:r w:rsidRPr="00A847B7">
        <w:rPr>
          <w:rFonts w:cstheme="minorHAnsi"/>
        </w:rPr>
        <w:t xml:space="preserve">Cet engagement est porté à 15 ans pour les investissements consistant en la construction, la rénovation ou la réhabilitation d’hôtels, de résidences de tourisme </w:t>
      </w:r>
      <w:r w:rsidR="008A034C" w:rsidRPr="00A847B7">
        <w:rPr>
          <w:rFonts w:cstheme="minorHAnsi"/>
        </w:rPr>
        <w:t>ou de villages de vacances.</w:t>
      </w:r>
    </w:p>
    <w:p w14:paraId="7F1B4C58" w14:textId="48108BD2" w:rsidR="00F86C43" w:rsidRPr="00A847B7" w:rsidRDefault="00F86C43" w:rsidP="007874D3">
      <w:pPr>
        <w:rPr>
          <w:rFonts w:cstheme="minorHAnsi"/>
        </w:rPr>
      </w:pPr>
      <w:r w:rsidRPr="00A847B7">
        <w:rPr>
          <w:rFonts w:cstheme="minorHAnsi"/>
        </w:rPr>
        <w:t>La Loi de Finances pour 2021 prévoit que le non-respect, par l’entreprise locataire ou bénéficiaire des souscriptions, de l’engagement d’utiliser l’investissement réalisé dans le cadre de l’activité pour laquelle il a été acquis ou créé, l’expose au paiement d’une amende égale à 60 % du montant de l’avantage obtenu.</w:t>
      </w:r>
    </w:p>
    <w:p w14:paraId="083B9BD1" w14:textId="4969F26C" w:rsidR="00C01141" w:rsidRPr="00A847B7" w:rsidRDefault="00C01141" w:rsidP="00B920F1">
      <w:pPr>
        <w:rPr>
          <w:rFonts w:cstheme="minorHAnsi"/>
        </w:rPr>
      </w:pPr>
      <w:r w:rsidRPr="00A847B7">
        <w:rPr>
          <w:rFonts w:cstheme="minorHAnsi"/>
        </w:rPr>
        <w:t>Lorsque l'investissement est réalisé par une société</w:t>
      </w:r>
      <w:r w:rsidR="00E86DFA" w:rsidRPr="00A847B7">
        <w:rPr>
          <w:rFonts w:cstheme="minorHAnsi"/>
        </w:rPr>
        <w:t>, un groupement d’intérêt économique (GIE)</w:t>
      </w:r>
      <w:r w:rsidRPr="00A847B7">
        <w:rPr>
          <w:rFonts w:cstheme="minorHAnsi"/>
        </w:rPr>
        <w:t xml:space="preserve"> ou un groupement </w:t>
      </w:r>
      <w:r w:rsidR="00E86DFA" w:rsidRPr="00A847B7">
        <w:rPr>
          <w:rFonts w:cstheme="minorHAnsi"/>
        </w:rPr>
        <w:t>européen d’intérêt économique (GEIE)</w:t>
      </w:r>
      <w:r w:rsidRPr="00A847B7">
        <w:rPr>
          <w:rFonts w:cstheme="minorHAnsi"/>
        </w:rPr>
        <w:t xml:space="preserve"> les associés ou membres doivent, </w:t>
      </w:r>
      <w:r w:rsidR="00E86DFA" w:rsidRPr="00A847B7">
        <w:rPr>
          <w:rFonts w:cstheme="minorHAnsi"/>
        </w:rPr>
        <w:t>entre autres conditions</w:t>
      </w:r>
      <w:r w:rsidRPr="00A847B7">
        <w:rPr>
          <w:rFonts w:cstheme="minorHAnsi"/>
        </w:rPr>
        <w:t xml:space="preserve">, conserver les parts de cette société ou de ce groupement pendant un délai de </w:t>
      </w:r>
      <w:r w:rsidR="006B6A2B">
        <w:rPr>
          <w:rFonts w:cstheme="minorHAnsi"/>
        </w:rPr>
        <w:t>5</w:t>
      </w:r>
      <w:r w:rsidR="006B6A2B" w:rsidRPr="00A847B7">
        <w:rPr>
          <w:rFonts w:cstheme="minorHAnsi"/>
        </w:rPr>
        <w:t xml:space="preserve"> </w:t>
      </w:r>
      <w:r w:rsidRPr="00A847B7">
        <w:rPr>
          <w:rFonts w:cstheme="minorHAnsi"/>
        </w:rPr>
        <w:t>ans à compter de la réalisation de l'investissement</w:t>
      </w:r>
      <w:r w:rsidR="00E53A43" w:rsidRPr="00A847B7">
        <w:rPr>
          <w:rFonts w:cstheme="minorHAnsi"/>
        </w:rPr>
        <w:t>, ou, à compter du 1</w:t>
      </w:r>
      <w:r w:rsidR="00E53A43" w:rsidRPr="00A847B7">
        <w:rPr>
          <w:rFonts w:cstheme="minorHAnsi"/>
          <w:vertAlign w:val="superscript"/>
        </w:rPr>
        <w:t>er</w:t>
      </w:r>
      <w:r w:rsidR="00E53A43" w:rsidRPr="00A847B7">
        <w:rPr>
          <w:rFonts w:cstheme="minorHAnsi"/>
        </w:rPr>
        <w:t xml:space="preserve"> janvier 2022, </w:t>
      </w:r>
      <w:r w:rsidR="00B920F1" w:rsidRPr="00A847B7">
        <w:rPr>
          <w:rFonts w:cstheme="minorHAnsi"/>
        </w:rPr>
        <w:t>pendant la durée normale d’utilisation</w:t>
      </w:r>
      <w:r w:rsidRPr="00A847B7">
        <w:rPr>
          <w:rFonts w:cstheme="minorHAnsi"/>
        </w:rPr>
        <w:t xml:space="preserve"> de </w:t>
      </w:r>
      <w:r w:rsidR="00B920F1" w:rsidRPr="00A847B7">
        <w:rPr>
          <w:rFonts w:cstheme="minorHAnsi"/>
        </w:rPr>
        <w:t>l’investissement si elle est inférieure</w:t>
      </w:r>
      <w:r w:rsidRPr="00A847B7">
        <w:rPr>
          <w:rFonts w:cstheme="minorHAnsi"/>
        </w:rPr>
        <w:t xml:space="preserve">. </w:t>
      </w:r>
    </w:p>
    <w:p w14:paraId="19C91575" w14:textId="194CC080" w:rsidR="00F63506" w:rsidRPr="00A847B7" w:rsidRDefault="00D354CA" w:rsidP="00F63506">
      <w:pPr>
        <w:rPr>
          <w:rFonts w:cstheme="minorHAnsi"/>
        </w:rPr>
      </w:pPr>
      <w:r w:rsidRPr="00A847B7">
        <w:rPr>
          <w:rFonts w:cstheme="minorHAnsi"/>
        </w:rPr>
        <w:t>A défaut, ils doivent ajouter à leur résultat imposable de l'exercice de cession le montant des déductions qu'ils ont pratiquées</w:t>
      </w:r>
      <w:r w:rsidR="00E05CEC" w:rsidRPr="00A847B7">
        <w:rPr>
          <w:rFonts w:cstheme="minorHAnsi"/>
        </w:rPr>
        <w:t xml:space="preserve">. </w:t>
      </w:r>
    </w:p>
    <w:p w14:paraId="79FBB0CC" w14:textId="44BBA55D" w:rsidR="00E05CEC" w:rsidRPr="00A847B7" w:rsidRDefault="00E65F46" w:rsidP="00D354CA">
      <w:pPr>
        <w:rPr>
          <w:rFonts w:cstheme="minorHAnsi"/>
        </w:rPr>
      </w:pPr>
      <w:r w:rsidRPr="00A847B7">
        <w:rPr>
          <w:rFonts w:cstheme="minorHAnsi"/>
        </w:rPr>
        <w:t xml:space="preserve">Cet aménagement s’applique également </w:t>
      </w:r>
      <w:r w:rsidR="00515473" w:rsidRPr="00A847B7">
        <w:rPr>
          <w:rFonts w:cstheme="minorHAnsi"/>
        </w:rPr>
        <w:t>aux investissements réalisés sous forme de souscription au capital</w:t>
      </w:r>
      <w:r w:rsidR="00846FE7" w:rsidRPr="00A847B7">
        <w:rPr>
          <w:rFonts w:cstheme="minorHAnsi"/>
        </w:rPr>
        <w:t xml:space="preserve"> de société.</w:t>
      </w:r>
    </w:p>
    <w:p w14:paraId="4F13C600" w14:textId="08ED3393" w:rsidR="00F65A9E" w:rsidRPr="00A847B7" w:rsidRDefault="00F65A9E" w:rsidP="00F65A9E">
      <w:pPr>
        <w:rPr>
          <w:rFonts w:cstheme="minorHAnsi"/>
        </w:rPr>
      </w:pPr>
      <w:r w:rsidRPr="00A847B7">
        <w:rPr>
          <w:rFonts w:cstheme="minorHAnsi"/>
        </w:rPr>
        <w:t>Enfin, la Loi de Finances pour 2021 précise que le bénéfice de cet avantage fiscal est subordonné au respect de la règlementation européenne en matière d’aides à l'investissement à finalité régionale.</w:t>
      </w:r>
    </w:p>
    <w:p w14:paraId="7714D44F" w14:textId="555277EF" w:rsidR="00631F10" w:rsidRPr="003A2073" w:rsidRDefault="00631F10" w:rsidP="00EE0687">
      <w:pPr>
        <w:pStyle w:val="Paragraphedeliste"/>
        <w:numPr>
          <w:ilvl w:val="0"/>
          <w:numId w:val="86"/>
        </w:numPr>
        <w:rPr>
          <w:rFonts w:cstheme="minorHAnsi"/>
        </w:rPr>
      </w:pPr>
      <w:r w:rsidRPr="003A2073">
        <w:rPr>
          <w:rFonts w:cstheme="minorHAnsi"/>
          <w:b/>
          <w:bCs/>
          <w:i/>
          <w:iCs/>
          <w:u w:val="single"/>
        </w:rPr>
        <w:lastRenderedPageBreak/>
        <w:t xml:space="preserve">Concernant le crédit d’impôt </w:t>
      </w:r>
      <w:r w:rsidR="00CC2F32" w:rsidRPr="003A2073">
        <w:rPr>
          <w:rFonts w:cstheme="minorHAnsi"/>
          <w:b/>
          <w:bCs/>
          <w:i/>
          <w:iCs/>
          <w:u w:val="single"/>
        </w:rPr>
        <w:t>en faveur des investissements productifs neufs réalisés en Outre-mer (</w:t>
      </w:r>
      <w:r w:rsidR="00CC2F32" w:rsidRPr="00DC20C8">
        <w:rPr>
          <w:rFonts w:cstheme="minorHAnsi"/>
          <w:b/>
          <w:i/>
          <w:u w:val="single"/>
        </w:rPr>
        <w:t>article 244 quater W CGI</w:t>
      </w:r>
      <w:r w:rsidR="00CC2F32" w:rsidRPr="003A2073">
        <w:rPr>
          <w:rFonts w:cstheme="minorHAnsi"/>
          <w:b/>
          <w:bCs/>
          <w:i/>
          <w:iCs/>
          <w:u w:val="single"/>
        </w:rPr>
        <w:t>)</w:t>
      </w:r>
    </w:p>
    <w:p w14:paraId="2664EA5A" w14:textId="008607C2" w:rsidR="006C3DF6" w:rsidRPr="00A847B7" w:rsidRDefault="006C3DF6" w:rsidP="007874D3">
      <w:pPr>
        <w:rPr>
          <w:rFonts w:cstheme="minorHAnsi"/>
        </w:rPr>
      </w:pPr>
      <w:r w:rsidRPr="003A2073">
        <w:rPr>
          <w:rFonts w:cstheme="minorHAnsi"/>
        </w:rPr>
        <w:t>En principe</w:t>
      </w:r>
      <w:r w:rsidR="006F768C" w:rsidRPr="003A2073">
        <w:rPr>
          <w:rFonts w:cstheme="minorHAnsi"/>
        </w:rPr>
        <w:t>, l'investissement</w:t>
      </w:r>
      <w:r w:rsidR="006F768C" w:rsidRPr="00A847B7">
        <w:rPr>
          <w:rFonts w:cstheme="minorHAnsi"/>
        </w:rPr>
        <w:t xml:space="preserve"> ayant ouvert droit au crédit d'impôt doit être affecté, par l'entreprise qui en bénéficie, à sa propre exploitation pendant un délai de cinq ans, décompté à partir de la date de l'acquisition ou de la création du bien. Ce délai est réduit à la durée normale d'utilisation de l'investissement si cette durée est inférieure à </w:t>
      </w:r>
      <w:r w:rsidR="004324FC">
        <w:rPr>
          <w:rFonts w:cstheme="minorHAnsi"/>
        </w:rPr>
        <w:t>5</w:t>
      </w:r>
      <w:r w:rsidR="004324FC" w:rsidRPr="00A847B7">
        <w:rPr>
          <w:rFonts w:cstheme="minorHAnsi"/>
        </w:rPr>
        <w:t xml:space="preserve"> </w:t>
      </w:r>
      <w:r w:rsidR="006F768C" w:rsidRPr="00A847B7">
        <w:rPr>
          <w:rFonts w:cstheme="minorHAnsi"/>
        </w:rPr>
        <w:t>ans</w:t>
      </w:r>
      <w:r w:rsidRPr="00A847B7">
        <w:rPr>
          <w:rFonts w:cstheme="minorHAnsi"/>
        </w:rPr>
        <w:t>.</w:t>
      </w:r>
    </w:p>
    <w:p w14:paraId="50C622F8" w14:textId="4455D78C" w:rsidR="006C3DF6" w:rsidRPr="00A847B7" w:rsidRDefault="004262D0" w:rsidP="007874D3">
      <w:pPr>
        <w:rPr>
          <w:rFonts w:cstheme="minorHAnsi"/>
        </w:rPr>
      </w:pPr>
      <w:r w:rsidRPr="00A847B7">
        <w:rPr>
          <w:rFonts w:cstheme="minorHAnsi"/>
        </w:rPr>
        <w:t>A compter du 1</w:t>
      </w:r>
      <w:r w:rsidRPr="00A847B7">
        <w:rPr>
          <w:rFonts w:cstheme="minorHAnsi"/>
          <w:vertAlign w:val="superscript"/>
        </w:rPr>
        <w:t>er</w:t>
      </w:r>
      <w:r w:rsidRPr="00A847B7">
        <w:rPr>
          <w:rFonts w:cstheme="minorHAnsi"/>
        </w:rPr>
        <w:t xml:space="preserve">janvier 2022, </w:t>
      </w:r>
      <w:r w:rsidR="00A35608" w:rsidRPr="00A847B7">
        <w:rPr>
          <w:rFonts w:cstheme="minorHAnsi"/>
        </w:rPr>
        <w:t>ce délai peut être porté à 7 ans lorsque sa durée normale d’utilisation est égale ou supérieure à 7 ans</w:t>
      </w:r>
      <w:r w:rsidR="00411BB5" w:rsidRPr="00A847B7">
        <w:rPr>
          <w:rFonts w:cstheme="minorHAnsi"/>
        </w:rPr>
        <w:t>.</w:t>
      </w:r>
    </w:p>
    <w:p w14:paraId="24901EE7" w14:textId="30E44DE2" w:rsidR="00411BB5" w:rsidRPr="00A847B7" w:rsidRDefault="00411BB5" w:rsidP="00411BB5">
      <w:pPr>
        <w:rPr>
          <w:rFonts w:cstheme="minorHAnsi"/>
        </w:rPr>
      </w:pPr>
      <w:r w:rsidRPr="00A847B7">
        <w:rPr>
          <w:rFonts w:cstheme="minorHAnsi"/>
        </w:rPr>
        <w:t>Cette nouveauté ne s’appliquera pas à Saint</w:t>
      </w:r>
      <w:r w:rsidR="004324FC">
        <w:rPr>
          <w:rFonts w:cstheme="minorHAnsi"/>
        </w:rPr>
        <w:t>-</w:t>
      </w:r>
      <w:r w:rsidRPr="00A847B7">
        <w:rPr>
          <w:rFonts w:cstheme="minorHAnsi"/>
        </w:rPr>
        <w:t>Martin à compter du 1</w:t>
      </w:r>
      <w:r w:rsidRPr="00A847B7">
        <w:rPr>
          <w:rFonts w:cstheme="minorHAnsi"/>
          <w:vertAlign w:val="superscript"/>
        </w:rPr>
        <w:t>er</w:t>
      </w:r>
      <w:r w:rsidRPr="00A847B7">
        <w:rPr>
          <w:rFonts w:cstheme="minorHAnsi"/>
        </w:rPr>
        <w:t xml:space="preserve"> janvier 2022. Pour les investissements réalisés sur ce territoire, cette mesure s’appliquera à compter d’une date fixée par Décret à paraître, qui ne pourra pas être postérieure de plus de 6 mois à la date de réception, par le Gouvernement, de la réponse de la Commission européenne quant à sa conformité à la réglementation européenne.</w:t>
      </w:r>
    </w:p>
    <w:p w14:paraId="1F3D3D15" w14:textId="54424AF9" w:rsidR="00677179" w:rsidRPr="00A847B7" w:rsidRDefault="00677179" w:rsidP="00411BB5">
      <w:pPr>
        <w:rPr>
          <w:rFonts w:cstheme="minorHAnsi"/>
        </w:rPr>
      </w:pPr>
      <w:r w:rsidRPr="00A847B7">
        <w:rPr>
          <w:rFonts w:cstheme="minorHAnsi"/>
        </w:rPr>
        <w:t xml:space="preserve">Une précision </w:t>
      </w:r>
      <w:r w:rsidR="00595E6C">
        <w:rPr>
          <w:rFonts w:cstheme="minorHAnsi"/>
        </w:rPr>
        <w:t xml:space="preserve">est </w:t>
      </w:r>
      <w:r w:rsidRPr="00A847B7">
        <w:rPr>
          <w:rFonts w:cstheme="minorHAnsi"/>
        </w:rPr>
        <w:t>également apportée concernant les travaux de rénovation ou de réhabilitation d’h</w:t>
      </w:r>
      <w:r w:rsidR="00F23D89" w:rsidRPr="00A847B7">
        <w:rPr>
          <w:rFonts w:cstheme="minorHAnsi"/>
        </w:rPr>
        <w:t>ôtel, de résidence de tourisme ou de village vacances classé</w:t>
      </w:r>
      <w:r w:rsidR="00BD6ECD" w:rsidRPr="00A847B7">
        <w:rPr>
          <w:rFonts w:cstheme="minorHAnsi"/>
        </w:rPr>
        <w:t>s.</w:t>
      </w:r>
    </w:p>
    <w:p w14:paraId="51C60010" w14:textId="418C979E" w:rsidR="00BD6ECD" w:rsidRPr="00A847B7" w:rsidRDefault="00BD6ECD" w:rsidP="00411BB5">
      <w:pPr>
        <w:rPr>
          <w:rFonts w:cstheme="minorHAnsi"/>
        </w:rPr>
      </w:pPr>
      <w:r w:rsidRPr="00A847B7">
        <w:rPr>
          <w:rFonts w:cstheme="minorHAnsi"/>
        </w:rPr>
        <w:t>Pour ce type d’investissement, le crédit d'impôt est assis sur le prix de revient de l'hôtel, de la résidence de tourisme ou du village de vacances classés après réalisation des travaux, diminué du prix de revient de ces mêmes biens avant réalisation des travaux</w:t>
      </w:r>
      <w:r w:rsidR="00637401" w:rsidRPr="00A847B7">
        <w:rPr>
          <w:rFonts w:cstheme="minorHAnsi"/>
        </w:rPr>
        <w:t xml:space="preserve"> et, à compter du 1</w:t>
      </w:r>
      <w:r w:rsidR="00637401" w:rsidRPr="00A847B7">
        <w:rPr>
          <w:rFonts w:cstheme="minorHAnsi"/>
          <w:vertAlign w:val="superscript"/>
        </w:rPr>
        <w:t>er</w:t>
      </w:r>
      <w:r w:rsidR="00637401" w:rsidRPr="00A847B7">
        <w:rPr>
          <w:rFonts w:cstheme="minorHAnsi"/>
        </w:rPr>
        <w:t xml:space="preserve"> janvier 2022 (ou d’une date fixée par Décret pour Saint</w:t>
      </w:r>
      <w:r w:rsidR="00470147">
        <w:rPr>
          <w:rFonts w:cstheme="minorHAnsi"/>
        </w:rPr>
        <w:t>-</w:t>
      </w:r>
      <w:r w:rsidR="00637401" w:rsidRPr="00A847B7">
        <w:rPr>
          <w:rFonts w:cstheme="minorHAnsi"/>
        </w:rPr>
        <w:t>Martin), de la fraction du prix de revient des travaux financés par une aide publique.</w:t>
      </w:r>
    </w:p>
    <w:p w14:paraId="6D33E421" w14:textId="77777777" w:rsidR="00EE0E53" w:rsidRPr="00A847B7" w:rsidRDefault="00EE0E53" w:rsidP="00EE0E53">
      <w:pPr>
        <w:rPr>
          <w:rFonts w:cstheme="minorHAnsi"/>
        </w:rPr>
      </w:pPr>
      <w:r>
        <w:rPr>
          <w:rFonts w:cstheme="minorHAnsi"/>
        </w:rPr>
        <w:t xml:space="preserve">La </w:t>
      </w:r>
      <w:r w:rsidRPr="00A847B7">
        <w:rPr>
          <w:rFonts w:cstheme="minorHAnsi"/>
        </w:rPr>
        <w:t>Loi de Finances pour 2021 précise que le bénéfice de cet avantage fiscal est subordonné au respect de la règlementation européenne en matière d’aides à l'investissement à finalité régionale.</w:t>
      </w:r>
    </w:p>
    <w:p w14:paraId="7AC3CA9C" w14:textId="77777777" w:rsidR="00EE0E53" w:rsidRDefault="00EE0E53" w:rsidP="00EE0E53">
      <w:pPr>
        <w:rPr>
          <w:rFonts w:cstheme="minorHAnsi"/>
        </w:rPr>
      </w:pPr>
      <w:r>
        <w:rPr>
          <w:rFonts w:cstheme="minorHAnsi"/>
        </w:rPr>
        <w:t>Par dérogation, le crédit d’impôt s’applique aux investissements réalisés entre le 1</w:t>
      </w:r>
      <w:r w:rsidRPr="006F5787">
        <w:rPr>
          <w:rFonts w:cstheme="minorHAnsi"/>
          <w:vertAlign w:val="superscript"/>
        </w:rPr>
        <w:t>er</w:t>
      </w:r>
      <w:r>
        <w:rPr>
          <w:rFonts w:cstheme="minorHAnsi"/>
        </w:rPr>
        <w:t xml:space="preserve"> janvier 2021 et le 31 décembre 2022, exploités par des entreprises en difficulté, sous réserve :</w:t>
      </w:r>
    </w:p>
    <w:p w14:paraId="4440AFFE" w14:textId="77777777" w:rsidR="00EE0E53" w:rsidRDefault="00EE0E53" w:rsidP="00EE0687">
      <w:pPr>
        <w:pStyle w:val="Paragraphedeliste"/>
        <w:numPr>
          <w:ilvl w:val="0"/>
          <w:numId w:val="282"/>
        </w:numPr>
        <w:rPr>
          <w:rFonts w:cstheme="minorHAnsi"/>
        </w:rPr>
      </w:pPr>
      <w:r w:rsidRPr="00BA1D1E">
        <w:rPr>
          <w:rFonts w:cstheme="minorHAnsi"/>
        </w:rPr>
        <w:t>qu’il concoure, en complément d’une ou plusieurs aides publiques, à la reprise ou à la restructuration de l’entreprise exploitante dans le cadre d’un plan de reprise ou de restructuration mis en œuvre à l’issue d’une procédure de conciliation ou de sauvegarde</w:t>
      </w:r>
      <w:r>
        <w:rPr>
          <w:rFonts w:cstheme="minorHAnsi"/>
        </w:rPr>
        <w:t> ;</w:t>
      </w:r>
    </w:p>
    <w:p w14:paraId="00AC7DB7" w14:textId="77777777" w:rsidR="00EE0E53" w:rsidRPr="00BA1D1E" w:rsidRDefault="00EE0E53" w:rsidP="00EE0687">
      <w:pPr>
        <w:pStyle w:val="Paragraphedeliste"/>
        <w:numPr>
          <w:ilvl w:val="0"/>
          <w:numId w:val="282"/>
        </w:numPr>
        <w:rPr>
          <w:rFonts w:cstheme="minorHAnsi"/>
        </w:rPr>
      </w:pPr>
      <w:r>
        <w:rPr>
          <w:rFonts w:cstheme="minorHAnsi"/>
        </w:rPr>
        <w:t>qu’il fasse l’objet d’une décision individuelle de la Commission européenne autorisant l’aide fiscale.</w:t>
      </w:r>
    </w:p>
    <w:p w14:paraId="29E5904F" w14:textId="77777777" w:rsidR="006F768C" w:rsidRPr="00A847B7" w:rsidRDefault="006F768C" w:rsidP="007874D3">
      <w:pPr>
        <w:rPr>
          <w:rFonts w:cstheme="minorHAnsi"/>
        </w:rPr>
      </w:pPr>
    </w:p>
    <w:p w14:paraId="2E629125" w14:textId="45771A42" w:rsidR="00282C25" w:rsidRPr="00A847B7" w:rsidRDefault="00282C25" w:rsidP="00282C25">
      <w:pPr>
        <w:pStyle w:val="Titre3"/>
      </w:pPr>
      <w:bookmarkStart w:id="183" w:name="_Toc60781088"/>
      <w:r w:rsidRPr="00A847B7">
        <w:t xml:space="preserve">Slide </w:t>
      </w:r>
      <w:r w:rsidR="00095FB5">
        <w:t>123</w:t>
      </w:r>
      <w:r w:rsidRPr="00A847B7">
        <w:t xml:space="preserve"> : </w:t>
      </w:r>
      <w:r w:rsidR="00EC78BF" w:rsidRPr="00A847B7">
        <w:t xml:space="preserve">Dispositif Girardin </w:t>
      </w:r>
      <w:r w:rsidR="008851C1" w:rsidRPr="00A847B7">
        <w:t xml:space="preserve">: une nouvelle réduction d’impôt pour </w:t>
      </w:r>
      <w:r w:rsidR="007E7A4D" w:rsidRPr="00A847B7">
        <w:t xml:space="preserve">les investissements </w:t>
      </w:r>
      <w:r w:rsidR="006466BC" w:rsidRPr="00A847B7">
        <w:t>productifs neufs réalisés par les entreprises</w:t>
      </w:r>
      <w:r w:rsidR="00110C6B" w:rsidRPr="00A847B7">
        <w:t xml:space="preserve"> soumises à l’IS</w:t>
      </w:r>
      <w:bookmarkEnd w:id="183"/>
    </w:p>
    <w:p w14:paraId="2CAA5989" w14:textId="26F45739" w:rsidR="00A474C0" w:rsidRPr="00A847B7" w:rsidRDefault="009366B6" w:rsidP="00FE7126">
      <w:r w:rsidRPr="004F587E">
        <w:rPr>
          <w:u w:val="single"/>
        </w:rPr>
        <w:t xml:space="preserve">Source </w:t>
      </w:r>
      <w:r w:rsidRPr="00A847B7">
        <w:t>:</w:t>
      </w:r>
      <w:r w:rsidR="00A474C0" w:rsidRPr="00DC20C8">
        <w:t xml:space="preserve"> Loi de Finances pour 2021, article </w:t>
      </w:r>
      <w:r w:rsidR="00A06AC4" w:rsidRPr="00A06AC4">
        <w:t>108</w:t>
      </w:r>
    </w:p>
    <w:p w14:paraId="1CE64566" w14:textId="59A57C79" w:rsidR="00F975B3" w:rsidRPr="00A847B7" w:rsidRDefault="00DE2132" w:rsidP="00FE7126">
      <w:pPr>
        <w:rPr>
          <w:rFonts w:cstheme="minorHAnsi"/>
        </w:rPr>
      </w:pPr>
      <w:r w:rsidRPr="00A847B7">
        <w:t>La Loi de Finances pour 2021 créé, pour les entreprises soumises à l’impôt sur les société</w:t>
      </w:r>
      <w:r w:rsidR="006E4A75" w:rsidRPr="00A847B7">
        <w:t>s (IS)</w:t>
      </w:r>
      <w:r w:rsidRPr="00A847B7">
        <w:t>, une nouvelle réduction d’impôt à raison des investissements productifs neufs réalisé</w:t>
      </w:r>
      <w:r w:rsidR="007C2D32" w:rsidRPr="00A847B7">
        <w:t>s</w:t>
      </w:r>
      <w:r w:rsidR="00F975B3" w:rsidRPr="00A847B7">
        <w:t xml:space="preserve"> à Saint-Pierre-et-Miquelon, en Nouvelle-Calédonie, en Polynésie française, à Saint-Martin, à Saint-Barthélemy, dans les îles Wallis et Futuna et les Terres australes et antarctiques française</w:t>
      </w:r>
      <w:r w:rsidR="003D66B1" w:rsidRPr="00A847B7">
        <w:t xml:space="preserve">, applicable </w:t>
      </w:r>
      <w:r w:rsidR="00E8753D" w:rsidRPr="00A847B7">
        <w:t>du</w:t>
      </w:r>
      <w:r w:rsidR="003D66B1" w:rsidRPr="00A847B7">
        <w:t xml:space="preserve"> 1</w:t>
      </w:r>
      <w:r w:rsidR="003D66B1" w:rsidRPr="00A847B7">
        <w:rPr>
          <w:vertAlign w:val="superscript"/>
        </w:rPr>
        <w:t>er</w:t>
      </w:r>
      <w:r w:rsidR="003D66B1" w:rsidRPr="00A847B7">
        <w:t xml:space="preserve"> janvier 2022</w:t>
      </w:r>
      <w:r w:rsidR="00E8753D" w:rsidRPr="00A847B7">
        <w:t xml:space="preserve"> et jusqu’au 31 décembre 2025</w:t>
      </w:r>
      <w:r w:rsidR="003D66B1" w:rsidRPr="00A847B7">
        <w:t>, à l’exception de Saint-Martin où elle s’appliquera</w:t>
      </w:r>
      <w:r w:rsidR="00F975B3" w:rsidRPr="00A847B7">
        <w:t xml:space="preserve"> </w:t>
      </w:r>
      <w:r w:rsidR="003D66B1" w:rsidRPr="00A847B7">
        <w:rPr>
          <w:rFonts w:cstheme="minorHAnsi"/>
        </w:rPr>
        <w:t>à compter d’une date fixée par Décret à paraître, qui ne pourra pas être postérieure de plus de 6 mois à la date de réception, par le Gouvernement, de la réponse de la Commission européenne quant à sa conformité à la réglementation européenne.</w:t>
      </w:r>
    </w:p>
    <w:p w14:paraId="6AF258FA" w14:textId="6CFFF578" w:rsidR="003D66B1" w:rsidRPr="00A847B7" w:rsidRDefault="00A63F2B" w:rsidP="00FE7126">
      <w:r w:rsidRPr="00A847B7">
        <w:rPr>
          <w:rFonts w:cstheme="minorHAnsi"/>
        </w:rPr>
        <w:lastRenderedPageBreak/>
        <w:t>Cette réduction d’impôt vient re</w:t>
      </w:r>
      <w:r w:rsidR="006E4A75" w:rsidRPr="00A847B7">
        <w:rPr>
          <w:rFonts w:cstheme="minorHAnsi"/>
        </w:rPr>
        <w:t>mplacer la déduction fiscale, ouverte aux entreprises soumises à l’IS réalisant, au titre de leur dernier exercice clos, un chiffre d'affaires inférieur à 20 M€</w:t>
      </w:r>
      <w:r w:rsidR="0004530F" w:rsidRPr="00A847B7">
        <w:rPr>
          <w:rFonts w:cstheme="minorHAnsi"/>
        </w:rPr>
        <w:t>, pour les investissements réalisés à Saint-Pierre-et-Miquelon, en Nouvelle-Calédonie, en Polynésie française, à Saint-Martin, à Saint-Barthélemy, dans les îles Wallis et Futuna et les Terres australes et antarctiques françaises.</w:t>
      </w:r>
    </w:p>
    <w:p w14:paraId="3EE1D45A" w14:textId="3A6C69A5" w:rsidR="0096328E" w:rsidRPr="00A847B7" w:rsidRDefault="002C4BC3" w:rsidP="00EE0687">
      <w:pPr>
        <w:pStyle w:val="Paragraphedeliste"/>
        <w:numPr>
          <w:ilvl w:val="0"/>
          <w:numId w:val="86"/>
        </w:numPr>
        <w:rPr>
          <w:rFonts w:cstheme="minorHAnsi"/>
        </w:rPr>
      </w:pPr>
      <w:r w:rsidRPr="00A847B7">
        <w:rPr>
          <w:rFonts w:cstheme="minorHAnsi"/>
          <w:b/>
          <w:bCs/>
          <w:i/>
          <w:iCs/>
          <w:u w:val="single"/>
        </w:rPr>
        <w:t xml:space="preserve">Conditions </w:t>
      </w:r>
      <w:r w:rsidR="00D14A0C" w:rsidRPr="00A847B7">
        <w:rPr>
          <w:rFonts w:cstheme="minorHAnsi"/>
          <w:b/>
          <w:bCs/>
          <w:i/>
          <w:iCs/>
          <w:u w:val="single"/>
        </w:rPr>
        <w:t>d’application</w:t>
      </w:r>
    </w:p>
    <w:p w14:paraId="7EADF54F" w14:textId="41247C55" w:rsidR="00565CA5" w:rsidRPr="00A847B7" w:rsidRDefault="008F2B52" w:rsidP="001722E0">
      <w:pPr>
        <w:rPr>
          <w:rFonts w:cstheme="minorHAnsi"/>
        </w:rPr>
      </w:pPr>
      <w:r w:rsidRPr="00A847B7">
        <w:rPr>
          <w:rFonts w:cstheme="minorHAnsi"/>
        </w:rPr>
        <w:t>Comme pour tout avantage fiscal, de nombreuses conditions sont à remplir. Ainsi</w:t>
      </w:r>
      <w:r w:rsidR="001722E0" w:rsidRPr="00A847B7">
        <w:rPr>
          <w:rFonts w:cstheme="minorHAnsi"/>
        </w:rPr>
        <w:t xml:space="preserve">, </w:t>
      </w:r>
      <w:r w:rsidR="00565CA5" w:rsidRPr="00A847B7">
        <w:rPr>
          <w:rFonts w:cstheme="minorHAnsi"/>
        </w:rPr>
        <w:t>l</w:t>
      </w:r>
      <w:r w:rsidR="00110143" w:rsidRPr="00A847B7">
        <w:rPr>
          <w:rFonts w:cstheme="minorHAnsi"/>
        </w:rPr>
        <w:t xml:space="preserve">es investissements </w:t>
      </w:r>
      <w:r w:rsidR="001722E0" w:rsidRPr="00A847B7">
        <w:rPr>
          <w:rFonts w:cstheme="minorHAnsi"/>
        </w:rPr>
        <w:t>doivent être</w:t>
      </w:r>
      <w:r w:rsidR="00110143" w:rsidRPr="00A847B7">
        <w:rPr>
          <w:rFonts w:cstheme="minorHAnsi"/>
        </w:rPr>
        <w:t xml:space="preserve"> mis à la disposition d’une entreprise dans le cadre d’un contrat de location revêtant un caractère commercial et conclu pour une durée au moins égale à </w:t>
      </w:r>
      <w:r w:rsidR="00565CA5" w:rsidRPr="00A847B7">
        <w:rPr>
          <w:rFonts w:cstheme="minorHAnsi"/>
        </w:rPr>
        <w:t>5</w:t>
      </w:r>
      <w:r w:rsidR="00110143" w:rsidRPr="00A847B7">
        <w:rPr>
          <w:rFonts w:cstheme="minorHAnsi"/>
        </w:rPr>
        <w:t xml:space="preserve"> ans ou pour la durée normale d’utilisation du bien loué si elle est inférieure</w:t>
      </w:r>
      <w:r w:rsidR="001722E0" w:rsidRPr="00A847B7">
        <w:rPr>
          <w:rFonts w:cstheme="minorHAnsi"/>
        </w:rPr>
        <w:t>.</w:t>
      </w:r>
    </w:p>
    <w:p w14:paraId="296DDC76" w14:textId="34CF1E4C" w:rsidR="00EF38FC" w:rsidRPr="00A847B7" w:rsidRDefault="001722E0" w:rsidP="001722E0">
      <w:pPr>
        <w:rPr>
          <w:rFonts w:cstheme="minorHAnsi"/>
        </w:rPr>
      </w:pPr>
      <w:r w:rsidRPr="00A847B7">
        <w:rPr>
          <w:rFonts w:cstheme="minorHAnsi"/>
        </w:rPr>
        <w:t>2</w:t>
      </w:r>
      <w:r w:rsidRPr="00A847B7">
        <w:rPr>
          <w:rFonts w:cstheme="minorHAnsi"/>
          <w:vertAlign w:val="superscript"/>
        </w:rPr>
        <w:t>ème</w:t>
      </w:r>
      <w:r w:rsidRPr="00A847B7">
        <w:rPr>
          <w:rFonts w:cstheme="minorHAnsi"/>
        </w:rPr>
        <w:t xml:space="preserve"> condition, </w:t>
      </w:r>
      <w:r w:rsidR="00565CA5" w:rsidRPr="00A847B7">
        <w:rPr>
          <w:rFonts w:cstheme="minorHAnsi"/>
        </w:rPr>
        <w:t>l</w:t>
      </w:r>
      <w:r w:rsidR="00110143" w:rsidRPr="00A847B7">
        <w:rPr>
          <w:rFonts w:cstheme="minorHAnsi"/>
        </w:rPr>
        <w:t xml:space="preserve">es investissements </w:t>
      </w:r>
      <w:r w:rsidRPr="00A847B7">
        <w:rPr>
          <w:rFonts w:cstheme="minorHAnsi"/>
        </w:rPr>
        <w:t>doivent être</w:t>
      </w:r>
      <w:r w:rsidR="00110143" w:rsidRPr="00A847B7">
        <w:rPr>
          <w:rFonts w:cstheme="minorHAnsi"/>
        </w:rPr>
        <w:t xml:space="preserve"> exploités par l’entreprise locataire pour l’exercice d’une activité ne relevant pas de l’un des secteurs </w:t>
      </w:r>
      <w:r w:rsidR="00EF38FC" w:rsidRPr="00A847B7">
        <w:rPr>
          <w:rFonts w:cstheme="minorHAnsi"/>
        </w:rPr>
        <w:t>suivants :</w:t>
      </w:r>
    </w:p>
    <w:p w14:paraId="01F39772" w14:textId="309EEE12" w:rsidR="00EF38FC" w:rsidRPr="00A847B7" w:rsidRDefault="00EF38FC" w:rsidP="00EE0687">
      <w:pPr>
        <w:pStyle w:val="Paragraphedeliste"/>
        <w:numPr>
          <w:ilvl w:val="0"/>
          <w:numId w:val="162"/>
        </w:numPr>
        <w:rPr>
          <w:rFonts w:cstheme="minorHAnsi"/>
        </w:rPr>
      </w:pPr>
      <w:r w:rsidRPr="00A847B7">
        <w:rPr>
          <w:rFonts w:cstheme="minorHAnsi"/>
        </w:rPr>
        <w:t>commerce ;</w:t>
      </w:r>
    </w:p>
    <w:p w14:paraId="6A27DF95" w14:textId="700A861C" w:rsidR="00EF38FC" w:rsidRPr="00A847B7" w:rsidRDefault="00EF38FC" w:rsidP="00EE0687">
      <w:pPr>
        <w:pStyle w:val="Paragraphedeliste"/>
        <w:numPr>
          <w:ilvl w:val="0"/>
          <w:numId w:val="162"/>
        </w:numPr>
        <w:rPr>
          <w:rFonts w:cstheme="minorHAnsi"/>
        </w:rPr>
      </w:pPr>
      <w:r w:rsidRPr="00A847B7">
        <w:rPr>
          <w:rFonts w:cstheme="minorHAnsi"/>
        </w:rPr>
        <w:t>cafés, débits de tabac et débits de boisson ainsi que la restauration, à l'exception des restaurants dont le dirigeant ou un salarié est titulaire du titre de maître-restaurateur et qui ont été contrôlés dans le cadre de la délivrance de ce titre ainsi que, le cas échéant, des restaurants de tourisme classés</w:t>
      </w:r>
      <w:r w:rsidR="00877B67">
        <w:rPr>
          <w:rFonts w:cstheme="minorHAnsi"/>
        </w:rPr>
        <w:t xml:space="preserve"> </w:t>
      </w:r>
      <w:r w:rsidRPr="00A847B7">
        <w:rPr>
          <w:rFonts w:cstheme="minorHAnsi"/>
        </w:rPr>
        <w:t>;</w:t>
      </w:r>
    </w:p>
    <w:p w14:paraId="5F9D2672" w14:textId="6303C823" w:rsidR="00EF38FC" w:rsidRPr="00A847B7" w:rsidRDefault="00EF38FC" w:rsidP="00EE0687">
      <w:pPr>
        <w:pStyle w:val="Paragraphedeliste"/>
        <w:numPr>
          <w:ilvl w:val="0"/>
          <w:numId w:val="162"/>
        </w:numPr>
        <w:rPr>
          <w:rFonts w:cstheme="minorHAnsi"/>
        </w:rPr>
      </w:pPr>
      <w:r w:rsidRPr="00A847B7">
        <w:rPr>
          <w:rFonts w:cstheme="minorHAnsi"/>
        </w:rPr>
        <w:t>conseils ou expertise ;</w:t>
      </w:r>
    </w:p>
    <w:p w14:paraId="3D708073" w14:textId="72EECD7C" w:rsidR="00EF38FC" w:rsidRPr="00A847B7" w:rsidRDefault="00EF38FC" w:rsidP="00EE0687">
      <w:pPr>
        <w:pStyle w:val="Paragraphedeliste"/>
        <w:numPr>
          <w:ilvl w:val="0"/>
          <w:numId w:val="162"/>
        </w:numPr>
        <w:rPr>
          <w:rFonts w:cstheme="minorHAnsi"/>
        </w:rPr>
      </w:pPr>
      <w:r w:rsidRPr="00A847B7">
        <w:rPr>
          <w:rFonts w:cstheme="minorHAnsi"/>
        </w:rPr>
        <w:t>éducation, santé et action sociale ;</w:t>
      </w:r>
    </w:p>
    <w:p w14:paraId="3A158846" w14:textId="7A46FC6B" w:rsidR="00EF38FC" w:rsidRPr="00A847B7" w:rsidRDefault="00EF38FC" w:rsidP="00EE0687">
      <w:pPr>
        <w:pStyle w:val="Paragraphedeliste"/>
        <w:numPr>
          <w:ilvl w:val="0"/>
          <w:numId w:val="162"/>
        </w:numPr>
        <w:rPr>
          <w:rFonts w:cstheme="minorHAnsi"/>
        </w:rPr>
      </w:pPr>
      <w:r w:rsidRPr="00A847B7">
        <w:rPr>
          <w:rFonts w:cstheme="minorHAnsi"/>
        </w:rPr>
        <w:t>banque, finance et assurance ;</w:t>
      </w:r>
    </w:p>
    <w:p w14:paraId="63133CFE" w14:textId="5E0ECD41" w:rsidR="00EF38FC" w:rsidRPr="00A847B7" w:rsidRDefault="00EF38FC" w:rsidP="00EE0687">
      <w:pPr>
        <w:pStyle w:val="Paragraphedeliste"/>
        <w:numPr>
          <w:ilvl w:val="0"/>
          <w:numId w:val="162"/>
        </w:numPr>
        <w:rPr>
          <w:rFonts w:cstheme="minorHAnsi"/>
        </w:rPr>
      </w:pPr>
      <w:r w:rsidRPr="00A847B7">
        <w:rPr>
          <w:rFonts w:cstheme="minorHAnsi"/>
        </w:rPr>
        <w:t>toutes activités immobilières ;</w:t>
      </w:r>
    </w:p>
    <w:p w14:paraId="50F69710" w14:textId="742164C7" w:rsidR="00EF38FC" w:rsidRPr="00A847B7" w:rsidRDefault="00EF38FC" w:rsidP="00EE0687">
      <w:pPr>
        <w:pStyle w:val="Paragraphedeliste"/>
        <w:numPr>
          <w:ilvl w:val="0"/>
          <w:numId w:val="162"/>
        </w:numPr>
        <w:rPr>
          <w:rFonts w:cstheme="minorHAnsi"/>
        </w:rPr>
      </w:pPr>
      <w:r w:rsidRPr="00A847B7">
        <w:rPr>
          <w:rFonts w:cstheme="minorHAnsi"/>
        </w:rPr>
        <w:t>navigation de croisière, réparation automobile, location sans opérateurs, à l'exception de la location directe de navires de plaisance ou au profit des personnes physiques utilisant pour une durée n'excédant pas deux mois des véhicules de tourisme ;</w:t>
      </w:r>
    </w:p>
    <w:p w14:paraId="7C1E3EF5" w14:textId="53E5DEA6" w:rsidR="00EF38FC" w:rsidRPr="00A847B7" w:rsidRDefault="00EF38FC" w:rsidP="00EE0687">
      <w:pPr>
        <w:pStyle w:val="Paragraphedeliste"/>
        <w:numPr>
          <w:ilvl w:val="0"/>
          <w:numId w:val="162"/>
        </w:numPr>
        <w:rPr>
          <w:rFonts w:cstheme="minorHAnsi"/>
        </w:rPr>
      </w:pPr>
      <w:r w:rsidRPr="00A847B7">
        <w:rPr>
          <w:rFonts w:cstheme="minorHAnsi"/>
        </w:rPr>
        <w:t>services fournis aux entreprises, à l'exception de la maintenance, des activités de nettoyage et de conditionnement à façon et des centres d'appel ;</w:t>
      </w:r>
    </w:p>
    <w:p w14:paraId="6426CAC7" w14:textId="1B237CAA" w:rsidR="00EF38FC" w:rsidRPr="00A847B7" w:rsidRDefault="00EF38FC" w:rsidP="00EE0687">
      <w:pPr>
        <w:pStyle w:val="Paragraphedeliste"/>
        <w:numPr>
          <w:ilvl w:val="0"/>
          <w:numId w:val="162"/>
        </w:numPr>
        <w:rPr>
          <w:rFonts w:cstheme="minorHAnsi"/>
        </w:rPr>
      </w:pPr>
      <w:r w:rsidRPr="00A847B7">
        <w:rPr>
          <w:rFonts w:cstheme="minorHAnsi"/>
        </w:rPr>
        <w:t>activités de loisirs, sportives et culturelles, à l'exception, d'une part, de celles qui s'intègrent directement et à titre principal à une activité hôtelière ou touristique et ne consistent pas en l'exploitation de jeux de hasard et d'argent et, d'autre part, de la production et de la diffusion audiovisuelles et cinématographiques ;</w:t>
      </w:r>
    </w:p>
    <w:p w14:paraId="4EECAF44" w14:textId="7189549B" w:rsidR="00EF38FC" w:rsidRPr="00A847B7" w:rsidRDefault="00EF38FC" w:rsidP="00EE0687">
      <w:pPr>
        <w:pStyle w:val="Paragraphedeliste"/>
        <w:numPr>
          <w:ilvl w:val="0"/>
          <w:numId w:val="162"/>
        </w:numPr>
        <w:rPr>
          <w:rFonts w:cstheme="minorHAnsi"/>
        </w:rPr>
      </w:pPr>
      <w:r w:rsidRPr="00A847B7">
        <w:rPr>
          <w:rFonts w:cstheme="minorHAnsi"/>
        </w:rPr>
        <w:t>activités associatives ;</w:t>
      </w:r>
    </w:p>
    <w:p w14:paraId="4A4A38CA" w14:textId="40241E07" w:rsidR="00EF38FC" w:rsidRPr="00A847B7" w:rsidRDefault="00EF38FC" w:rsidP="00EE0687">
      <w:pPr>
        <w:pStyle w:val="Paragraphedeliste"/>
        <w:numPr>
          <w:ilvl w:val="0"/>
          <w:numId w:val="162"/>
        </w:numPr>
        <w:rPr>
          <w:rFonts w:cstheme="minorHAnsi"/>
        </w:rPr>
      </w:pPr>
      <w:r w:rsidRPr="00A847B7">
        <w:rPr>
          <w:rFonts w:cstheme="minorHAnsi"/>
        </w:rPr>
        <w:t>activités postales</w:t>
      </w:r>
      <w:r w:rsidR="00AE458F">
        <w:rPr>
          <w:rFonts w:cstheme="minorHAnsi"/>
        </w:rPr>
        <w:t>.</w:t>
      </w:r>
    </w:p>
    <w:p w14:paraId="19D27112" w14:textId="2EAAB5E7" w:rsidR="001722E0" w:rsidRPr="00A847B7" w:rsidRDefault="005A26D6" w:rsidP="00110143">
      <w:pPr>
        <w:rPr>
          <w:rFonts w:cstheme="minorHAnsi"/>
        </w:rPr>
      </w:pPr>
      <w:r w:rsidRPr="00A847B7">
        <w:rPr>
          <w:rFonts w:cstheme="minorHAnsi"/>
        </w:rPr>
        <w:t>Par exception, les activités suivantes ouvrent droit au bénéfice de l’avantage fiscal</w:t>
      </w:r>
      <w:r w:rsidR="005D236B" w:rsidRPr="00A847B7">
        <w:rPr>
          <w:rFonts w:cstheme="minorHAnsi"/>
        </w:rPr>
        <w:t>, toutes conditions par ailleurs remplies</w:t>
      </w:r>
      <w:r w:rsidRPr="00A847B7">
        <w:rPr>
          <w:rFonts w:cstheme="minorHAnsi"/>
        </w:rPr>
        <w:t> :</w:t>
      </w:r>
    </w:p>
    <w:p w14:paraId="58EFAAC8" w14:textId="08A35334" w:rsidR="005A26D6" w:rsidRPr="00A847B7" w:rsidRDefault="005D236B" w:rsidP="00EE0687">
      <w:pPr>
        <w:pStyle w:val="Paragraphedeliste"/>
        <w:numPr>
          <w:ilvl w:val="0"/>
          <w:numId w:val="163"/>
        </w:numPr>
        <w:rPr>
          <w:rFonts w:cstheme="minorHAnsi"/>
        </w:rPr>
      </w:pPr>
      <w:r w:rsidRPr="00A847B7">
        <w:rPr>
          <w:rFonts w:cstheme="minorHAnsi"/>
        </w:rPr>
        <w:t>équipements et opérations de pose de câbles sous-marins de communication desservant pour la première fois la Guadeloupe, la Guyane, la Martinique, La Réunion, Mayotte, la Polynésie française, Saint-Barthélemy, Saint-Martin, Saint-Pierre-et-Miquelon, les îles Wallis et Futuna, la Nouvelle-Calédonie ou les Terres australes et antarctiques françaises lorsque, parmi les options techniques disponibles pour développer les systèmes de communication outre-mer, le choix de cette technologie apparaît le plus pertinent ;</w:t>
      </w:r>
    </w:p>
    <w:p w14:paraId="103037DB" w14:textId="54A13E37" w:rsidR="003033F1" w:rsidRPr="00A847B7" w:rsidRDefault="003033F1" w:rsidP="00EE0687">
      <w:pPr>
        <w:pStyle w:val="Paragraphedeliste"/>
        <w:numPr>
          <w:ilvl w:val="0"/>
          <w:numId w:val="163"/>
        </w:numPr>
        <w:rPr>
          <w:rFonts w:cstheme="minorHAnsi"/>
        </w:rPr>
      </w:pPr>
      <w:r w:rsidRPr="00A847B7">
        <w:rPr>
          <w:rFonts w:cstheme="minorHAnsi"/>
        </w:rPr>
        <w:t xml:space="preserve">navires de croisière neufs d'une capacité maximum de 400 passagers affectés </w:t>
      </w:r>
      <w:r w:rsidRPr="00A847B7">
        <w:t>à la croisière régionale au départ et à l’arrivée des ports de la Guadeloupe, la Guyane, la Martinique, La Réunion, Mayotte, la Polynésie française, Saint-Barthélemy, Saint-Martin, Saint-Pierre-et-Miquelon, des îles Wallis et Futuna ou de la Nouvelle-Calédonie</w:t>
      </w:r>
      <w:r w:rsidRPr="00A847B7">
        <w:rPr>
          <w:rFonts w:cstheme="minorHAnsi"/>
        </w:rPr>
        <w:t>.</w:t>
      </w:r>
    </w:p>
    <w:p w14:paraId="3A24905F" w14:textId="69548BAF" w:rsidR="00110143" w:rsidRPr="00A847B7" w:rsidRDefault="003033F1" w:rsidP="003033F1">
      <w:pPr>
        <w:rPr>
          <w:rFonts w:cstheme="minorHAnsi"/>
        </w:rPr>
      </w:pPr>
      <w:r w:rsidRPr="00A847B7">
        <w:rPr>
          <w:rFonts w:cstheme="minorHAnsi"/>
        </w:rPr>
        <w:lastRenderedPageBreak/>
        <w:t>3</w:t>
      </w:r>
      <w:r w:rsidRPr="00A847B7">
        <w:rPr>
          <w:rFonts w:cstheme="minorHAnsi"/>
          <w:vertAlign w:val="superscript"/>
        </w:rPr>
        <w:t>ème</w:t>
      </w:r>
      <w:r w:rsidRPr="00A847B7">
        <w:rPr>
          <w:rFonts w:cstheme="minorHAnsi"/>
        </w:rPr>
        <w:t xml:space="preserve"> </w:t>
      </w:r>
      <w:r w:rsidR="00D5777B" w:rsidRPr="00A847B7">
        <w:rPr>
          <w:rFonts w:cstheme="minorHAnsi"/>
        </w:rPr>
        <w:t>condition, l</w:t>
      </w:r>
      <w:r w:rsidR="00110143" w:rsidRPr="00A847B7">
        <w:rPr>
          <w:rFonts w:cstheme="minorHAnsi"/>
        </w:rPr>
        <w:t xml:space="preserve">’entreprise locataire aurait pu bénéficier de la déduction </w:t>
      </w:r>
      <w:r w:rsidR="00AE458F">
        <w:rPr>
          <w:rFonts w:cstheme="minorHAnsi"/>
        </w:rPr>
        <w:t xml:space="preserve">fiscale </w:t>
      </w:r>
      <w:r w:rsidR="00110143" w:rsidRPr="00A847B7">
        <w:rPr>
          <w:rFonts w:cstheme="minorHAnsi"/>
        </w:rPr>
        <w:t>prévue</w:t>
      </w:r>
      <w:r w:rsidR="00D5777B" w:rsidRPr="00A847B7">
        <w:rPr>
          <w:rFonts w:cstheme="minorHAnsi"/>
        </w:rPr>
        <w:t xml:space="preserve">, ouverte aux entreprises soumises à l’IS réalisant, au titre de leur dernier exercice clos, un chiffre d'affaires inférieur à 20 M€, pour les investissements réalisés à Saint-Pierre-et-Miquelon, en Nouvelle-Calédonie, en Polynésie française, à Saint-Martin, à Saint-Barthélemy, dans les îles Wallis et Futuna et les Terres australes et antarctiques françaises </w:t>
      </w:r>
      <w:r w:rsidR="00110143" w:rsidRPr="00A847B7">
        <w:rPr>
          <w:rFonts w:cstheme="minorHAnsi"/>
        </w:rPr>
        <w:t>si, imposable en France, elle avait acquis directement le bien.</w:t>
      </w:r>
    </w:p>
    <w:p w14:paraId="27C36980" w14:textId="6B7FA0F2" w:rsidR="00110143" w:rsidRPr="00A847B7" w:rsidRDefault="00110143" w:rsidP="00110143">
      <w:pPr>
        <w:rPr>
          <w:rFonts w:cstheme="minorHAnsi"/>
        </w:rPr>
      </w:pPr>
      <w:r w:rsidRPr="00A847B7">
        <w:rPr>
          <w:rFonts w:cstheme="minorHAnsi"/>
        </w:rPr>
        <w:t xml:space="preserve">L’entreprise propriétaire de l’investissement </w:t>
      </w:r>
      <w:r w:rsidR="001009AC" w:rsidRPr="00A847B7">
        <w:rPr>
          <w:rFonts w:cstheme="minorHAnsi"/>
        </w:rPr>
        <w:t>doit également être</w:t>
      </w:r>
      <w:r w:rsidRPr="00A847B7">
        <w:rPr>
          <w:rFonts w:cstheme="minorHAnsi"/>
        </w:rPr>
        <w:t xml:space="preserve"> exploitée en France métropolitaine ou dans un département d’</w:t>
      </w:r>
      <w:r w:rsidR="00AE458F">
        <w:rPr>
          <w:rFonts w:cstheme="minorHAnsi"/>
        </w:rPr>
        <w:t>O</w:t>
      </w:r>
      <w:r w:rsidRPr="00A847B7">
        <w:rPr>
          <w:rFonts w:cstheme="minorHAnsi"/>
        </w:rPr>
        <w:t>utre-mer</w:t>
      </w:r>
      <w:r w:rsidR="001009AC" w:rsidRPr="00A847B7">
        <w:rPr>
          <w:rFonts w:cstheme="minorHAnsi"/>
        </w:rPr>
        <w:t>.</w:t>
      </w:r>
    </w:p>
    <w:p w14:paraId="0EB316F0" w14:textId="1FD606FE" w:rsidR="00110143" w:rsidRPr="00A847B7" w:rsidRDefault="001009AC" w:rsidP="00110143">
      <w:pPr>
        <w:rPr>
          <w:rFonts w:cstheme="minorHAnsi"/>
        </w:rPr>
      </w:pPr>
      <w:r w:rsidRPr="00A847B7">
        <w:rPr>
          <w:rFonts w:cstheme="minorHAnsi"/>
        </w:rPr>
        <w:t>Enfin, 80 % de</w:t>
      </w:r>
      <w:r w:rsidR="00110143" w:rsidRPr="00A847B7">
        <w:rPr>
          <w:rFonts w:cstheme="minorHAnsi"/>
        </w:rPr>
        <w:t xml:space="preserve"> l’avantage en impôt procuré par la réduction d’impôt pratiquée au titre de l’investissement et par l’imputation du déficit provenant de la location du bien acquis et de la moins-value réalisée lors de la cession de ce bien ou des titres de la société bailleresse sont rétrocédés à l’entreprise locataire sous forme de diminution du loyer et du prix de cession du bien.</w:t>
      </w:r>
    </w:p>
    <w:p w14:paraId="0ABE31C5" w14:textId="66ECE208" w:rsidR="00E23D98" w:rsidRPr="00A847B7" w:rsidRDefault="00E23D98" w:rsidP="00110143">
      <w:pPr>
        <w:rPr>
          <w:rFonts w:cstheme="minorHAnsi"/>
        </w:rPr>
      </w:pPr>
      <w:r w:rsidRPr="00A847B7">
        <w:rPr>
          <w:rFonts w:cstheme="minorHAnsi"/>
        </w:rPr>
        <w:t xml:space="preserve">Notez que la réduction d’impôt s’applique également : </w:t>
      </w:r>
    </w:p>
    <w:p w14:paraId="59F98FFC" w14:textId="200B3ABE" w:rsidR="00E23D98" w:rsidRPr="00A847B7" w:rsidRDefault="00E23D98" w:rsidP="00EE0687">
      <w:pPr>
        <w:pStyle w:val="Paragraphedeliste"/>
        <w:numPr>
          <w:ilvl w:val="0"/>
          <w:numId w:val="164"/>
        </w:numPr>
        <w:rPr>
          <w:rFonts w:cstheme="minorHAnsi"/>
        </w:rPr>
      </w:pPr>
      <w:r w:rsidRPr="00A847B7">
        <w:rPr>
          <w:rFonts w:cstheme="minorHAnsi"/>
        </w:rPr>
        <w:t>aux travaux de rénovation et de réhabilitation d’hôtel, de résidence de tourisme et de village de vacances classés lorsque ces travaux constituent des éléments de l’actif immobilisé ;</w:t>
      </w:r>
    </w:p>
    <w:p w14:paraId="0B2209CD" w14:textId="1A4E6518" w:rsidR="00E23D98" w:rsidRPr="00A847B7" w:rsidRDefault="00E23D98" w:rsidP="00EE0687">
      <w:pPr>
        <w:pStyle w:val="Paragraphedeliste"/>
        <w:numPr>
          <w:ilvl w:val="0"/>
          <w:numId w:val="164"/>
        </w:numPr>
        <w:rPr>
          <w:rFonts w:cstheme="minorHAnsi"/>
        </w:rPr>
      </w:pPr>
      <w:r w:rsidRPr="00A847B7">
        <w:rPr>
          <w:rFonts w:cstheme="minorHAnsi"/>
        </w:rPr>
        <w:t xml:space="preserve">aux investissements affectés plus de </w:t>
      </w:r>
      <w:r w:rsidR="00F77DD4">
        <w:rPr>
          <w:rFonts w:cstheme="minorHAnsi"/>
        </w:rPr>
        <w:t>5</w:t>
      </w:r>
      <w:r w:rsidR="00F77DD4" w:rsidRPr="00A847B7">
        <w:rPr>
          <w:rFonts w:cstheme="minorHAnsi"/>
        </w:rPr>
        <w:t xml:space="preserve"> </w:t>
      </w:r>
      <w:r w:rsidRPr="00A847B7">
        <w:rPr>
          <w:rFonts w:cstheme="minorHAnsi"/>
        </w:rPr>
        <w:t>ans par le concessionnaire à l’exploitation d’une concession de service public local à caractère industriel et commercial et réalisés dans des secteurs éligibles</w:t>
      </w:r>
      <w:r w:rsidR="000145C9" w:rsidRPr="00A847B7">
        <w:rPr>
          <w:rFonts w:cstheme="minorHAnsi"/>
        </w:rPr>
        <w:t> ;</w:t>
      </w:r>
    </w:p>
    <w:p w14:paraId="04F04CDC" w14:textId="5B4F9A08" w:rsidR="000145C9" w:rsidRPr="00A847B7" w:rsidRDefault="000145C9" w:rsidP="00EE0687">
      <w:pPr>
        <w:pStyle w:val="Paragraphedeliste"/>
        <w:numPr>
          <w:ilvl w:val="0"/>
          <w:numId w:val="164"/>
        </w:numPr>
        <w:rPr>
          <w:rFonts w:cstheme="minorHAnsi"/>
        </w:rPr>
      </w:pPr>
      <w:r w:rsidRPr="00A847B7">
        <w:rPr>
          <w:rFonts w:cstheme="minorHAnsi"/>
        </w:rPr>
        <w:t>aux acquisitions ou constructions de logements neufs à usage locatif situés à Saint-Pierre-et-Miquelon, en Nouvelle-Calédonie, en Polynésie française, à Saint-Martin, à Saint-Barthélemy et dans les îles Wallis et Futuna, lorsque les conditions suivantes sont réunies :</w:t>
      </w:r>
    </w:p>
    <w:p w14:paraId="1F5F4134" w14:textId="0988DCCB" w:rsidR="000145C9" w:rsidRPr="00A847B7" w:rsidRDefault="000145C9" w:rsidP="00EE0687">
      <w:pPr>
        <w:pStyle w:val="Paragraphedeliste"/>
        <w:numPr>
          <w:ilvl w:val="1"/>
          <w:numId w:val="164"/>
        </w:numPr>
        <w:rPr>
          <w:rFonts w:cstheme="minorHAnsi"/>
        </w:rPr>
      </w:pPr>
      <w:r w:rsidRPr="00A847B7">
        <w:rPr>
          <w:rFonts w:cstheme="minorHAnsi"/>
        </w:rPr>
        <w:t>pour les investissements réalisés dans le secteur du logement intermédiaire :</w:t>
      </w:r>
    </w:p>
    <w:p w14:paraId="53693588" w14:textId="076ED808" w:rsidR="000145C9" w:rsidRPr="00A847B7" w:rsidRDefault="000145C9" w:rsidP="00EE0687">
      <w:pPr>
        <w:pStyle w:val="Paragraphedeliste"/>
        <w:numPr>
          <w:ilvl w:val="2"/>
          <w:numId w:val="164"/>
        </w:numPr>
        <w:rPr>
          <w:rFonts w:cstheme="minorHAnsi"/>
        </w:rPr>
      </w:pPr>
      <w:r w:rsidRPr="00A847B7">
        <w:rPr>
          <w:rFonts w:cstheme="minorHAnsi"/>
        </w:rPr>
        <w:t xml:space="preserve">les logements sont donnés en location nue, dans les 12 mois de leur achèvement ou de leur acquisition si elle est postérieure et pour une durée au moins égale à 5 ans, à une entreprise exploitée </w:t>
      </w:r>
      <w:r w:rsidR="00A25913" w:rsidRPr="00A847B7">
        <w:rPr>
          <w:rFonts w:cstheme="minorHAnsi"/>
        </w:rPr>
        <w:t xml:space="preserve">à </w:t>
      </w:r>
      <w:r w:rsidR="00A25913" w:rsidRPr="00A847B7">
        <w:t>Saint-Pierre-et-Miquelon, en Nouvelle-Calédonie, en Polynésie française, à Saint-Martin, à Saint-Barthélemy, dans les îles Wallis et Futuna et les Terres australes et antarctiques française</w:t>
      </w:r>
      <w:r w:rsidRPr="00A847B7">
        <w:rPr>
          <w:rFonts w:cstheme="minorHAnsi"/>
        </w:rPr>
        <w:t xml:space="preserve"> ;</w:t>
      </w:r>
    </w:p>
    <w:p w14:paraId="063786E4" w14:textId="25D6F430" w:rsidR="000145C9" w:rsidRPr="00A847B7" w:rsidRDefault="00A25913" w:rsidP="00EE0687">
      <w:pPr>
        <w:pStyle w:val="Paragraphedeliste"/>
        <w:numPr>
          <w:ilvl w:val="2"/>
          <w:numId w:val="164"/>
        </w:numPr>
        <w:rPr>
          <w:rFonts w:cstheme="minorHAnsi"/>
        </w:rPr>
      </w:pPr>
      <w:r w:rsidRPr="00A847B7">
        <w:rPr>
          <w:rFonts w:cstheme="minorHAnsi"/>
        </w:rPr>
        <w:t xml:space="preserve">les </w:t>
      </w:r>
      <w:r w:rsidR="000145C9" w:rsidRPr="00A847B7">
        <w:rPr>
          <w:rFonts w:cstheme="minorHAnsi"/>
        </w:rPr>
        <w:t xml:space="preserve">logements sont donnés en sous-location nue ou meublée par l’entreprise pour une durée au moins égale à </w:t>
      </w:r>
      <w:r w:rsidRPr="00A847B7">
        <w:rPr>
          <w:rFonts w:cstheme="minorHAnsi"/>
        </w:rPr>
        <w:t>5</w:t>
      </w:r>
      <w:r w:rsidR="000145C9" w:rsidRPr="00A847B7">
        <w:rPr>
          <w:rFonts w:cstheme="minorHAnsi"/>
        </w:rPr>
        <w:t xml:space="preserve"> ans à des personnes physiques qui en font leur résidence principale ;</w:t>
      </w:r>
    </w:p>
    <w:p w14:paraId="1B3E7C32" w14:textId="1436A6FB" w:rsidR="000145C9" w:rsidRPr="00A847B7" w:rsidRDefault="00A25913" w:rsidP="00EE0687">
      <w:pPr>
        <w:pStyle w:val="Paragraphedeliste"/>
        <w:numPr>
          <w:ilvl w:val="2"/>
          <w:numId w:val="164"/>
        </w:numPr>
        <w:rPr>
          <w:rFonts w:cstheme="minorHAnsi"/>
        </w:rPr>
      </w:pPr>
      <w:r w:rsidRPr="00A847B7">
        <w:rPr>
          <w:rFonts w:cstheme="minorHAnsi"/>
        </w:rPr>
        <w:t>le</w:t>
      </w:r>
      <w:r w:rsidR="000145C9" w:rsidRPr="00A847B7">
        <w:rPr>
          <w:rFonts w:cstheme="minorHAnsi"/>
        </w:rPr>
        <w:t xml:space="preserve"> loyer et les ressources du locataire n’excèdent pas des plafonds fixés par </w:t>
      </w:r>
      <w:r w:rsidRPr="00A847B7">
        <w:rPr>
          <w:rFonts w:cstheme="minorHAnsi"/>
        </w:rPr>
        <w:t>D</w:t>
      </w:r>
      <w:r w:rsidR="000145C9" w:rsidRPr="00A847B7">
        <w:rPr>
          <w:rFonts w:cstheme="minorHAnsi"/>
        </w:rPr>
        <w:t>écret</w:t>
      </w:r>
      <w:r w:rsidRPr="00A847B7">
        <w:rPr>
          <w:rFonts w:cstheme="minorHAnsi"/>
        </w:rPr>
        <w:t xml:space="preserve"> (à paraître)</w:t>
      </w:r>
      <w:r w:rsidR="000145C9" w:rsidRPr="00A847B7">
        <w:rPr>
          <w:rFonts w:cstheme="minorHAnsi"/>
        </w:rPr>
        <w:t xml:space="preserve"> ;</w:t>
      </w:r>
    </w:p>
    <w:p w14:paraId="472F59D0" w14:textId="12F68B79" w:rsidR="000145C9" w:rsidRPr="00A847B7" w:rsidRDefault="00A25913" w:rsidP="00EE0687">
      <w:pPr>
        <w:pStyle w:val="Paragraphedeliste"/>
        <w:numPr>
          <w:ilvl w:val="2"/>
          <w:numId w:val="164"/>
        </w:numPr>
        <w:rPr>
          <w:rFonts w:cstheme="minorHAnsi"/>
        </w:rPr>
      </w:pPr>
      <w:r w:rsidRPr="00A847B7">
        <w:rPr>
          <w:rFonts w:cstheme="minorHAnsi"/>
        </w:rPr>
        <w:t>un</w:t>
      </w:r>
      <w:r w:rsidR="000145C9" w:rsidRPr="00A847B7">
        <w:rPr>
          <w:rFonts w:cstheme="minorHAnsi"/>
        </w:rPr>
        <w:t xml:space="preserve">e fraction, définie par </w:t>
      </w:r>
      <w:r w:rsidRPr="00A847B7">
        <w:rPr>
          <w:rFonts w:cstheme="minorHAnsi"/>
        </w:rPr>
        <w:t>D</w:t>
      </w:r>
      <w:r w:rsidR="000145C9" w:rsidRPr="00A847B7">
        <w:rPr>
          <w:rFonts w:cstheme="minorHAnsi"/>
        </w:rPr>
        <w:t>écret</w:t>
      </w:r>
      <w:r w:rsidRPr="00A847B7">
        <w:rPr>
          <w:rFonts w:cstheme="minorHAnsi"/>
        </w:rPr>
        <w:t xml:space="preserve"> (à paraître)</w:t>
      </w:r>
      <w:r w:rsidR="000145C9" w:rsidRPr="00A847B7">
        <w:rPr>
          <w:rFonts w:cstheme="minorHAnsi"/>
        </w:rPr>
        <w:t>, du prix de revient d’un ensemble d’investissements portés simultanément à la connaissance du ministre chargé du budget correspond à des dépenses supportées au titre de l’acquisition d’équipements de production d’énergie renouvelable, d’appareils utilisant une source d’énergie renouvelable ou de matériaux d’isolation</w:t>
      </w:r>
      <w:r w:rsidRPr="00A847B7">
        <w:rPr>
          <w:rFonts w:cstheme="minorHAnsi"/>
        </w:rPr>
        <w:t> ; u</w:t>
      </w:r>
      <w:r w:rsidR="000145C9" w:rsidRPr="00A847B7">
        <w:rPr>
          <w:rFonts w:cstheme="minorHAnsi"/>
        </w:rPr>
        <w:t xml:space="preserve">n arrêté </w:t>
      </w:r>
      <w:r w:rsidRPr="00A847B7">
        <w:rPr>
          <w:rFonts w:cstheme="minorHAnsi"/>
        </w:rPr>
        <w:t>fixera</w:t>
      </w:r>
      <w:r w:rsidR="000145C9" w:rsidRPr="00A847B7">
        <w:rPr>
          <w:rFonts w:cstheme="minorHAnsi"/>
        </w:rPr>
        <w:t xml:space="preserve"> la nature des dépenses d’équipements concernées ;</w:t>
      </w:r>
    </w:p>
    <w:p w14:paraId="0A20A80E" w14:textId="0F55449D" w:rsidR="000145C9" w:rsidRPr="00A847B7" w:rsidRDefault="000145C9" w:rsidP="00EE0687">
      <w:pPr>
        <w:pStyle w:val="Paragraphedeliste"/>
        <w:numPr>
          <w:ilvl w:val="2"/>
          <w:numId w:val="164"/>
        </w:numPr>
        <w:rPr>
          <w:rFonts w:cstheme="minorHAnsi"/>
        </w:rPr>
      </w:pPr>
      <w:r w:rsidRPr="00A847B7">
        <w:rPr>
          <w:rFonts w:cstheme="minorHAnsi"/>
        </w:rPr>
        <w:t>80 % de l’avantage en impôt procuré par la réduction d’impôt pratiquée au titre de l’investissement et par l’imputation du déficit provenant de la location du bien acquis et de la moins-value réalisée lors de la cession de ce bien ou des titres de la société bailleresse sont rétrocédés à l’entreprise locataire sous forme de diminution du loyer et du prix de cession du bien</w:t>
      </w:r>
      <w:r w:rsidR="00A25913" w:rsidRPr="00A847B7">
        <w:rPr>
          <w:rFonts w:cstheme="minorHAnsi"/>
        </w:rPr>
        <w:t> ;</w:t>
      </w:r>
    </w:p>
    <w:p w14:paraId="11F4BECA" w14:textId="1C374A15" w:rsidR="00A25913" w:rsidRPr="00A847B7" w:rsidRDefault="00A25913" w:rsidP="00EE0687">
      <w:pPr>
        <w:pStyle w:val="Paragraphedeliste"/>
        <w:numPr>
          <w:ilvl w:val="1"/>
          <w:numId w:val="164"/>
        </w:numPr>
        <w:rPr>
          <w:rFonts w:cstheme="minorHAnsi"/>
        </w:rPr>
      </w:pPr>
      <w:r w:rsidRPr="00A847B7">
        <w:rPr>
          <w:rFonts w:cstheme="minorHAnsi"/>
        </w:rPr>
        <w:t xml:space="preserve">pour les investissements réalisés dans le secteur du logement social : </w:t>
      </w:r>
    </w:p>
    <w:p w14:paraId="2CE87C1E" w14:textId="77777777" w:rsidR="00461E26" w:rsidRPr="00A847B7" w:rsidRDefault="00DE578C" w:rsidP="00EE0687">
      <w:pPr>
        <w:pStyle w:val="Paragraphedeliste"/>
        <w:numPr>
          <w:ilvl w:val="2"/>
          <w:numId w:val="164"/>
        </w:numPr>
        <w:rPr>
          <w:rFonts w:cstheme="minorHAnsi"/>
        </w:rPr>
      </w:pPr>
      <w:r w:rsidRPr="00A847B7">
        <w:rPr>
          <w:rFonts w:cstheme="minorHAnsi"/>
        </w:rPr>
        <w:t>les</w:t>
      </w:r>
      <w:r w:rsidR="00244329" w:rsidRPr="00A847B7">
        <w:rPr>
          <w:rFonts w:cstheme="minorHAnsi"/>
        </w:rPr>
        <w:t xml:space="preserve"> logements sont donnés en location nue, dans les </w:t>
      </w:r>
      <w:r w:rsidRPr="00A847B7">
        <w:rPr>
          <w:rFonts w:cstheme="minorHAnsi"/>
        </w:rPr>
        <w:t>12</w:t>
      </w:r>
      <w:r w:rsidR="00244329" w:rsidRPr="00A847B7">
        <w:rPr>
          <w:rFonts w:cstheme="minorHAnsi"/>
        </w:rPr>
        <w:t xml:space="preserve"> mois de leur achèvement ou de leur acquisition si elle est postérieure et pour une durée au moins égale à </w:t>
      </w:r>
      <w:r w:rsidRPr="00A847B7">
        <w:rPr>
          <w:rFonts w:cstheme="minorHAnsi"/>
        </w:rPr>
        <w:t>5</w:t>
      </w:r>
      <w:r w:rsidR="00244329" w:rsidRPr="00A847B7">
        <w:rPr>
          <w:rFonts w:cstheme="minorHAnsi"/>
        </w:rPr>
        <w:t xml:space="preserve"> ans, à un organisme de logement social agréé conformément à </w:t>
      </w:r>
      <w:r w:rsidR="00244329" w:rsidRPr="00A847B7">
        <w:rPr>
          <w:rFonts w:cstheme="minorHAnsi"/>
        </w:rPr>
        <w:lastRenderedPageBreak/>
        <w:t>la réglementation locale par l’autorité publique compétente</w:t>
      </w:r>
      <w:r w:rsidR="00461E26" w:rsidRPr="00A847B7">
        <w:rPr>
          <w:rFonts w:cstheme="minorHAnsi"/>
        </w:rPr>
        <w:t> ; l</w:t>
      </w:r>
      <w:r w:rsidR="00244329" w:rsidRPr="00A847B7">
        <w:rPr>
          <w:rFonts w:cstheme="minorHAnsi"/>
        </w:rPr>
        <w:t>’opération peut prendre la forme d’un crédit-bail immobilier ;</w:t>
      </w:r>
    </w:p>
    <w:p w14:paraId="5A207845" w14:textId="26FA85E8" w:rsidR="00244329" w:rsidRPr="00A847B7" w:rsidRDefault="00461E26" w:rsidP="00EE0687">
      <w:pPr>
        <w:pStyle w:val="Paragraphedeliste"/>
        <w:numPr>
          <w:ilvl w:val="2"/>
          <w:numId w:val="164"/>
        </w:numPr>
        <w:rPr>
          <w:rFonts w:cstheme="minorHAnsi"/>
        </w:rPr>
      </w:pPr>
      <w:r w:rsidRPr="00A847B7">
        <w:rPr>
          <w:rFonts w:cstheme="minorHAnsi"/>
        </w:rPr>
        <w:t xml:space="preserve">les </w:t>
      </w:r>
      <w:r w:rsidR="00244329" w:rsidRPr="00A847B7">
        <w:rPr>
          <w:rFonts w:cstheme="minorHAnsi"/>
        </w:rPr>
        <w:t xml:space="preserve">logements sont donnés en sous-location nue ou meublée par l’organisme </w:t>
      </w:r>
      <w:r w:rsidR="00C0048B" w:rsidRPr="00A847B7">
        <w:rPr>
          <w:rFonts w:cstheme="minorHAnsi"/>
        </w:rPr>
        <w:t>de logement social</w:t>
      </w:r>
      <w:r w:rsidR="00244329" w:rsidRPr="00A847B7">
        <w:rPr>
          <w:rFonts w:cstheme="minorHAnsi"/>
        </w:rPr>
        <w:t xml:space="preserve"> et pour une durée au moins égale à </w:t>
      </w:r>
      <w:r w:rsidR="00C0048B" w:rsidRPr="00A847B7">
        <w:rPr>
          <w:rFonts w:cstheme="minorHAnsi"/>
        </w:rPr>
        <w:t>5</w:t>
      </w:r>
      <w:r w:rsidR="00244329" w:rsidRPr="00A847B7">
        <w:rPr>
          <w:rFonts w:cstheme="minorHAnsi"/>
        </w:rPr>
        <w:t xml:space="preserve"> ans à des </w:t>
      </w:r>
      <w:r w:rsidR="00DF46B1" w:rsidRPr="00A847B7">
        <w:rPr>
          <w:rFonts w:cstheme="minorHAnsi"/>
        </w:rPr>
        <w:t>particuliers</w:t>
      </w:r>
      <w:r w:rsidR="00244329" w:rsidRPr="00A847B7">
        <w:rPr>
          <w:rFonts w:cstheme="minorHAnsi"/>
        </w:rPr>
        <w:t xml:space="preserve"> qui en font leur résidence principale et dont les ressources n’excèdent pas des plafonds fixés par </w:t>
      </w:r>
      <w:r w:rsidR="00C0048B" w:rsidRPr="00A847B7">
        <w:rPr>
          <w:rFonts w:cstheme="minorHAnsi"/>
        </w:rPr>
        <w:t>D</w:t>
      </w:r>
      <w:r w:rsidR="00244329" w:rsidRPr="00A847B7">
        <w:rPr>
          <w:rFonts w:cstheme="minorHAnsi"/>
        </w:rPr>
        <w:t xml:space="preserve">écret </w:t>
      </w:r>
      <w:r w:rsidR="00C0048B" w:rsidRPr="00A847B7">
        <w:rPr>
          <w:rFonts w:cstheme="minorHAnsi"/>
        </w:rPr>
        <w:t xml:space="preserve">à paraître </w:t>
      </w:r>
      <w:r w:rsidR="00244329" w:rsidRPr="00A847B7">
        <w:rPr>
          <w:rFonts w:cstheme="minorHAnsi"/>
        </w:rPr>
        <w:t>en fonction du nombre de personnes destinées à occuper à titre principal le logement et de la localisation de celui-ci.</w:t>
      </w:r>
    </w:p>
    <w:p w14:paraId="2AB2CCBA" w14:textId="1482F570" w:rsidR="00244329" w:rsidRPr="00A847B7" w:rsidRDefault="00C0048B" w:rsidP="00EE0687">
      <w:pPr>
        <w:pStyle w:val="Paragraphedeliste"/>
        <w:numPr>
          <w:ilvl w:val="2"/>
          <w:numId w:val="164"/>
        </w:numPr>
        <w:rPr>
          <w:rFonts w:cstheme="minorHAnsi"/>
        </w:rPr>
      </w:pPr>
      <w:r w:rsidRPr="00A847B7">
        <w:rPr>
          <w:rFonts w:cstheme="minorHAnsi"/>
        </w:rPr>
        <w:t>les</w:t>
      </w:r>
      <w:r w:rsidR="00244329" w:rsidRPr="00A847B7">
        <w:rPr>
          <w:rFonts w:cstheme="minorHAnsi"/>
        </w:rPr>
        <w:t xml:space="preserve"> logements peuvent être spécialement adaptés à l’hébergement de personnes âgées de plus de </w:t>
      </w:r>
      <w:r w:rsidR="00DF46B1" w:rsidRPr="00A847B7">
        <w:rPr>
          <w:rFonts w:cstheme="minorHAnsi"/>
        </w:rPr>
        <w:t>65</w:t>
      </w:r>
      <w:r w:rsidR="00244329" w:rsidRPr="00A847B7">
        <w:rPr>
          <w:rFonts w:cstheme="minorHAnsi"/>
        </w:rPr>
        <w:t xml:space="preserve"> ans ou de personnes handicapées auxquelles des prestations de services de nature hôtelière peuvent être proposées ;</w:t>
      </w:r>
    </w:p>
    <w:p w14:paraId="2864D75C" w14:textId="253728BB" w:rsidR="00244329" w:rsidRPr="00A847B7" w:rsidRDefault="00DF46B1" w:rsidP="00EE0687">
      <w:pPr>
        <w:pStyle w:val="Paragraphedeliste"/>
        <w:numPr>
          <w:ilvl w:val="2"/>
          <w:numId w:val="164"/>
        </w:numPr>
        <w:rPr>
          <w:rFonts w:cstheme="minorHAnsi"/>
        </w:rPr>
      </w:pPr>
      <w:r w:rsidRPr="00A847B7">
        <w:rPr>
          <w:rFonts w:cstheme="minorHAnsi"/>
        </w:rPr>
        <w:t>le</w:t>
      </w:r>
      <w:r w:rsidR="00244329" w:rsidRPr="00A847B7">
        <w:rPr>
          <w:rFonts w:cstheme="minorHAnsi"/>
        </w:rPr>
        <w:t xml:space="preserve"> montant des loyers à la charge des </w:t>
      </w:r>
      <w:r w:rsidRPr="00A847B7">
        <w:rPr>
          <w:rFonts w:cstheme="minorHAnsi"/>
        </w:rPr>
        <w:t>locataires</w:t>
      </w:r>
      <w:r w:rsidR="00244329" w:rsidRPr="00A847B7">
        <w:rPr>
          <w:rFonts w:cstheme="minorHAnsi"/>
        </w:rPr>
        <w:t xml:space="preserve"> ne peut excéder des limites fixées par</w:t>
      </w:r>
      <w:r w:rsidRPr="00A847B7">
        <w:rPr>
          <w:rFonts w:cstheme="minorHAnsi"/>
        </w:rPr>
        <w:t xml:space="preserve"> Décret à paraître</w:t>
      </w:r>
      <w:r w:rsidR="00244329" w:rsidRPr="00A847B7">
        <w:rPr>
          <w:rFonts w:cstheme="minorHAnsi"/>
        </w:rPr>
        <w:t xml:space="preserve"> en fonction notamment de la localisation du logement ;</w:t>
      </w:r>
    </w:p>
    <w:p w14:paraId="3FA6AB74" w14:textId="0EC61E37" w:rsidR="00244329" w:rsidRPr="00A847B7" w:rsidRDefault="00DF46B1" w:rsidP="00EE0687">
      <w:pPr>
        <w:pStyle w:val="Paragraphedeliste"/>
        <w:numPr>
          <w:ilvl w:val="2"/>
          <w:numId w:val="164"/>
        </w:numPr>
        <w:rPr>
          <w:rFonts w:cstheme="minorHAnsi"/>
        </w:rPr>
      </w:pPr>
      <w:r w:rsidRPr="00A847B7">
        <w:rPr>
          <w:rFonts w:cstheme="minorHAnsi"/>
        </w:rPr>
        <w:t xml:space="preserve">une </w:t>
      </w:r>
      <w:r w:rsidR="00244329" w:rsidRPr="00A847B7">
        <w:rPr>
          <w:rFonts w:cstheme="minorHAnsi"/>
        </w:rPr>
        <w:t xml:space="preserve">part minimale, définie par </w:t>
      </w:r>
      <w:r w:rsidRPr="00A847B7">
        <w:rPr>
          <w:rFonts w:cstheme="minorHAnsi"/>
        </w:rPr>
        <w:t>Décret à paraître</w:t>
      </w:r>
      <w:r w:rsidR="00244329" w:rsidRPr="00A847B7">
        <w:rPr>
          <w:rFonts w:cstheme="minorHAnsi"/>
        </w:rPr>
        <w:t xml:space="preserve">, de la surface habitable des logements compris dans un ensemble d’investissements est louée, </w:t>
      </w:r>
      <w:r w:rsidR="00CC75B3" w:rsidRPr="00A847B7">
        <w:rPr>
          <w:rFonts w:cstheme="minorHAnsi"/>
        </w:rPr>
        <w:t>par l’organisme de logement social et pour une durée au moins égale à 5 ans à des particuliers qui en font leur résidence principale et dont les ressources n’excèdent pas des plafonds</w:t>
      </w:r>
      <w:r w:rsidR="00244329" w:rsidRPr="00A847B7">
        <w:rPr>
          <w:rFonts w:cstheme="minorHAnsi"/>
        </w:rPr>
        <w:t xml:space="preserve">, pour des loyers inférieurs aux limites mentionnées </w:t>
      </w:r>
      <w:r w:rsidR="00CC75B3" w:rsidRPr="00A847B7">
        <w:rPr>
          <w:rFonts w:cstheme="minorHAnsi"/>
        </w:rPr>
        <w:t>plus haut</w:t>
      </w:r>
      <w:r w:rsidR="00244329" w:rsidRPr="00A847B7">
        <w:rPr>
          <w:rFonts w:cstheme="minorHAnsi"/>
        </w:rPr>
        <w:t xml:space="preserve"> ;</w:t>
      </w:r>
    </w:p>
    <w:p w14:paraId="780C6278" w14:textId="1638DC4F" w:rsidR="00244329" w:rsidRPr="00A847B7" w:rsidRDefault="00CC75B3" w:rsidP="00EE0687">
      <w:pPr>
        <w:pStyle w:val="Paragraphedeliste"/>
        <w:numPr>
          <w:ilvl w:val="2"/>
          <w:numId w:val="164"/>
        </w:numPr>
        <w:rPr>
          <w:rFonts w:cstheme="minorHAnsi"/>
        </w:rPr>
      </w:pPr>
      <w:r w:rsidRPr="00A847B7">
        <w:rPr>
          <w:rFonts w:cstheme="minorHAnsi"/>
        </w:rPr>
        <w:t>une</w:t>
      </w:r>
      <w:r w:rsidR="00244329" w:rsidRPr="00A847B7">
        <w:rPr>
          <w:rFonts w:cstheme="minorHAnsi"/>
        </w:rPr>
        <w:t xml:space="preserve"> fraction, définie par </w:t>
      </w:r>
      <w:r w:rsidRPr="00A847B7">
        <w:rPr>
          <w:rFonts w:cstheme="minorHAnsi"/>
        </w:rPr>
        <w:t>Décret à paraître</w:t>
      </w:r>
      <w:r w:rsidR="00244329" w:rsidRPr="00A847B7">
        <w:rPr>
          <w:rFonts w:cstheme="minorHAnsi"/>
        </w:rPr>
        <w:t>, du prix de revient d’un ensemble d’investissements correspond à des dépenses supportées au titre de l’acquisition d’équipements de production d’énergie renouvelable, d’appareils utilisant une source d’énergie renouvelable ou de matériaux d’isolation</w:t>
      </w:r>
      <w:r w:rsidR="00386CCB" w:rsidRPr="00A847B7">
        <w:rPr>
          <w:rFonts w:cstheme="minorHAnsi"/>
        </w:rPr>
        <w:t xml:space="preserve"> ; un </w:t>
      </w:r>
      <w:r w:rsidR="00244329" w:rsidRPr="00A847B7">
        <w:rPr>
          <w:rFonts w:cstheme="minorHAnsi"/>
        </w:rPr>
        <w:t xml:space="preserve">arrêté </w:t>
      </w:r>
      <w:r w:rsidR="00386CCB" w:rsidRPr="00A847B7">
        <w:rPr>
          <w:rFonts w:cstheme="minorHAnsi"/>
        </w:rPr>
        <w:t>à paraître devra fixer</w:t>
      </w:r>
      <w:r w:rsidR="00244329" w:rsidRPr="00A847B7">
        <w:rPr>
          <w:rFonts w:cstheme="minorHAnsi"/>
        </w:rPr>
        <w:t xml:space="preserve"> la nature des dépenses d’équipements concernées ;</w:t>
      </w:r>
    </w:p>
    <w:p w14:paraId="513D4BA0" w14:textId="59CB090B" w:rsidR="00386CCB" w:rsidRPr="00A847B7" w:rsidRDefault="00244329" w:rsidP="00EE0687">
      <w:pPr>
        <w:pStyle w:val="Paragraphedeliste"/>
        <w:numPr>
          <w:ilvl w:val="2"/>
          <w:numId w:val="164"/>
        </w:numPr>
        <w:rPr>
          <w:rFonts w:cstheme="minorHAnsi"/>
        </w:rPr>
      </w:pPr>
      <w:r w:rsidRPr="00A847B7">
        <w:rPr>
          <w:rFonts w:cstheme="minorHAnsi"/>
        </w:rPr>
        <w:t>80 % de l’avantage en impôt procuré par la réduction d’impôt pratiquée au titre de l’investissement et par l’imputation du déficit provenant de la location du bien acquis et de la moins-value réalisée lors de la cession de ce bien ou des titres de la société bailleresse sont rétrocédés à l’organisme de logement social locataire sous forme de diminution du loyer et du prix de cession du bien ;</w:t>
      </w:r>
    </w:p>
    <w:p w14:paraId="5D26CBA7" w14:textId="2C4D8FAC" w:rsidR="00386CCB" w:rsidRPr="00A847B7" w:rsidRDefault="00386CCB" w:rsidP="00EE0687">
      <w:pPr>
        <w:pStyle w:val="Paragraphedeliste"/>
        <w:numPr>
          <w:ilvl w:val="1"/>
          <w:numId w:val="164"/>
        </w:numPr>
        <w:rPr>
          <w:rFonts w:cstheme="minorHAnsi"/>
        </w:rPr>
      </w:pPr>
      <w:r w:rsidRPr="00A847B7">
        <w:rPr>
          <w:rFonts w:cstheme="minorHAnsi"/>
        </w:rPr>
        <w:t>pour les logements faisant l’objet d’un contrat de location-accession à la propriété immobilière :</w:t>
      </w:r>
    </w:p>
    <w:p w14:paraId="2C4AFB74" w14:textId="292B5381" w:rsidR="00386CCB" w:rsidRPr="00A847B7" w:rsidRDefault="00386CCB" w:rsidP="00EE0687">
      <w:pPr>
        <w:pStyle w:val="Paragraphedeliste"/>
        <w:numPr>
          <w:ilvl w:val="2"/>
          <w:numId w:val="164"/>
        </w:numPr>
        <w:rPr>
          <w:rFonts w:cstheme="minorHAnsi"/>
        </w:rPr>
      </w:pPr>
      <w:r w:rsidRPr="00A847B7">
        <w:rPr>
          <w:rFonts w:cstheme="minorHAnsi"/>
        </w:rPr>
        <w:t>l’entreprise signe avec un particulier, dans les 12 mois de l’achèvement de l’immeuble ou de son acquisition si elle est postérieure, un contrat de location-accession dans les conditions prévues par la réglementation locale définissant la location-accession à la propriété immobilière ;</w:t>
      </w:r>
    </w:p>
    <w:p w14:paraId="539D58FF" w14:textId="7394DCB0" w:rsidR="00386CCB" w:rsidRPr="00A847B7" w:rsidRDefault="008A2883" w:rsidP="00EE0687">
      <w:pPr>
        <w:pStyle w:val="Paragraphedeliste"/>
        <w:numPr>
          <w:ilvl w:val="2"/>
          <w:numId w:val="164"/>
        </w:numPr>
        <w:rPr>
          <w:rFonts w:cstheme="minorHAnsi"/>
        </w:rPr>
      </w:pPr>
      <w:r w:rsidRPr="00A847B7">
        <w:rPr>
          <w:rFonts w:cstheme="minorHAnsi"/>
        </w:rPr>
        <w:t>une</w:t>
      </w:r>
      <w:r w:rsidR="00386CCB" w:rsidRPr="00A847B7">
        <w:rPr>
          <w:rFonts w:cstheme="minorHAnsi"/>
        </w:rPr>
        <w:t xml:space="preserve"> fraction, définie par </w:t>
      </w:r>
      <w:r w:rsidRPr="00A847B7">
        <w:rPr>
          <w:rFonts w:cstheme="minorHAnsi"/>
        </w:rPr>
        <w:t>Décret à paraître</w:t>
      </w:r>
      <w:r w:rsidR="00386CCB" w:rsidRPr="00A847B7">
        <w:rPr>
          <w:rFonts w:cstheme="minorHAnsi"/>
        </w:rPr>
        <w:t>, du prix de revient d’un ensemble d’investissements correspond à des dépenses supportées au titre de l’acquisition d’équipements de production d’énergie renouvelable, d’appareils utilisant une source d’énergie renouvelable ou de matériaux d’isolation</w:t>
      </w:r>
      <w:r w:rsidRPr="00A847B7">
        <w:rPr>
          <w:rFonts w:cstheme="minorHAnsi"/>
        </w:rPr>
        <w:t> ; u</w:t>
      </w:r>
      <w:r w:rsidR="00386CCB" w:rsidRPr="00A847B7">
        <w:rPr>
          <w:rFonts w:cstheme="minorHAnsi"/>
        </w:rPr>
        <w:t xml:space="preserve">n arrêté </w:t>
      </w:r>
      <w:r w:rsidRPr="00A847B7">
        <w:rPr>
          <w:rFonts w:cstheme="minorHAnsi"/>
        </w:rPr>
        <w:t>à paraître devra fixer</w:t>
      </w:r>
      <w:r w:rsidR="00386CCB" w:rsidRPr="00A847B7">
        <w:rPr>
          <w:rFonts w:cstheme="minorHAnsi"/>
        </w:rPr>
        <w:t xml:space="preserve"> la nature des dépenses d’équipements concernées ;</w:t>
      </w:r>
    </w:p>
    <w:p w14:paraId="368D84A3" w14:textId="60D6D638" w:rsidR="00386CCB" w:rsidRPr="00A847B7" w:rsidRDefault="00386CCB" w:rsidP="00EE0687">
      <w:pPr>
        <w:pStyle w:val="Paragraphedeliste"/>
        <w:numPr>
          <w:ilvl w:val="2"/>
          <w:numId w:val="164"/>
        </w:numPr>
        <w:rPr>
          <w:rFonts w:cstheme="minorHAnsi"/>
        </w:rPr>
      </w:pPr>
      <w:r w:rsidRPr="00A847B7">
        <w:rPr>
          <w:rFonts w:cstheme="minorHAnsi"/>
        </w:rPr>
        <w:t xml:space="preserve">80 % de l’avantage en impôt procuré par la réduction d’impôt pratiquée au titre de l’acquisition ou la construction de l’immeuble sont rétrocédés à la personne physique signataire du contrat </w:t>
      </w:r>
      <w:r w:rsidR="00FE1077" w:rsidRPr="00A847B7">
        <w:rPr>
          <w:rFonts w:cstheme="minorHAnsi"/>
        </w:rPr>
        <w:t>de location-accession</w:t>
      </w:r>
      <w:r w:rsidRPr="00A847B7">
        <w:rPr>
          <w:rFonts w:cstheme="minorHAnsi"/>
        </w:rPr>
        <w:t xml:space="preserve"> sous forme de diminution de la redevance prévue dans le contrat de location-accession et du prix de cession de l’immeuble.</w:t>
      </w:r>
    </w:p>
    <w:p w14:paraId="05781212" w14:textId="77777777" w:rsidR="00E34D00" w:rsidRPr="00A847B7" w:rsidRDefault="00110143" w:rsidP="00110143">
      <w:pPr>
        <w:rPr>
          <w:rFonts w:cstheme="minorHAnsi"/>
        </w:rPr>
      </w:pPr>
      <w:r w:rsidRPr="00A847B7">
        <w:rPr>
          <w:rFonts w:cstheme="minorHAnsi"/>
        </w:rPr>
        <w:t xml:space="preserve">La réduction d’impôt s’applique aux investissements réalisés par une société soumise </w:t>
      </w:r>
      <w:r w:rsidR="005B52D6" w:rsidRPr="00A847B7">
        <w:rPr>
          <w:rFonts w:cstheme="minorHAnsi"/>
        </w:rPr>
        <w:t>à l’impôt sur le revenu (IR)</w:t>
      </w:r>
      <w:r w:rsidRPr="00A847B7">
        <w:rPr>
          <w:rFonts w:cstheme="minorHAnsi"/>
        </w:rPr>
        <w:t xml:space="preserve">, à l’exclusion des sociétés en participation, </w:t>
      </w:r>
      <w:r w:rsidR="005F76D4" w:rsidRPr="00A847B7">
        <w:rPr>
          <w:rFonts w:cstheme="minorHAnsi"/>
        </w:rPr>
        <w:t xml:space="preserve">des groupements d’intérêts économiques (GIE) ou des </w:t>
      </w:r>
      <w:r w:rsidR="005F76D4" w:rsidRPr="00A847B7">
        <w:rPr>
          <w:rFonts w:cstheme="minorHAnsi"/>
        </w:rPr>
        <w:lastRenderedPageBreak/>
        <w:t>groupemen</w:t>
      </w:r>
      <w:r w:rsidR="00444452" w:rsidRPr="00A847B7">
        <w:rPr>
          <w:rFonts w:cstheme="minorHAnsi"/>
        </w:rPr>
        <w:t>ts européens d’intérêts économiques (GEIE)</w:t>
      </w:r>
      <w:r w:rsidRPr="00A847B7">
        <w:rPr>
          <w:rFonts w:cstheme="minorHAnsi"/>
        </w:rPr>
        <w:t xml:space="preserve">, dont les parts sont détenues directement par des entreprises soumises à </w:t>
      </w:r>
      <w:r w:rsidR="00444452" w:rsidRPr="00A847B7">
        <w:rPr>
          <w:rFonts w:cstheme="minorHAnsi"/>
        </w:rPr>
        <w:t>l’IS</w:t>
      </w:r>
      <w:r w:rsidRPr="00A847B7">
        <w:rPr>
          <w:rFonts w:cstheme="minorHAnsi"/>
        </w:rPr>
        <w:t>.</w:t>
      </w:r>
    </w:p>
    <w:p w14:paraId="523B6230" w14:textId="3B9CB27C" w:rsidR="00110143" w:rsidRPr="00A847B7" w:rsidRDefault="00110143" w:rsidP="00110143">
      <w:pPr>
        <w:rPr>
          <w:rFonts w:cstheme="minorHAnsi"/>
        </w:rPr>
      </w:pPr>
      <w:r w:rsidRPr="00A847B7">
        <w:rPr>
          <w:rFonts w:cstheme="minorHAnsi"/>
        </w:rPr>
        <w:t>Dans ce cas, la réduction d’impôt est pratiquée par les associés ou membres dans une proportion correspondant à leurs droits dans la société ou le groupement.</w:t>
      </w:r>
    </w:p>
    <w:p w14:paraId="4B32BA8E" w14:textId="7C0F6EFE" w:rsidR="00110143" w:rsidRPr="00A847B7" w:rsidRDefault="005B746C" w:rsidP="00110143">
      <w:pPr>
        <w:rPr>
          <w:rFonts w:cstheme="minorHAnsi"/>
        </w:rPr>
      </w:pPr>
      <w:r w:rsidRPr="00A847B7">
        <w:rPr>
          <w:rFonts w:cstheme="minorHAnsi"/>
        </w:rPr>
        <w:t>Cet avantage fiscal</w:t>
      </w:r>
      <w:r w:rsidR="00110143" w:rsidRPr="00A847B7">
        <w:rPr>
          <w:rFonts w:cstheme="minorHAnsi"/>
        </w:rPr>
        <w:t xml:space="preserve"> s’applique également aux souscriptions en numéraire réalisées par les entreprises soumises à </w:t>
      </w:r>
      <w:r w:rsidRPr="00A847B7">
        <w:rPr>
          <w:rFonts w:cstheme="minorHAnsi"/>
        </w:rPr>
        <w:t>l’IS</w:t>
      </w:r>
      <w:r w:rsidR="00110143" w:rsidRPr="00A847B7">
        <w:rPr>
          <w:rFonts w:cstheme="minorHAnsi"/>
        </w:rPr>
        <w:t>, au capital de :</w:t>
      </w:r>
    </w:p>
    <w:p w14:paraId="742BC1BC" w14:textId="4C8902E3" w:rsidR="00110143" w:rsidRPr="00A847B7" w:rsidRDefault="00AB0A0C" w:rsidP="00EE0687">
      <w:pPr>
        <w:pStyle w:val="Paragraphedeliste"/>
        <w:numPr>
          <w:ilvl w:val="0"/>
          <w:numId w:val="165"/>
        </w:numPr>
        <w:rPr>
          <w:rFonts w:cstheme="minorHAnsi"/>
        </w:rPr>
      </w:pPr>
      <w:r w:rsidRPr="00A847B7">
        <w:rPr>
          <w:rFonts w:cstheme="minorHAnsi"/>
        </w:rPr>
        <w:t>s</w:t>
      </w:r>
      <w:r w:rsidR="00110143" w:rsidRPr="00A847B7">
        <w:rPr>
          <w:rFonts w:cstheme="minorHAnsi"/>
        </w:rPr>
        <w:t>ociétés de développement régional des collectivités d’</w:t>
      </w:r>
      <w:r w:rsidR="00F77DD4">
        <w:rPr>
          <w:rFonts w:cstheme="minorHAnsi"/>
        </w:rPr>
        <w:t>O</w:t>
      </w:r>
      <w:r w:rsidR="00110143" w:rsidRPr="00A847B7">
        <w:rPr>
          <w:rFonts w:cstheme="minorHAnsi"/>
        </w:rPr>
        <w:t>utre-mer et de Nouvelle-Calédonie ;</w:t>
      </w:r>
    </w:p>
    <w:p w14:paraId="4DB43591" w14:textId="3F40AF02" w:rsidR="00110143" w:rsidRPr="00A847B7" w:rsidRDefault="00AB0A0C" w:rsidP="00EE0687">
      <w:pPr>
        <w:pStyle w:val="Paragraphedeliste"/>
        <w:numPr>
          <w:ilvl w:val="0"/>
          <w:numId w:val="165"/>
        </w:numPr>
        <w:rPr>
          <w:rFonts w:cstheme="minorHAnsi"/>
        </w:rPr>
      </w:pPr>
      <w:r w:rsidRPr="00A847B7">
        <w:rPr>
          <w:rFonts w:cstheme="minorHAnsi"/>
        </w:rPr>
        <w:t>sociétés</w:t>
      </w:r>
      <w:r w:rsidR="00110143" w:rsidRPr="00A847B7">
        <w:rPr>
          <w:rFonts w:cstheme="minorHAnsi"/>
        </w:rPr>
        <w:t xml:space="preserve"> effectuant des investissements productifs dans les collectivités d’</w:t>
      </w:r>
      <w:r w:rsidR="00F77DD4">
        <w:rPr>
          <w:rFonts w:cstheme="minorHAnsi"/>
        </w:rPr>
        <w:t>O</w:t>
      </w:r>
      <w:r w:rsidR="00110143" w:rsidRPr="00A847B7">
        <w:rPr>
          <w:rFonts w:cstheme="minorHAnsi"/>
        </w:rPr>
        <w:t>utre-mer et en Nouvelle-Calédonie ;</w:t>
      </w:r>
    </w:p>
    <w:p w14:paraId="1577E7A6" w14:textId="327273E1" w:rsidR="00110143" w:rsidRPr="00A847B7" w:rsidRDefault="00AB0A0C" w:rsidP="00EE0687">
      <w:pPr>
        <w:pStyle w:val="Paragraphedeliste"/>
        <w:numPr>
          <w:ilvl w:val="0"/>
          <w:numId w:val="165"/>
        </w:numPr>
        <w:rPr>
          <w:rFonts w:cstheme="minorHAnsi"/>
        </w:rPr>
      </w:pPr>
      <w:r w:rsidRPr="00A847B7">
        <w:rPr>
          <w:rFonts w:cstheme="minorHAnsi"/>
        </w:rPr>
        <w:t>sociétés</w:t>
      </w:r>
      <w:r w:rsidR="00110143" w:rsidRPr="00A847B7">
        <w:rPr>
          <w:rFonts w:cstheme="minorHAnsi"/>
        </w:rPr>
        <w:t xml:space="preserve"> concessionnaires effectuant dans les collectivités d’outre-mer et en Nouvelle-Calédonie des investissements productifs affectés plus de </w:t>
      </w:r>
      <w:r w:rsidR="00E82E3E" w:rsidRPr="00A847B7">
        <w:rPr>
          <w:rFonts w:cstheme="minorHAnsi"/>
        </w:rPr>
        <w:t>5</w:t>
      </w:r>
      <w:r w:rsidR="00110143" w:rsidRPr="00A847B7">
        <w:rPr>
          <w:rFonts w:cstheme="minorHAnsi"/>
        </w:rPr>
        <w:t xml:space="preserve"> ans par le concessionnaire à l’exploitation d’une concession de service public local à caractère industriel et commercial ;</w:t>
      </w:r>
    </w:p>
    <w:p w14:paraId="33FE9B54" w14:textId="2F86B2D3" w:rsidR="00110143" w:rsidRPr="00A847B7" w:rsidRDefault="00E82E3E" w:rsidP="00EE0687">
      <w:pPr>
        <w:pStyle w:val="Paragraphedeliste"/>
        <w:numPr>
          <w:ilvl w:val="0"/>
          <w:numId w:val="165"/>
        </w:numPr>
        <w:rPr>
          <w:rFonts w:cstheme="minorHAnsi"/>
        </w:rPr>
      </w:pPr>
      <w:r w:rsidRPr="00A847B7">
        <w:rPr>
          <w:rFonts w:cstheme="minorHAnsi"/>
        </w:rPr>
        <w:t>sociétés</w:t>
      </w:r>
      <w:r w:rsidR="00110143" w:rsidRPr="00A847B7">
        <w:rPr>
          <w:rFonts w:cstheme="minorHAnsi"/>
        </w:rPr>
        <w:t xml:space="preserve"> affectées exclusivement à l’acquisition ou à la construction de logements neufs dans les collectivités d’</w:t>
      </w:r>
      <w:r w:rsidR="00F77DD4">
        <w:rPr>
          <w:rFonts w:cstheme="minorHAnsi"/>
        </w:rPr>
        <w:t>O</w:t>
      </w:r>
      <w:r w:rsidR="00110143" w:rsidRPr="00A847B7">
        <w:rPr>
          <w:rFonts w:cstheme="minorHAnsi"/>
        </w:rPr>
        <w:t>utre-mer et en Nouvelle-Calédonie lorsque ces sociétés ont pour activité exclusive la location de tels logements.</w:t>
      </w:r>
    </w:p>
    <w:p w14:paraId="4E7D8508" w14:textId="3602D5D0" w:rsidR="00381ECB" w:rsidRPr="00A847B7" w:rsidRDefault="00C51283" w:rsidP="00110143">
      <w:pPr>
        <w:rPr>
          <w:rFonts w:cstheme="minorHAnsi"/>
        </w:rPr>
      </w:pPr>
      <w:r w:rsidRPr="00A847B7">
        <w:rPr>
          <w:rFonts w:cstheme="minorHAnsi"/>
        </w:rPr>
        <w:t xml:space="preserve">A toutes fins utiles, notez que : </w:t>
      </w:r>
    </w:p>
    <w:p w14:paraId="2A435840" w14:textId="210A1290" w:rsidR="00110143" w:rsidRPr="00A847B7" w:rsidRDefault="00C51283" w:rsidP="00EE0687">
      <w:pPr>
        <w:pStyle w:val="Paragraphedeliste"/>
        <w:numPr>
          <w:ilvl w:val="0"/>
          <w:numId w:val="166"/>
        </w:numPr>
        <w:rPr>
          <w:rFonts w:cstheme="minorHAnsi"/>
        </w:rPr>
      </w:pPr>
      <w:r w:rsidRPr="00A847B7">
        <w:rPr>
          <w:rFonts w:cstheme="minorHAnsi"/>
        </w:rPr>
        <w:t>les</w:t>
      </w:r>
      <w:r w:rsidR="00110143" w:rsidRPr="00A847B7">
        <w:rPr>
          <w:rFonts w:cstheme="minorHAnsi"/>
        </w:rPr>
        <w:t xml:space="preserve"> sociétés bénéficiaires des souscriptions seraient soumises de plein droit ou sur option à </w:t>
      </w:r>
      <w:r w:rsidRPr="00A847B7">
        <w:rPr>
          <w:rFonts w:cstheme="minorHAnsi"/>
        </w:rPr>
        <w:t>l’IS</w:t>
      </w:r>
      <w:r w:rsidR="00110143" w:rsidRPr="00A847B7">
        <w:rPr>
          <w:rFonts w:cstheme="minorHAnsi"/>
        </w:rPr>
        <w:t xml:space="preserve"> si elles étaient imposables en France </w:t>
      </w:r>
      <w:proofErr w:type="gramStart"/>
      <w:r w:rsidR="00110143" w:rsidRPr="00A847B7">
        <w:rPr>
          <w:rFonts w:cstheme="minorHAnsi"/>
        </w:rPr>
        <w:t xml:space="preserve">et </w:t>
      </w:r>
      <w:r w:rsidR="0080077F">
        <w:rPr>
          <w:rFonts w:cstheme="minorHAnsi"/>
        </w:rPr>
        <w:t xml:space="preserve"> qu’elles</w:t>
      </w:r>
      <w:proofErr w:type="gramEnd"/>
      <w:r w:rsidR="0080077F">
        <w:rPr>
          <w:rFonts w:cstheme="minorHAnsi"/>
        </w:rPr>
        <w:t xml:space="preserve"> exerçaient </w:t>
      </w:r>
      <w:r w:rsidR="00110143" w:rsidRPr="00A847B7">
        <w:rPr>
          <w:rFonts w:cstheme="minorHAnsi"/>
        </w:rPr>
        <w:t xml:space="preserve">exclusivement leur activité en </w:t>
      </w:r>
      <w:r w:rsidR="00ED2522">
        <w:rPr>
          <w:rFonts w:cstheme="minorHAnsi"/>
        </w:rPr>
        <w:t>O</w:t>
      </w:r>
      <w:r w:rsidR="00110143" w:rsidRPr="00A847B7">
        <w:rPr>
          <w:rFonts w:cstheme="minorHAnsi"/>
        </w:rPr>
        <w:t>utre-mer, dans les secteurs d’activité éligibles</w:t>
      </w:r>
      <w:r w:rsidR="0054668A" w:rsidRPr="00A847B7">
        <w:rPr>
          <w:rFonts w:cstheme="minorHAnsi"/>
        </w:rPr>
        <w:t xml:space="preserve"> </w:t>
      </w:r>
      <w:r w:rsidR="00110143" w:rsidRPr="00A847B7">
        <w:rPr>
          <w:rFonts w:cstheme="minorHAnsi"/>
        </w:rPr>
        <w:t>;</w:t>
      </w:r>
    </w:p>
    <w:p w14:paraId="749D52C2" w14:textId="6D9A5119" w:rsidR="00110143" w:rsidRPr="00A847B7" w:rsidRDefault="0054668A" w:rsidP="00EE0687">
      <w:pPr>
        <w:pStyle w:val="Paragraphedeliste"/>
        <w:numPr>
          <w:ilvl w:val="0"/>
          <w:numId w:val="166"/>
        </w:numPr>
        <w:rPr>
          <w:rFonts w:cstheme="minorHAnsi"/>
        </w:rPr>
      </w:pPr>
      <w:r w:rsidRPr="00A847B7">
        <w:rPr>
          <w:rFonts w:cstheme="minorHAnsi"/>
        </w:rPr>
        <w:t>la</w:t>
      </w:r>
      <w:r w:rsidR="00110143" w:rsidRPr="00A847B7">
        <w:rPr>
          <w:rFonts w:cstheme="minorHAnsi"/>
        </w:rPr>
        <w:t xml:space="preserve"> valeur d’origine des éléments d’actif autres que ceux nécessaires à l’exercice de l’activité ouvrant droit à la réduction d’impôt ne doit pas excéder 10 % du montant total de l’actif brut de la société ;</w:t>
      </w:r>
    </w:p>
    <w:p w14:paraId="3C4C4B58" w14:textId="2F42DB81" w:rsidR="008F2B52" w:rsidRPr="00A847B7" w:rsidRDefault="00110143" w:rsidP="00EE0687">
      <w:pPr>
        <w:pStyle w:val="Paragraphedeliste"/>
        <w:numPr>
          <w:ilvl w:val="0"/>
          <w:numId w:val="166"/>
        </w:numPr>
        <w:rPr>
          <w:rFonts w:cstheme="minorHAnsi"/>
        </w:rPr>
      </w:pPr>
      <w:r w:rsidRPr="00A847B7">
        <w:rPr>
          <w:rFonts w:cstheme="minorHAnsi"/>
        </w:rPr>
        <w:t>80 % de l’avantage en impôt procuré par la réduction d’impôt pratiquée au titre de la souscription et par l’imputation du déficit provenant de la moins-value réalisée lors de la cession des titres reçus lors de la souscription sont rétrocédés à la société bénéficiaire des souscriptions sous forme de diminution du prix de cession des titres souscrits.</w:t>
      </w:r>
    </w:p>
    <w:p w14:paraId="0C879B43" w14:textId="7A31DAF3" w:rsidR="00703461" w:rsidRPr="00A847B7" w:rsidRDefault="00703461" w:rsidP="00703461">
      <w:pPr>
        <w:rPr>
          <w:rFonts w:cstheme="minorHAnsi"/>
        </w:rPr>
      </w:pPr>
      <w:r w:rsidRPr="00A847B7">
        <w:rPr>
          <w:rFonts w:cstheme="minorHAnsi"/>
        </w:rPr>
        <w:t>La réduction d’impôt ne s’applique pas aux investissements portant sur :</w:t>
      </w:r>
    </w:p>
    <w:p w14:paraId="495C1907" w14:textId="0EB3CF47" w:rsidR="00703461" w:rsidRPr="00A847B7" w:rsidRDefault="007F56BE" w:rsidP="00EE0687">
      <w:pPr>
        <w:pStyle w:val="Paragraphedeliste"/>
        <w:numPr>
          <w:ilvl w:val="0"/>
          <w:numId w:val="167"/>
        </w:numPr>
        <w:rPr>
          <w:rFonts w:cstheme="minorHAnsi"/>
        </w:rPr>
      </w:pPr>
      <w:r w:rsidRPr="00A847B7">
        <w:rPr>
          <w:rFonts w:cstheme="minorHAnsi"/>
        </w:rPr>
        <w:t>l’achat</w:t>
      </w:r>
      <w:r w:rsidR="00703461" w:rsidRPr="00A847B7">
        <w:rPr>
          <w:rFonts w:cstheme="minorHAnsi"/>
        </w:rPr>
        <w:t xml:space="preserve"> de véhicules </w:t>
      </w:r>
      <w:r w:rsidRPr="00A847B7">
        <w:rPr>
          <w:rFonts w:cstheme="minorHAnsi"/>
        </w:rPr>
        <w:t>de tourisme</w:t>
      </w:r>
      <w:r w:rsidR="00703461" w:rsidRPr="00A847B7">
        <w:rPr>
          <w:rFonts w:cstheme="minorHAnsi"/>
        </w:rPr>
        <w:t xml:space="preserve"> qui ne sont pas strictement indispensables à l’activité de l’entreprise locataire ;</w:t>
      </w:r>
    </w:p>
    <w:p w14:paraId="200F7852" w14:textId="38B3663B" w:rsidR="00703461" w:rsidRDefault="006D71E4" w:rsidP="00EE0687">
      <w:pPr>
        <w:pStyle w:val="Paragraphedeliste"/>
        <w:numPr>
          <w:ilvl w:val="0"/>
          <w:numId w:val="167"/>
        </w:numPr>
        <w:rPr>
          <w:rFonts w:cstheme="minorHAnsi"/>
        </w:rPr>
      </w:pPr>
      <w:r w:rsidRPr="009366B6">
        <w:rPr>
          <w:rFonts w:cstheme="minorHAnsi"/>
        </w:rPr>
        <w:t>des</w:t>
      </w:r>
      <w:r w:rsidR="00703461" w:rsidRPr="009366B6">
        <w:rPr>
          <w:rFonts w:cstheme="minorHAnsi"/>
        </w:rPr>
        <w:t xml:space="preserve"> installations de production d’électricité utilisant l’énergie radiative du soleil.</w:t>
      </w:r>
    </w:p>
    <w:p w14:paraId="5565ABDD" w14:textId="77777777" w:rsidR="009366B6" w:rsidRPr="009366B6" w:rsidRDefault="009366B6" w:rsidP="009366B6">
      <w:pPr>
        <w:pStyle w:val="Paragraphedeliste"/>
        <w:ind w:left="1068"/>
        <w:rPr>
          <w:rFonts w:cstheme="minorHAnsi"/>
        </w:rPr>
      </w:pPr>
    </w:p>
    <w:p w14:paraId="5C7601E9" w14:textId="7A88AA38" w:rsidR="00B0330F" w:rsidRPr="00A847B7" w:rsidRDefault="00B0330F" w:rsidP="00EE0687">
      <w:pPr>
        <w:pStyle w:val="Paragraphedeliste"/>
        <w:numPr>
          <w:ilvl w:val="0"/>
          <w:numId w:val="86"/>
        </w:numPr>
        <w:rPr>
          <w:rFonts w:cstheme="minorHAnsi"/>
        </w:rPr>
      </w:pPr>
      <w:r w:rsidRPr="00A847B7">
        <w:rPr>
          <w:rFonts w:cstheme="minorHAnsi"/>
          <w:b/>
          <w:bCs/>
          <w:i/>
          <w:iCs/>
          <w:u w:val="single"/>
        </w:rPr>
        <w:t>Calcul de la réduction d’impôt</w:t>
      </w:r>
    </w:p>
    <w:p w14:paraId="14EF7B92" w14:textId="42645C04" w:rsidR="00DD1429" w:rsidRPr="00A847B7" w:rsidRDefault="00DD1429" w:rsidP="007F66F1">
      <w:pPr>
        <w:rPr>
          <w:rFonts w:cstheme="minorHAnsi"/>
        </w:rPr>
      </w:pPr>
      <w:r w:rsidRPr="00A847B7">
        <w:rPr>
          <w:rFonts w:cstheme="minorHAnsi"/>
        </w:rPr>
        <w:t>Le taux de la réduction d’impôt est fixé à 35 %.</w:t>
      </w:r>
    </w:p>
    <w:p w14:paraId="42A662BF" w14:textId="216AB005" w:rsidR="007F66F1" w:rsidRPr="00A847B7" w:rsidRDefault="007F66F1" w:rsidP="007F66F1">
      <w:pPr>
        <w:rPr>
          <w:rFonts w:cstheme="minorHAnsi"/>
        </w:rPr>
      </w:pPr>
      <w:r w:rsidRPr="00A847B7">
        <w:rPr>
          <w:rFonts w:cstheme="minorHAnsi"/>
        </w:rPr>
        <w:t>La réduction d’impôt est assise sur le montant, hors taxes et hors frais de toute nature, notamment les commissions d’acquisition, à l’exception des frais de transport, d’installation et de mise en service amortissables, des investissements productifs, diminué de la fraction de leur prix de revient financée par une aide publique.</w:t>
      </w:r>
    </w:p>
    <w:p w14:paraId="04271D1F" w14:textId="71B72E43" w:rsidR="007F66F1" w:rsidRPr="00A847B7" w:rsidRDefault="00490A74" w:rsidP="007F66F1">
      <w:pPr>
        <w:rPr>
          <w:rFonts w:cstheme="minorHAnsi"/>
        </w:rPr>
      </w:pPr>
      <w:r w:rsidRPr="00A847B7">
        <w:rPr>
          <w:rFonts w:cstheme="minorHAnsi"/>
        </w:rPr>
        <w:t xml:space="preserve">Pour </w:t>
      </w:r>
      <w:r w:rsidR="007F66F1" w:rsidRPr="00A847B7">
        <w:rPr>
          <w:rFonts w:cstheme="minorHAnsi"/>
        </w:rPr>
        <w:t>les souscriptions</w:t>
      </w:r>
      <w:r w:rsidRPr="00A847B7">
        <w:rPr>
          <w:rFonts w:cstheme="minorHAnsi"/>
        </w:rPr>
        <w:t xml:space="preserve"> au capital de certaines société, </w:t>
      </w:r>
      <w:r w:rsidR="007F66F1" w:rsidRPr="00A847B7">
        <w:rPr>
          <w:rFonts w:cstheme="minorHAnsi"/>
        </w:rPr>
        <w:t>la réduction d’impôt est assise sur le montant total des souscriptions en numéraires effectuées.</w:t>
      </w:r>
    </w:p>
    <w:p w14:paraId="6B94D8AB" w14:textId="23B562E3" w:rsidR="007F66F1" w:rsidRPr="00A847B7" w:rsidRDefault="007F66F1" w:rsidP="007F66F1">
      <w:pPr>
        <w:rPr>
          <w:rFonts w:cstheme="minorHAnsi"/>
        </w:rPr>
      </w:pPr>
      <w:r w:rsidRPr="00A847B7">
        <w:rPr>
          <w:rFonts w:cstheme="minorHAnsi"/>
        </w:rPr>
        <w:t xml:space="preserve">Les aides octroyées par la Nouvelle-Calédonie, la Polynésie française, Wallis-et-Futuna, Saint-Martin, Saint-Barthélemy et Saint-Pierre-et-Miquelon dans le cadre de leur compétence fiscale propre au titre de projets </w:t>
      </w:r>
      <w:r w:rsidRPr="00A847B7">
        <w:rPr>
          <w:rFonts w:cstheme="minorHAnsi"/>
        </w:rPr>
        <w:lastRenderedPageBreak/>
        <w:t xml:space="preserve">d’investissements sont sans incidence pour la détermination du montant des dépenses éligibles retenues pour </w:t>
      </w:r>
      <w:r w:rsidR="008C4B49" w:rsidRPr="00A847B7">
        <w:rPr>
          <w:rFonts w:cstheme="minorHAnsi"/>
        </w:rPr>
        <w:t>l’application de cet avantage fiscal.</w:t>
      </w:r>
    </w:p>
    <w:p w14:paraId="361D4693" w14:textId="0C726937" w:rsidR="007F66F1" w:rsidRPr="00A847B7" w:rsidRDefault="00C27273" w:rsidP="007F66F1">
      <w:pPr>
        <w:rPr>
          <w:rFonts w:cstheme="minorHAnsi"/>
        </w:rPr>
      </w:pPr>
      <w:r w:rsidRPr="00A847B7">
        <w:rPr>
          <w:rFonts w:cstheme="minorHAnsi"/>
        </w:rPr>
        <w:t>Pour</w:t>
      </w:r>
      <w:r w:rsidR="007F66F1" w:rsidRPr="00A847B7">
        <w:rPr>
          <w:rFonts w:cstheme="minorHAnsi"/>
        </w:rPr>
        <w:t xml:space="preserve"> les projets d’investissement comportant l’acquisition, l’installation ou l’exploitation d’équipements de production d’énergie renouvelable, ce montant est pris en compte dans la limite d’un montant par watt installé, fixé par arrêté </w:t>
      </w:r>
      <w:r w:rsidRPr="00A847B7">
        <w:rPr>
          <w:rFonts w:cstheme="minorHAnsi"/>
        </w:rPr>
        <w:t>à paraître</w:t>
      </w:r>
      <w:r w:rsidR="007F66F1" w:rsidRPr="00A847B7">
        <w:rPr>
          <w:rFonts w:cstheme="minorHAnsi"/>
        </w:rPr>
        <w:t>.</w:t>
      </w:r>
    </w:p>
    <w:p w14:paraId="7614433D" w14:textId="2E614874" w:rsidR="007F66F1" w:rsidRPr="00A847B7" w:rsidRDefault="00C27273" w:rsidP="007F66F1">
      <w:pPr>
        <w:rPr>
          <w:rFonts w:cstheme="minorHAnsi"/>
        </w:rPr>
      </w:pPr>
      <w:r w:rsidRPr="00A847B7">
        <w:rPr>
          <w:rFonts w:cstheme="minorHAnsi"/>
        </w:rPr>
        <w:t>Pour</w:t>
      </w:r>
      <w:r w:rsidR="007F66F1" w:rsidRPr="00A847B7">
        <w:rPr>
          <w:rFonts w:cstheme="minorHAnsi"/>
        </w:rPr>
        <w:t xml:space="preserve"> les équipements et opérations de pose de câbles sous-marins de communication</w:t>
      </w:r>
      <w:r w:rsidRPr="00A847B7">
        <w:rPr>
          <w:rFonts w:cstheme="minorHAnsi"/>
        </w:rPr>
        <w:t xml:space="preserve">, </w:t>
      </w:r>
      <w:r w:rsidR="007F66F1" w:rsidRPr="00A847B7">
        <w:rPr>
          <w:rFonts w:cstheme="minorHAnsi"/>
        </w:rPr>
        <w:t xml:space="preserve">l’assiette de la réduction d’impôt est égale à la moitié du montant </w:t>
      </w:r>
      <w:r w:rsidR="005C5C13" w:rsidRPr="00A847B7">
        <w:rPr>
          <w:rFonts w:cstheme="minorHAnsi"/>
        </w:rPr>
        <w:t>hors taxes et hors frais de toute nature des investissements productifs</w:t>
      </w:r>
      <w:r w:rsidR="007F66F1" w:rsidRPr="00A847B7">
        <w:rPr>
          <w:rFonts w:cstheme="minorHAnsi"/>
        </w:rPr>
        <w:t>.</w:t>
      </w:r>
      <w:r w:rsidR="005C5C13" w:rsidRPr="00A847B7">
        <w:rPr>
          <w:rFonts w:cstheme="minorHAnsi"/>
        </w:rPr>
        <w:t xml:space="preserve"> De même, p</w:t>
      </w:r>
      <w:r w:rsidR="007F66F1" w:rsidRPr="00A847B7">
        <w:rPr>
          <w:rFonts w:cstheme="minorHAnsi"/>
        </w:rPr>
        <w:t xml:space="preserve">our les équipements et opérations de pose du câble de </w:t>
      </w:r>
      <w:r w:rsidR="00054F68" w:rsidRPr="00A847B7">
        <w:rPr>
          <w:rFonts w:cstheme="minorHAnsi"/>
        </w:rPr>
        <w:t>secours, la base d’imposition est</w:t>
      </w:r>
      <w:r w:rsidR="007F66F1" w:rsidRPr="00A847B7">
        <w:rPr>
          <w:rFonts w:cstheme="minorHAnsi"/>
        </w:rPr>
        <w:t xml:space="preserve"> égale au quart du montant </w:t>
      </w:r>
      <w:r w:rsidR="00054F68" w:rsidRPr="00A847B7">
        <w:rPr>
          <w:rFonts w:cstheme="minorHAnsi"/>
        </w:rPr>
        <w:t>hors taxes et hors frais de toute nature des investissements productifs</w:t>
      </w:r>
      <w:r w:rsidR="007F66F1" w:rsidRPr="00A847B7">
        <w:rPr>
          <w:rFonts w:cstheme="minorHAnsi"/>
        </w:rPr>
        <w:t>.</w:t>
      </w:r>
    </w:p>
    <w:p w14:paraId="61C9A888" w14:textId="5A20FCF2" w:rsidR="007F66F1" w:rsidRPr="00A847B7" w:rsidRDefault="000F2DB1" w:rsidP="007F66F1">
      <w:pPr>
        <w:rPr>
          <w:rFonts w:cstheme="minorHAnsi"/>
        </w:rPr>
      </w:pPr>
      <w:r w:rsidRPr="00A847B7">
        <w:rPr>
          <w:rFonts w:cstheme="minorHAnsi"/>
        </w:rPr>
        <w:t>Pour les investissements portant</w:t>
      </w:r>
      <w:r w:rsidRPr="00A847B7">
        <w:t xml:space="preserve"> sur les </w:t>
      </w:r>
      <w:r w:rsidRPr="00A847B7">
        <w:rPr>
          <w:rFonts w:cstheme="minorHAnsi"/>
        </w:rPr>
        <w:t xml:space="preserve">navires de croisière neufs d'une capacité maximum de 400 passagers, </w:t>
      </w:r>
      <w:r w:rsidR="007F66F1" w:rsidRPr="00A847B7">
        <w:rPr>
          <w:rFonts w:cstheme="minorHAnsi"/>
        </w:rPr>
        <w:t xml:space="preserve">l’assiette de la réduction d’impôt est égale à 20 % du montant </w:t>
      </w:r>
      <w:r w:rsidRPr="00A847B7">
        <w:rPr>
          <w:rFonts w:cstheme="minorHAnsi"/>
        </w:rPr>
        <w:t>hors taxes et hors frais de toute nature des investissements productifs</w:t>
      </w:r>
      <w:r w:rsidR="007F66F1" w:rsidRPr="00A847B7">
        <w:rPr>
          <w:rFonts w:cstheme="minorHAnsi"/>
        </w:rPr>
        <w:t>.</w:t>
      </w:r>
    </w:p>
    <w:p w14:paraId="10534BDE" w14:textId="1CAB00F0" w:rsidR="007F66F1" w:rsidRPr="00A847B7" w:rsidRDefault="00651F00" w:rsidP="007F66F1">
      <w:pPr>
        <w:rPr>
          <w:rFonts w:cstheme="minorHAnsi"/>
        </w:rPr>
      </w:pPr>
      <w:r w:rsidRPr="00A847B7">
        <w:rPr>
          <w:rFonts w:cstheme="minorHAnsi"/>
        </w:rPr>
        <w:t>Pour</w:t>
      </w:r>
      <w:r w:rsidR="007F66F1" w:rsidRPr="00A847B7">
        <w:rPr>
          <w:rFonts w:cstheme="minorHAnsi"/>
        </w:rPr>
        <w:t xml:space="preserve"> les travaux </w:t>
      </w:r>
      <w:r w:rsidRPr="00A847B7">
        <w:rPr>
          <w:rFonts w:cstheme="minorHAnsi"/>
        </w:rPr>
        <w:t>de ré</w:t>
      </w:r>
      <w:r w:rsidR="00E041F9" w:rsidRPr="00A847B7">
        <w:rPr>
          <w:rFonts w:cstheme="minorHAnsi"/>
        </w:rPr>
        <w:t>novation et de réhabilitation d’hôtel, de résidence de tourisme et de village de vacances classés</w:t>
      </w:r>
      <w:r w:rsidR="007F66F1" w:rsidRPr="00A847B7">
        <w:rPr>
          <w:rFonts w:cstheme="minorHAnsi"/>
        </w:rPr>
        <w:t>, la réduction d’impôt est assise sur le prix de revient de l’hôtel, de la résidence de tourisme ou du village de vacances classés après réalisation des travaux, diminué du prix de revient de ces mêmes biens avant réalisation des travaux et de la fraction du prix de revient des travaux financée par une aide publique.</w:t>
      </w:r>
    </w:p>
    <w:p w14:paraId="669241B0" w14:textId="6A1EFA96" w:rsidR="007F66F1" w:rsidRPr="00A847B7" w:rsidRDefault="00E041F9" w:rsidP="007F66F1">
      <w:pPr>
        <w:rPr>
          <w:rFonts w:cstheme="minorHAnsi"/>
        </w:rPr>
      </w:pPr>
      <w:r w:rsidRPr="00A847B7">
        <w:rPr>
          <w:rFonts w:cstheme="minorHAnsi"/>
        </w:rPr>
        <w:t>Enfin, p</w:t>
      </w:r>
      <w:r w:rsidR="007F66F1" w:rsidRPr="00A847B7">
        <w:rPr>
          <w:rFonts w:cstheme="minorHAnsi"/>
        </w:rPr>
        <w:t xml:space="preserve">our les logements </w:t>
      </w:r>
      <w:r w:rsidR="00146C72" w:rsidRPr="00A847B7">
        <w:rPr>
          <w:rFonts w:cstheme="minorHAnsi"/>
        </w:rPr>
        <w:t xml:space="preserve">neufs à usage locatif situés à Saint-Pierre-et-Miquelon, en Nouvelle-Calédonie, en Polynésie française, à Saint-Martin, à Saint-Barthélemy et dans les îles Wallis et Futuna, </w:t>
      </w:r>
      <w:r w:rsidR="007F66F1" w:rsidRPr="00A847B7">
        <w:rPr>
          <w:rFonts w:cstheme="minorHAnsi"/>
        </w:rPr>
        <w:t>la réduction d’impôt est assise sur le prix de revient des logements, minoré d’une part, des taxes et des commissions d’acquisition versées et, d’autre part, des aides publiques reçues.</w:t>
      </w:r>
    </w:p>
    <w:p w14:paraId="13EEE611" w14:textId="03281F7D" w:rsidR="007F66F1" w:rsidRPr="00A847B7" w:rsidRDefault="007F66F1" w:rsidP="007F66F1">
      <w:pPr>
        <w:rPr>
          <w:rFonts w:cstheme="minorHAnsi"/>
        </w:rPr>
      </w:pPr>
      <w:r w:rsidRPr="00A847B7">
        <w:rPr>
          <w:rFonts w:cstheme="minorHAnsi"/>
        </w:rPr>
        <w:t xml:space="preserve">Ce montant est retenu dans la limite </w:t>
      </w:r>
      <w:r w:rsidR="00DD1429" w:rsidRPr="00A847B7">
        <w:rPr>
          <w:rFonts w:cstheme="minorHAnsi"/>
        </w:rPr>
        <w:t xml:space="preserve">de 2 538 € hors taxes </w:t>
      </w:r>
      <w:r w:rsidRPr="00A847B7">
        <w:rPr>
          <w:rFonts w:cstheme="minorHAnsi"/>
        </w:rPr>
        <w:t>appréciée par mètre carré de surface habitable.</w:t>
      </w:r>
    </w:p>
    <w:p w14:paraId="5247B189" w14:textId="0855FFDA" w:rsidR="00C73D19" w:rsidRPr="00A847B7" w:rsidRDefault="00C73D19" w:rsidP="00EE0687">
      <w:pPr>
        <w:pStyle w:val="Paragraphedeliste"/>
        <w:numPr>
          <w:ilvl w:val="0"/>
          <w:numId w:val="86"/>
        </w:numPr>
        <w:rPr>
          <w:rFonts w:cstheme="minorHAnsi"/>
        </w:rPr>
      </w:pPr>
      <w:r w:rsidRPr="00A847B7">
        <w:rPr>
          <w:rFonts w:cstheme="minorHAnsi"/>
          <w:b/>
          <w:bCs/>
          <w:i/>
          <w:iCs/>
          <w:u w:val="single"/>
        </w:rPr>
        <w:t>Versement de la réduction d’impôt</w:t>
      </w:r>
    </w:p>
    <w:p w14:paraId="39C8CDCA" w14:textId="72ADAB64" w:rsidR="00285F62" w:rsidRPr="00A847B7" w:rsidRDefault="004056B3" w:rsidP="00285F62">
      <w:pPr>
        <w:rPr>
          <w:rFonts w:cstheme="minorHAnsi"/>
        </w:rPr>
      </w:pPr>
      <w:r w:rsidRPr="00A847B7">
        <w:rPr>
          <w:rFonts w:cstheme="minorHAnsi"/>
        </w:rPr>
        <w:t xml:space="preserve">Le </w:t>
      </w:r>
      <w:r w:rsidR="00285F62" w:rsidRPr="00A847B7">
        <w:rPr>
          <w:rFonts w:cstheme="minorHAnsi"/>
        </w:rPr>
        <w:t xml:space="preserve">bénéfice </w:t>
      </w:r>
      <w:r w:rsidRPr="00A847B7">
        <w:rPr>
          <w:rFonts w:cstheme="minorHAnsi"/>
        </w:rPr>
        <w:t>de cet avantage fiscal</w:t>
      </w:r>
      <w:r w:rsidR="00285F62" w:rsidRPr="00A847B7">
        <w:rPr>
          <w:rFonts w:cstheme="minorHAnsi"/>
        </w:rPr>
        <w:t xml:space="preserve"> est accordé au titre de l’exercice au cours duquel l’investissement est mis en service.</w:t>
      </w:r>
      <w:r w:rsidR="00BE34B2" w:rsidRPr="00A847B7">
        <w:rPr>
          <w:rFonts w:cstheme="minorHAnsi"/>
        </w:rPr>
        <w:t xml:space="preserve"> Il est imputé sur l’IS dû au titre de l’exercice au cours duquel </w:t>
      </w:r>
      <w:r w:rsidR="00300320" w:rsidRPr="00A847B7">
        <w:rPr>
          <w:rFonts w:cstheme="minorHAnsi"/>
        </w:rPr>
        <w:t>le fait générateur de la réduction d’impôt est intervenu.</w:t>
      </w:r>
    </w:p>
    <w:p w14:paraId="0B951577" w14:textId="710C9846" w:rsidR="000A4233" w:rsidRPr="00A847B7" w:rsidRDefault="000A4233" w:rsidP="00285F62">
      <w:pPr>
        <w:rPr>
          <w:rFonts w:cstheme="minorHAnsi"/>
        </w:rPr>
      </w:pPr>
      <w:r w:rsidRPr="00A847B7">
        <w:rPr>
          <w:rFonts w:cstheme="minorHAnsi"/>
        </w:rPr>
        <w:t>L’excédent éventuel est utilisé pour le paiement de l’IS dû au titre des 5 exercices suivants.</w:t>
      </w:r>
    </w:p>
    <w:p w14:paraId="678B8A6F" w14:textId="0DCE73BE" w:rsidR="00285F62" w:rsidRPr="00A847B7" w:rsidRDefault="00285F62" w:rsidP="00285F62">
      <w:pPr>
        <w:rPr>
          <w:rFonts w:cstheme="minorHAnsi"/>
        </w:rPr>
      </w:pPr>
      <w:r w:rsidRPr="00A847B7">
        <w:rPr>
          <w:rFonts w:cstheme="minorHAnsi"/>
        </w:rPr>
        <w:t>Toutefois :</w:t>
      </w:r>
    </w:p>
    <w:p w14:paraId="6F4AAC2C" w14:textId="475B77CB" w:rsidR="00285F62" w:rsidRPr="00A847B7" w:rsidRDefault="004056B3" w:rsidP="00EE0687">
      <w:pPr>
        <w:pStyle w:val="Paragraphedeliste"/>
        <w:numPr>
          <w:ilvl w:val="0"/>
          <w:numId w:val="168"/>
        </w:numPr>
        <w:rPr>
          <w:rFonts w:cstheme="minorHAnsi"/>
        </w:rPr>
      </w:pPr>
      <w:r w:rsidRPr="00A847B7">
        <w:rPr>
          <w:rFonts w:cstheme="minorHAnsi"/>
        </w:rPr>
        <w:t>lorsque</w:t>
      </w:r>
      <w:r w:rsidR="00285F62" w:rsidRPr="00A847B7">
        <w:rPr>
          <w:rFonts w:cstheme="minorHAnsi"/>
        </w:rPr>
        <w:t xml:space="preserve"> l’investissement consiste en </w:t>
      </w:r>
      <w:r w:rsidRPr="00A847B7">
        <w:rPr>
          <w:rFonts w:cstheme="minorHAnsi"/>
        </w:rPr>
        <w:t>l’achat</w:t>
      </w:r>
      <w:r w:rsidR="00285F62" w:rsidRPr="00A847B7">
        <w:rPr>
          <w:rFonts w:cstheme="minorHAnsi"/>
        </w:rPr>
        <w:t xml:space="preserve"> d’un immeuble à construire ou en la construction d’immeuble, </w:t>
      </w:r>
      <w:r w:rsidR="00EB75F8" w:rsidRPr="00A847B7">
        <w:rPr>
          <w:rFonts w:cstheme="minorHAnsi"/>
        </w:rPr>
        <w:t>il est accordé</w:t>
      </w:r>
      <w:r w:rsidR="00285F62" w:rsidRPr="00A847B7">
        <w:rPr>
          <w:rFonts w:cstheme="minorHAnsi"/>
        </w:rPr>
        <w:t xml:space="preserve"> au titre de l’exercice au cours duquel les fondations sont achevées ;</w:t>
      </w:r>
    </w:p>
    <w:p w14:paraId="1EBC0AC0" w14:textId="16CE3975" w:rsidR="00285F62" w:rsidRPr="00A847B7" w:rsidRDefault="00EB75F8" w:rsidP="00EE0687">
      <w:pPr>
        <w:pStyle w:val="Paragraphedeliste"/>
        <w:numPr>
          <w:ilvl w:val="0"/>
          <w:numId w:val="168"/>
        </w:numPr>
        <w:rPr>
          <w:rFonts w:cstheme="minorHAnsi"/>
        </w:rPr>
      </w:pPr>
      <w:r w:rsidRPr="00A847B7">
        <w:rPr>
          <w:rFonts w:cstheme="minorHAnsi"/>
        </w:rPr>
        <w:t>en cas</w:t>
      </w:r>
      <w:r w:rsidR="00285F62" w:rsidRPr="00A847B7">
        <w:rPr>
          <w:rFonts w:cstheme="minorHAnsi"/>
        </w:rPr>
        <w:t xml:space="preserve"> de rénovation ou de réhabilitation d’immeuble, </w:t>
      </w:r>
      <w:r w:rsidRPr="00A847B7">
        <w:rPr>
          <w:rFonts w:cstheme="minorHAnsi"/>
        </w:rPr>
        <w:t>il est accordé</w:t>
      </w:r>
      <w:r w:rsidR="00285F62" w:rsidRPr="00A847B7">
        <w:rPr>
          <w:rFonts w:cstheme="minorHAnsi"/>
        </w:rPr>
        <w:t xml:space="preserve"> au titre de l’exercice au cours duquel les travaux ont été achevés ;</w:t>
      </w:r>
    </w:p>
    <w:p w14:paraId="2EF5177B" w14:textId="473BDF8A" w:rsidR="00285F62" w:rsidRPr="00A847B7" w:rsidRDefault="00EB75F8" w:rsidP="00EE0687">
      <w:pPr>
        <w:pStyle w:val="Paragraphedeliste"/>
        <w:numPr>
          <w:ilvl w:val="0"/>
          <w:numId w:val="168"/>
        </w:numPr>
        <w:rPr>
          <w:rFonts w:cstheme="minorHAnsi"/>
        </w:rPr>
      </w:pPr>
      <w:r w:rsidRPr="00A847B7">
        <w:rPr>
          <w:rFonts w:cstheme="minorHAnsi"/>
        </w:rPr>
        <w:t>en cas</w:t>
      </w:r>
      <w:r w:rsidR="00285F62" w:rsidRPr="00A847B7">
        <w:rPr>
          <w:rFonts w:cstheme="minorHAnsi"/>
        </w:rPr>
        <w:t xml:space="preserve"> de souscription au capital de sociétés </w:t>
      </w:r>
      <w:r w:rsidRPr="00A847B7">
        <w:rPr>
          <w:rFonts w:cstheme="minorHAnsi"/>
        </w:rPr>
        <w:t xml:space="preserve">il est accordé </w:t>
      </w:r>
      <w:r w:rsidR="00285F62" w:rsidRPr="00A847B7">
        <w:rPr>
          <w:rFonts w:cstheme="minorHAnsi"/>
        </w:rPr>
        <w:t>au titre de l’exercice au cours duquel les fonds ont été versés</w:t>
      </w:r>
      <w:r w:rsidRPr="00A847B7">
        <w:rPr>
          <w:rFonts w:cstheme="minorHAnsi"/>
        </w:rPr>
        <w:t> ; e</w:t>
      </w:r>
      <w:r w:rsidR="00285F62" w:rsidRPr="00A847B7">
        <w:rPr>
          <w:rFonts w:cstheme="minorHAnsi"/>
        </w:rPr>
        <w:t>n cas de versements échelonnés, ceux-ci sont pris en compte au titre de chacun des exercices au cours desquels ils ont été effectués</w:t>
      </w:r>
      <w:r w:rsidR="00A1334C" w:rsidRPr="00A847B7">
        <w:rPr>
          <w:rFonts w:cstheme="minorHAnsi"/>
        </w:rPr>
        <w:t>.</w:t>
      </w:r>
    </w:p>
    <w:p w14:paraId="316919BD" w14:textId="2331E712" w:rsidR="00C73D19" w:rsidRPr="00A847B7" w:rsidRDefault="00285F62" w:rsidP="00285F62">
      <w:pPr>
        <w:rPr>
          <w:rFonts w:cstheme="minorHAnsi"/>
        </w:rPr>
      </w:pPr>
      <w:r w:rsidRPr="00A847B7">
        <w:rPr>
          <w:rFonts w:cstheme="minorHAnsi"/>
        </w:rPr>
        <w:t xml:space="preserve">Lorsque le montant total par programme d’investissements est supérieur </w:t>
      </w:r>
      <w:r w:rsidR="00F85484" w:rsidRPr="00A847B7">
        <w:rPr>
          <w:rFonts w:cstheme="minorHAnsi"/>
        </w:rPr>
        <w:t>à 1 000 000 €</w:t>
      </w:r>
      <w:r w:rsidRPr="00A847B7">
        <w:rPr>
          <w:rFonts w:cstheme="minorHAnsi"/>
        </w:rPr>
        <w:t xml:space="preserve">, ou </w:t>
      </w:r>
      <w:r w:rsidR="008F53FF" w:rsidRPr="00A847B7">
        <w:rPr>
          <w:rFonts w:cstheme="minorHAnsi"/>
        </w:rPr>
        <w:t xml:space="preserve">à 250 000 € </w:t>
      </w:r>
      <w:r w:rsidRPr="00A847B7">
        <w:rPr>
          <w:rFonts w:cstheme="minorHAnsi"/>
        </w:rPr>
        <w:t>pour les investissements réalisés par les sociétés</w:t>
      </w:r>
      <w:r w:rsidR="008F53FF" w:rsidRPr="00A847B7">
        <w:rPr>
          <w:rFonts w:cstheme="minorHAnsi"/>
        </w:rPr>
        <w:t>, GIE ou GEIE</w:t>
      </w:r>
      <w:r w:rsidRPr="00A847B7">
        <w:rPr>
          <w:rFonts w:cstheme="minorHAnsi"/>
        </w:rPr>
        <w:t>, le bénéfice de la réduction d’impôt est conditionné à l’obtention d’un agrément préalable délivré par le ministre chargé du budget.</w:t>
      </w:r>
    </w:p>
    <w:p w14:paraId="61216038" w14:textId="3A4E682D" w:rsidR="00285F62" w:rsidRPr="00A847B7" w:rsidRDefault="00285F62" w:rsidP="00EE0687">
      <w:pPr>
        <w:pStyle w:val="Paragraphedeliste"/>
        <w:numPr>
          <w:ilvl w:val="0"/>
          <w:numId w:val="86"/>
        </w:numPr>
        <w:rPr>
          <w:rFonts w:cstheme="minorHAnsi"/>
        </w:rPr>
      </w:pPr>
      <w:r w:rsidRPr="00A847B7">
        <w:rPr>
          <w:rFonts w:cstheme="minorHAnsi"/>
          <w:b/>
          <w:bCs/>
          <w:i/>
          <w:iCs/>
          <w:u w:val="single"/>
        </w:rPr>
        <w:t xml:space="preserve"> Reprise de la réduction d’impôt</w:t>
      </w:r>
    </w:p>
    <w:p w14:paraId="44A57BCD" w14:textId="64C473CE" w:rsidR="00DB6A7B" w:rsidRPr="00A847B7" w:rsidRDefault="00DB6A7B" w:rsidP="00DB6A7B">
      <w:pPr>
        <w:rPr>
          <w:rFonts w:cstheme="minorHAnsi"/>
        </w:rPr>
      </w:pPr>
      <w:r w:rsidRPr="00A847B7">
        <w:rPr>
          <w:rFonts w:cstheme="minorHAnsi"/>
        </w:rPr>
        <w:lastRenderedPageBreak/>
        <w:t xml:space="preserve">L’investissement ayant ouvert droit à la réduction d’impôt doit être exploité par l’entreprise locataire pendant un délai de </w:t>
      </w:r>
      <w:r w:rsidR="00A42588" w:rsidRPr="00A847B7">
        <w:rPr>
          <w:rFonts w:cstheme="minorHAnsi"/>
        </w:rPr>
        <w:t>5</w:t>
      </w:r>
      <w:r w:rsidRPr="00A847B7">
        <w:rPr>
          <w:rFonts w:cstheme="minorHAnsi"/>
        </w:rPr>
        <w:t xml:space="preserve"> ans, décompté à partir de la date de réalisation dudit investissement. Ce délai est réduit à la durée normale d’utilisation de l’investissement si cette durée est inférieure à </w:t>
      </w:r>
      <w:r w:rsidR="00A42588" w:rsidRPr="00A847B7">
        <w:rPr>
          <w:rFonts w:cstheme="minorHAnsi"/>
        </w:rPr>
        <w:t>5</w:t>
      </w:r>
      <w:r w:rsidRPr="00A847B7">
        <w:rPr>
          <w:rFonts w:cstheme="minorHAnsi"/>
        </w:rPr>
        <w:t xml:space="preserve"> ans.</w:t>
      </w:r>
    </w:p>
    <w:p w14:paraId="1B8B40A4" w14:textId="619E76EB" w:rsidR="00DB6A7B" w:rsidRPr="00A847B7" w:rsidRDefault="00A42588" w:rsidP="00DB6A7B">
      <w:pPr>
        <w:rPr>
          <w:rFonts w:cstheme="minorHAnsi"/>
        </w:rPr>
      </w:pPr>
      <w:r w:rsidRPr="00A847B7">
        <w:rPr>
          <w:rFonts w:cstheme="minorHAnsi"/>
        </w:rPr>
        <w:t>Pour</w:t>
      </w:r>
      <w:r w:rsidR="00DB6A7B" w:rsidRPr="00A847B7">
        <w:rPr>
          <w:rFonts w:cstheme="minorHAnsi"/>
        </w:rPr>
        <w:t xml:space="preserve"> les investissements dont la durée normale d’utilisation est au moins égale à </w:t>
      </w:r>
      <w:r w:rsidRPr="00A847B7">
        <w:rPr>
          <w:rFonts w:cstheme="minorHAnsi"/>
        </w:rPr>
        <w:t>7</w:t>
      </w:r>
      <w:r w:rsidR="00DB6A7B" w:rsidRPr="00A847B7">
        <w:rPr>
          <w:rFonts w:cstheme="minorHAnsi"/>
        </w:rPr>
        <w:t xml:space="preserve"> ans, l’entreprise locataire doit prendre l’engagement d’utiliser effectivement pendant </w:t>
      </w:r>
      <w:r w:rsidRPr="00A847B7">
        <w:rPr>
          <w:rFonts w:cstheme="minorHAnsi"/>
        </w:rPr>
        <w:t>7</w:t>
      </w:r>
      <w:r w:rsidR="00DB6A7B" w:rsidRPr="00A847B7">
        <w:rPr>
          <w:rFonts w:cstheme="minorHAnsi"/>
        </w:rPr>
        <w:t xml:space="preserve"> ans au moins l’investissement dans le cadre de l’activité pour laquelle il a été acquis ou créé. Cet engagement est porté à </w:t>
      </w:r>
      <w:r w:rsidRPr="00A847B7">
        <w:rPr>
          <w:rFonts w:cstheme="minorHAnsi"/>
        </w:rPr>
        <w:t>10</w:t>
      </w:r>
      <w:r w:rsidR="00DB6A7B" w:rsidRPr="00A847B7">
        <w:rPr>
          <w:rFonts w:cstheme="minorHAnsi"/>
        </w:rPr>
        <w:t xml:space="preserve"> ans pour les investissements portant sur les navires de croisière neufs d’une capacité maximum de 400 passagers et à </w:t>
      </w:r>
      <w:r w:rsidRPr="00A847B7">
        <w:rPr>
          <w:rFonts w:cstheme="minorHAnsi"/>
        </w:rPr>
        <w:t>15</w:t>
      </w:r>
      <w:r w:rsidR="00DB6A7B" w:rsidRPr="00A847B7">
        <w:rPr>
          <w:rFonts w:cstheme="minorHAnsi"/>
        </w:rPr>
        <w:t xml:space="preserve"> ans pour les investissements consistant en la construction, la rénovation ou la réhabilitation d’hôtels, de résidences de tourisme ou de villages de vacances.</w:t>
      </w:r>
    </w:p>
    <w:p w14:paraId="483B8CE6" w14:textId="56F9A716" w:rsidR="00DB6A7B" w:rsidRPr="00A847B7" w:rsidRDefault="00A42588" w:rsidP="00DB6A7B">
      <w:pPr>
        <w:rPr>
          <w:rFonts w:cstheme="minorHAnsi"/>
        </w:rPr>
      </w:pPr>
      <w:r w:rsidRPr="00A847B7">
        <w:rPr>
          <w:rFonts w:cstheme="minorHAnsi"/>
        </w:rPr>
        <w:t>Si, dans ces délais,</w:t>
      </w:r>
      <w:r w:rsidR="00DB6A7B" w:rsidRPr="00A847B7">
        <w:rPr>
          <w:rFonts w:cstheme="minorHAnsi"/>
        </w:rPr>
        <w:t xml:space="preserve"> l’investissement est cédé</w:t>
      </w:r>
      <w:r w:rsidRPr="00A847B7">
        <w:rPr>
          <w:rFonts w:cstheme="minorHAnsi"/>
        </w:rPr>
        <w:t>, cesse</w:t>
      </w:r>
      <w:r w:rsidR="00F76801" w:rsidRPr="00A847B7">
        <w:rPr>
          <w:rFonts w:cstheme="minorHAnsi"/>
        </w:rPr>
        <w:t xml:space="preserve"> </w:t>
      </w:r>
      <w:r w:rsidR="00DB6A7B" w:rsidRPr="00A847B7">
        <w:rPr>
          <w:rFonts w:cstheme="minorHAnsi"/>
        </w:rPr>
        <w:t>d’être affecté à l’exploitation de l’entreprise utilisatrice</w:t>
      </w:r>
      <w:r w:rsidR="00F76801" w:rsidRPr="00A847B7">
        <w:rPr>
          <w:rFonts w:cstheme="minorHAnsi"/>
        </w:rPr>
        <w:t xml:space="preserve">, </w:t>
      </w:r>
      <w:r w:rsidR="00DB6A7B" w:rsidRPr="00A847B7">
        <w:rPr>
          <w:rFonts w:cstheme="minorHAnsi"/>
        </w:rPr>
        <w:t xml:space="preserve">si l’acquéreur cesse son activité, ou si l’une des conditions </w:t>
      </w:r>
      <w:r w:rsidR="00F76801" w:rsidRPr="00A847B7">
        <w:rPr>
          <w:rFonts w:cstheme="minorHAnsi"/>
        </w:rPr>
        <w:t>d’application cesse d’être</w:t>
      </w:r>
      <w:r w:rsidR="00DB6A7B" w:rsidRPr="00A847B7">
        <w:rPr>
          <w:rFonts w:cstheme="minorHAnsi"/>
        </w:rPr>
        <w:t xml:space="preserve"> respectée, la réduction d’impôt fait l’objet d’une reprise au titre de l’exercice ou de l’année au cours duquel interviennent les événements précités.</w:t>
      </w:r>
    </w:p>
    <w:p w14:paraId="2F992BAC" w14:textId="71068675" w:rsidR="00DB6A7B" w:rsidRPr="00A847B7" w:rsidRDefault="004F407C" w:rsidP="00DB6A7B">
      <w:pPr>
        <w:rPr>
          <w:rFonts w:cstheme="minorHAnsi"/>
        </w:rPr>
      </w:pPr>
      <w:r w:rsidRPr="00A847B7">
        <w:rPr>
          <w:rFonts w:cstheme="minorHAnsi"/>
        </w:rPr>
        <w:t xml:space="preserve">En revanche, la réduction d’impôt ne sera pas reprise : </w:t>
      </w:r>
    </w:p>
    <w:p w14:paraId="222D3057" w14:textId="225B693F" w:rsidR="00DB6A7B" w:rsidRPr="00A847B7" w:rsidRDefault="004F407C" w:rsidP="00EE0687">
      <w:pPr>
        <w:pStyle w:val="Paragraphedeliste"/>
        <w:numPr>
          <w:ilvl w:val="0"/>
          <w:numId w:val="169"/>
        </w:numPr>
        <w:rPr>
          <w:rFonts w:cstheme="minorHAnsi"/>
        </w:rPr>
      </w:pPr>
      <w:r w:rsidRPr="00A847B7">
        <w:rPr>
          <w:rFonts w:cstheme="minorHAnsi"/>
        </w:rPr>
        <w:t>lorsque</w:t>
      </w:r>
      <w:r w:rsidR="00DB6A7B" w:rsidRPr="00A847B7">
        <w:rPr>
          <w:rFonts w:cstheme="minorHAnsi"/>
        </w:rPr>
        <w:t xml:space="preserve"> les biens ayant ouvert droit à la réduction d’impôt sont transmis dans</w:t>
      </w:r>
      <w:r w:rsidR="009E60D3" w:rsidRPr="00A847B7">
        <w:rPr>
          <w:rFonts w:cstheme="minorHAnsi"/>
        </w:rPr>
        <w:t xml:space="preserve"> </w:t>
      </w:r>
      <w:r w:rsidR="008E7CAC" w:rsidRPr="00A847B7">
        <w:rPr>
          <w:rFonts w:cstheme="minorHAnsi"/>
        </w:rPr>
        <w:t xml:space="preserve">le cadre </w:t>
      </w:r>
      <w:r w:rsidR="009E60D3" w:rsidRPr="00A847B7">
        <w:rPr>
          <w:rFonts w:cstheme="minorHAnsi"/>
        </w:rPr>
        <w:t xml:space="preserve">d’une fusion ou </w:t>
      </w:r>
      <w:r w:rsidR="008E7CAC" w:rsidRPr="00A847B7">
        <w:rPr>
          <w:rFonts w:cstheme="minorHAnsi"/>
        </w:rPr>
        <w:t>d’un apport partiel d’actif</w:t>
      </w:r>
      <w:r w:rsidR="00DB6A7B" w:rsidRPr="00A847B7">
        <w:rPr>
          <w:rFonts w:cstheme="minorHAnsi"/>
        </w:rPr>
        <w:t>, si le bénéficiaire de la transmission s’engage à maintenir l’exploitation des biens dans une collectivité d’outre-mer ou en Nouvelle-Calédonie dans le cadre d’une activité éligible pendant la fraction du délai de conservation restant à courir.</w:t>
      </w:r>
    </w:p>
    <w:p w14:paraId="4A05D1E9" w14:textId="3A1DA0AE" w:rsidR="00DB6A7B" w:rsidRPr="00A847B7" w:rsidRDefault="00175C55" w:rsidP="00EE0687">
      <w:pPr>
        <w:pStyle w:val="Paragraphedeliste"/>
        <w:numPr>
          <w:ilvl w:val="0"/>
          <w:numId w:val="169"/>
        </w:numPr>
        <w:rPr>
          <w:rFonts w:cstheme="minorHAnsi"/>
        </w:rPr>
      </w:pPr>
      <w:r w:rsidRPr="00A847B7">
        <w:rPr>
          <w:rFonts w:cstheme="minorHAnsi"/>
        </w:rPr>
        <w:t>lorsque</w:t>
      </w:r>
      <w:r w:rsidR="00DB6A7B" w:rsidRPr="00A847B7">
        <w:rPr>
          <w:rFonts w:cstheme="minorHAnsi"/>
        </w:rPr>
        <w:t>, en cas de défaillance de l’exploitant, les biens ayant ouvert droit à la réduction d’impôt sont repris par une autre entreprise qui s’engage à les maintenir dans l’activité pour laquelle ils ont été acquis ou créés pendant la fraction du délai de conservation restant à courir.</w:t>
      </w:r>
    </w:p>
    <w:p w14:paraId="5C52A7AB" w14:textId="638857FB" w:rsidR="00DB6A7B" w:rsidRPr="00A847B7" w:rsidRDefault="00DB6A7B" w:rsidP="00DB6A7B">
      <w:pPr>
        <w:rPr>
          <w:rFonts w:cstheme="minorHAnsi"/>
        </w:rPr>
      </w:pPr>
      <w:r w:rsidRPr="00A847B7">
        <w:rPr>
          <w:rFonts w:cstheme="minorHAnsi"/>
        </w:rPr>
        <w:t>Pour les souscriptions au capital de sociétés</w:t>
      </w:r>
      <w:r w:rsidR="00CC5ACF" w:rsidRPr="00A847B7">
        <w:rPr>
          <w:rFonts w:cstheme="minorHAnsi"/>
        </w:rPr>
        <w:t xml:space="preserve"> </w:t>
      </w:r>
      <w:r w:rsidRPr="00A847B7">
        <w:rPr>
          <w:rFonts w:cstheme="minorHAnsi"/>
        </w:rPr>
        <w:t>:</w:t>
      </w:r>
    </w:p>
    <w:p w14:paraId="69F724A8" w14:textId="42537801" w:rsidR="00DB6A7B" w:rsidRPr="00A847B7" w:rsidRDefault="00CC5ACF" w:rsidP="00EE0687">
      <w:pPr>
        <w:pStyle w:val="Paragraphedeliste"/>
        <w:numPr>
          <w:ilvl w:val="0"/>
          <w:numId w:val="170"/>
        </w:numPr>
        <w:rPr>
          <w:rFonts w:cstheme="minorHAnsi"/>
        </w:rPr>
      </w:pPr>
      <w:r w:rsidRPr="00A847B7">
        <w:rPr>
          <w:rFonts w:cstheme="minorHAnsi"/>
        </w:rPr>
        <w:t>les</w:t>
      </w:r>
      <w:r w:rsidR="00DB6A7B" w:rsidRPr="00A847B7">
        <w:rPr>
          <w:rFonts w:cstheme="minorHAnsi"/>
        </w:rPr>
        <w:t xml:space="preserve"> investissements productifs doivent être effectués par les sociétés bénéficiaires des souscriptions dans les </w:t>
      </w:r>
      <w:r w:rsidRPr="00A847B7">
        <w:rPr>
          <w:rFonts w:cstheme="minorHAnsi"/>
        </w:rPr>
        <w:t>12</w:t>
      </w:r>
      <w:r w:rsidR="00DB6A7B" w:rsidRPr="00A847B7">
        <w:rPr>
          <w:rFonts w:cstheme="minorHAnsi"/>
        </w:rPr>
        <w:t xml:space="preserve"> mois de la clôture de la souscription</w:t>
      </w:r>
      <w:r w:rsidRPr="00A847B7">
        <w:rPr>
          <w:rFonts w:cstheme="minorHAnsi"/>
        </w:rPr>
        <w:t> : à</w:t>
      </w:r>
      <w:r w:rsidR="00DB6A7B" w:rsidRPr="00A847B7">
        <w:rPr>
          <w:rFonts w:cstheme="minorHAnsi"/>
        </w:rPr>
        <w:t xml:space="preserve"> défaut, la réduction d’impôt dont a bénéficié le souscripteur fait l’objet d’une reprise au titre de l’exercice au cours duquel le délai arrive à expiration ;</w:t>
      </w:r>
    </w:p>
    <w:p w14:paraId="4946438E" w14:textId="6A953B82" w:rsidR="00DB6A7B" w:rsidRPr="00A847B7" w:rsidRDefault="00B0793D" w:rsidP="00EE0687">
      <w:pPr>
        <w:pStyle w:val="Paragraphedeliste"/>
        <w:numPr>
          <w:ilvl w:val="0"/>
          <w:numId w:val="170"/>
        </w:numPr>
        <w:rPr>
          <w:rFonts w:cstheme="minorHAnsi"/>
        </w:rPr>
      </w:pPr>
      <w:r w:rsidRPr="00A847B7">
        <w:rPr>
          <w:rFonts w:cstheme="minorHAnsi"/>
        </w:rPr>
        <w:t xml:space="preserve">les </w:t>
      </w:r>
      <w:r w:rsidR="00DB6A7B" w:rsidRPr="00A847B7">
        <w:rPr>
          <w:rFonts w:cstheme="minorHAnsi"/>
        </w:rPr>
        <w:t xml:space="preserve">investissements productifs doivent être exploités par la société bénéficiaire des souscriptions pendant un délai de </w:t>
      </w:r>
      <w:r w:rsidRPr="00A847B7">
        <w:rPr>
          <w:rFonts w:cstheme="minorHAnsi"/>
        </w:rPr>
        <w:t>5</w:t>
      </w:r>
      <w:r w:rsidR="00DB6A7B" w:rsidRPr="00A847B7">
        <w:rPr>
          <w:rFonts w:cstheme="minorHAnsi"/>
        </w:rPr>
        <w:t xml:space="preserve"> ans, décompté à partir de la date de réalisation de l’investissement</w:t>
      </w:r>
      <w:r w:rsidRPr="00A847B7">
        <w:rPr>
          <w:rFonts w:cstheme="minorHAnsi"/>
        </w:rPr>
        <w:t> : c</w:t>
      </w:r>
      <w:r w:rsidR="00DB6A7B" w:rsidRPr="00A847B7">
        <w:rPr>
          <w:rFonts w:cstheme="minorHAnsi"/>
        </w:rPr>
        <w:t xml:space="preserve">e délai est réduit à la durée normale d’utilisation de l’investissement si cette durée est inférieure à </w:t>
      </w:r>
      <w:r w:rsidRPr="00A847B7">
        <w:rPr>
          <w:rFonts w:cstheme="minorHAnsi"/>
        </w:rPr>
        <w:t>5</w:t>
      </w:r>
      <w:r w:rsidR="00DB6A7B" w:rsidRPr="00A847B7">
        <w:rPr>
          <w:rFonts w:cstheme="minorHAnsi"/>
        </w:rPr>
        <w:t xml:space="preserve"> ans.</w:t>
      </w:r>
    </w:p>
    <w:p w14:paraId="279A8876" w14:textId="1A76F130" w:rsidR="00DB6A7B" w:rsidRPr="00A847B7" w:rsidRDefault="0076629C" w:rsidP="00DB6A7B">
      <w:pPr>
        <w:rPr>
          <w:rFonts w:cstheme="minorHAnsi"/>
        </w:rPr>
      </w:pPr>
      <w:r w:rsidRPr="00A847B7">
        <w:rPr>
          <w:rFonts w:cstheme="minorHAnsi"/>
        </w:rPr>
        <w:t>Pour</w:t>
      </w:r>
      <w:r w:rsidR="00DB6A7B" w:rsidRPr="00A847B7">
        <w:rPr>
          <w:rFonts w:cstheme="minorHAnsi"/>
        </w:rPr>
        <w:t xml:space="preserve"> les investissements dont la durée normale d’utilisation est au moins égale à </w:t>
      </w:r>
      <w:r w:rsidRPr="00A847B7">
        <w:rPr>
          <w:rFonts w:cstheme="minorHAnsi"/>
        </w:rPr>
        <w:t>7</w:t>
      </w:r>
      <w:r w:rsidR="00DB6A7B" w:rsidRPr="00A847B7">
        <w:rPr>
          <w:rFonts w:cstheme="minorHAnsi"/>
        </w:rPr>
        <w:t xml:space="preserve"> ans, la société bénéficiaire des souscriptions doit prendre l’engagement d’utiliser effectivement pendant </w:t>
      </w:r>
      <w:r w:rsidRPr="00A847B7">
        <w:rPr>
          <w:rFonts w:cstheme="minorHAnsi"/>
        </w:rPr>
        <w:t>7</w:t>
      </w:r>
      <w:r w:rsidR="00DB6A7B" w:rsidRPr="00A847B7">
        <w:rPr>
          <w:rFonts w:cstheme="minorHAnsi"/>
        </w:rPr>
        <w:t xml:space="preserve"> ans au moins l’investissement dans le cadre de l’activité pour laquelle il a été acquis ou créé. Cet engagement est porté à </w:t>
      </w:r>
      <w:r w:rsidRPr="00A847B7">
        <w:rPr>
          <w:rFonts w:cstheme="minorHAnsi"/>
        </w:rPr>
        <w:t>10</w:t>
      </w:r>
      <w:r w:rsidR="00DB6A7B" w:rsidRPr="00A847B7">
        <w:rPr>
          <w:rFonts w:cstheme="minorHAnsi"/>
        </w:rPr>
        <w:t xml:space="preserve"> ans pour les investissements portant sur les navires de croisière neufs d’une capacité maximum de 400 passagers et à </w:t>
      </w:r>
      <w:r w:rsidRPr="00A847B7">
        <w:rPr>
          <w:rFonts w:cstheme="minorHAnsi"/>
        </w:rPr>
        <w:t>15</w:t>
      </w:r>
      <w:r w:rsidR="00DB6A7B" w:rsidRPr="00A847B7">
        <w:rPr>
          <w:rFonts w:cstheme="minorHAnsi"/>
        </w:rPr>
        <w:t xml:space="preserve"> ans pour les investissements consistant en la construction, la rénovation ou la réhabilitation d’hôtels, de résidences de tourisme ou de villages vacances.</w:t>
      </w:r>
    </w:p>
    <w:p w14:paraId="6E71E397" w14:textId="600F6DDE" w:rsidR="00DB6A7B" w:rsidRPr="00A847B7" w:rsidRDefault="00DB6A7B" w:rsidP="00DB6A7B">
      <w:pPr>
        <w:rPr>
          <w:rFonts w:cstheme="minorHAnsi"/>
        </w:rPr>
      </w:pPr>
      <w:r w:rsidRPr="00A847B7">
        <w:rPr>
          <w:rFonts w:cstheme="minorHAnsi"/>
        </w:rPr>
        <w:t>Si, dans le délai prévu</w:t>
      </w:r>
      <w:r w:rsidR="0076629C" w:rsidRPr="00A847B7">
        <w:rPr>
          <w:rFonts w:cstheme="minorHAnsi"/>
        </w:rPr>
        <w:t>, l’engagement</w:t>
      </w:r>
      <w:r w:rsidRPr="00A847B7">
        <w:rPr>
          <w:rFonts w:cstheme="minorHAnsi"/>
        </w:rPr>
        <w:t xml:space="preserve"> ou l’une de ces conditions ne sont pas respectés, la réduction d’impôt dont a bénéficié le souscripteur fait l’objet d’une reprise au titre de l’exercice au cours duquel cet évènement est constaté</w:t>
      </w:r>
      <w:r w:rsidR="00E41123" w:rsidRPr="00A847B7">
        <w:rPr>
          <w:rFonts w:cstheme="minorHAnsi"/>
        </w:rPr>
        <w:t>, sauf dans le cas d’un apport partiel d’actif</w:t>
      </w:r>
      <w:r w:rsidR="00C70064" w:rsidRPr="00A847B7">
        <w:rPr>
          <w:rFonts w:cstheme="minorHAnsi"/>
        </w:rPr>
        <w:t>,</w:t>
      </w:r>
      <w:r w:rsidR="00E41123" w:rsidRPr="00A847B7">
        <w:rPr>
          <w:rFonts w:cstheme="minorHAnsi"/>
        </w:rPr>
        <w:t xml:space="preserve"> d’une fusion</w:t>
      </w:r>
      <w:r w:rsidR="00C70064" w:rsidRPr="00A847B7">
        <w:rPr>
          <w:rFonts w:cstheme="minorHAnsi"/>
        </w:rPr>
        <w:t xml:space="preserve"> ou d’une opération d’échange de titres</w:t>
      </w:r>
      <w:r w:rsidR="008E7CAC" w:rsidRPr="00A847B7">
        <w:rPr>
          <w:rFonts w:cstheme="minorHAnsi"/>
        </w:rPr>
        <w:t>, dès lors que la société bénéficiaire de l’apport ou la société absorbante, réponde aux mêmes conditions d’activité et repren</w:t>
      </w:r>
      <w:r w:rsidR="00452EEE">
        <w:rPr>
          <w:rFonts w:cstheme="minorHAnsi"/>
        </w:rPr>
        <w:t>d</w:t>
      </w:r>
      <w:r w:rsidR="008E7CAC" w:rsidRPr="00A847B7">
        <w:rPr>
          <w:rFonts w:cstheme="minorHAnsi"/>
        </w:rPr>
        <w:t>, sous les mêmes conditions et sanctions, les mêmes engagements pour la fraction du délai restant à courir</w:t>
      </w:r>
    </w:p>
    <w:p w14:paraId="36011643" w14:textId="0BB0E25D" w:rsidR="00DB6A7B" w:rsidRPr="00A847B7" w:rsidRDefault="00DB6A7B" w:rsidP="00DB6A7B">
      <w:pPr>
        <w:rPr>
          <w:rFonts w:cstheme="minorHAnsi"/>
        </w:rPr>
      </w:pPr>
      <w:r w:rsidRPr="00A847B7">
        <w:rPr>
          <w:rFonts w:cstheme="minorHAnsi"/>
        </w:rPr>
        <w:lastRenderedPageBreak/>
        <w:t xml:space="preserve">Lorsque l’investissement productif revêt la forme de la construction d’un immeuble ou de l’acquisition d’un immeuble à construire, l’immeuble doit être achevé dans les </w:t>
      </w:r>
      <w:r w:rsidR="002C24EC" w:rsidRPr="00A847B7">
        <w:rPr>
          <w:rFonts w:cstheme="minorHAnsi"/>
        </w:rPr>
        <w:t>2</w:t>
      </w:r>
      <w:r w:rsidRPr="00A847B7">
        <w:rPr>
          <w:rFonts w:cstheme="minorHAnsi"/>
        </w:rPr>
        <w:t xml:space="preserve"> ans suivant la date à laquelle les fondations sont achevées. En cas de souscription affectée totalement ou partiellement à la construction d’immeubles destinés à l’exercice d’une activité éligible, la société bénéficiaire de la souscription doit s’engager à en achever les fondations dans les </w:t>
      </w:r>
      <w:r w:rsidR="002C24EC" w:rsidRPr="00A847B7">
        <w:rPr>
          <w:rFonts w:cstheme="minorHAnsi"/>
        </w:rPr>
        <w:t>2</w:t>
      </w:r>
      <w:r w:rsidRPr="00A847B7">
        <w:rPr>
          <w:rFonts w:cstheme="minorHAnsi"/>
        </w:rPr>
        <w:t xml:space="preserve"> ans qui suivent la clôture de la souscription et à achever l’immeuble dans les </w:t>
      </w:r>
      <w:r w:rsidR="00335F89" w:rsidRPr="00A847B7">
        <w:rPr>
          <w:rFonts w:cstheme="minorHAnsi"/>
        </w:rPr>
        <w:t>2</w:t>
      </w:r>
      <w:r w:rsidRPr="00A847B7">
        <w:rPr>
          <w:rFonts w:cstheme="minorHAnsi"/>
        </w:rPr>
        <w:t xml:space="preserve"> ans qui suivent la date d’achèvement des fondations.</w:t>
      </w:r>
    </w:p>
    <w:p w14:paraId="62BFD49D" w14:textId="7B845786" w:rsidR="00DB6A7B" w:rsidRPr="00A847B7" w:rsidRDefault="00335F89" w:rsidP="00DB6A7B">
      <w:pPr>
        <w:rPr>
          <w:rFonts w:cstheme="minorHAnsi"/>
        </w:rPr>
      </w:pPr>
      <w:r w:rsidRPr="00A847B7">
        <w:rPr>
          <w:rFonts w:cstheme="minorHAnsi"/>
        </w:rPr>
        <w:t>A</w:t>
      </w:r>
      <w:r w:rsidR="00DB6A7B" w:rsidRPr="00A847B7">
        <w:rPr>
          <w:rFonts w:cstheme="minorHAnsi"/>
        </w:rPr>
        <w:t xml:space="preserve"> défaut, la réduction d’impôt fait l’objet d’une reprise.</w:t>
      </w:r>
    </w:p>
    <w:p w14:paraId="37023AC8" w14:textId="334092B7" w:rsidR="00DB6A7B" w:rsidRPr="00A847B7" w:rsidRDefault="00DB6A7B" w:rsidP="009C4357">
      <w:pPr>
        <w:rPr>
          <w:rFonts w:cstheme="minorHAnsi"/>
        </w:rPr>
      </w:pPr>
      <w:r w:rsidRPr="00A847B7">
        <w:rPr>
          <w:rFonts w:cstheme="minorHAnsi"/>
        </w:rPr>
        <w:t xml:space="preserve">Lorsque l’investissement porte sur la construction ou l’acquisition d’un logement neuf, la réduction d’impôt acquise au titre de cet investissement fait l’objet d’une reprise au titre de l’exercice au cours duquel l’une des conditions </w:t>
      </w:r>
      <w:r w:rsidR="009C4357" w:rsidRPr="00A847B7">
        <w:rPr>
          <w:rFonts w:cstheme="minorHAnsi"/>
        </w:rPr>
        <w:t>d’application</w:t>
      </w:r>
      <w:r w:rsidRPr="00A847B7">
        <w:rPr>
          <w:rFonts w:cstheme="minorHAnsi"/>
        </w:rPr>
        <w:t xml:space="preserve"> n’est plus respectée</w:t>
      </w:r>
      <w:r w:rsidR="009C4357" w:rsidRPr="00A847B7">
        <w:rPr>
          <w:rFonts w:cstheme="minorHAnsi"/>
        </w:rPr>
        <w:t>, sauf si</w:t>
      </w:r>
      <w:r w:rsidRPr="00A847B7">
        <w:rPr>
          <w:rFonts w:cstheme="minorHAnsi"/>
        </w:rPr>
        <w:t xml:space="preserve"> les logements ayant ouvert droit à la réduction d’impôt sont repris par une autre entreprise ou organisme qui s’engage à louer les logements, dans les</w:t>
      </w:r>
      <w:r w:rsidR="009C4357" w:rsidRPr="00A847B7">
        <w:rPr>
          <w:rFonts w:cstheme="minorHAnsi"/>
        </w:rPr>
        <w:t xml:space="preserve"> mêmes</w:t>
      </w:r>
      <w:r w:rsidRPr="00A847B7">
        <w:rPr>
          <w:rFonts w:cstheme="minorHAnsi"/>
        </w:rPr>
        <w:t xml:space="preserve"> conditions, pour la fraction de la durée minimale de location restant à courir.</w:t>
      </w:r>
    </w:p>
    <w:p w14:paraId="70043276" w14:textId="48AB6D1A" w:rsidR="00DB6A7B" w:rsidRPr="00A847B7" w:rsidRDefault="00DB6A7B" w:rsidP="00DB6A7B">
      <w:pPr>
        <w:rPr>
          <w:rFonts w:cstheme="minorHAnsi"/>
        </w:rPr>
      </w:pPr>
      <w:r w:rsidRPr="00A847B7">
        <w:rPr>
          <w:rFonts w:cstheme="minorHAnsi"/>
        </w:rPr>
        <w:t>Les associés ou membres de sociétés</w:t>
      </w:r>
      <w:r w:rsidR="007460C7" w:rsidRPr="00A847B7">
        <w:rPr>
          <w:rFonts w:cstheme="minorHAnsi"/>
        </w:rPr>
        <w:t xml:space="preserve">, de GIE ou de GEIE </w:t>
      </w:r>
      <w:r w:rsidRPr="00A847B7">
        <w:rPr>
          <w:rFonts w:cstheme="minorHAnsi"/>
        </w:rPr>
        <w:t xml:space="preserve">doivent conserver les parts de cette société ou de ce groupement pendant un délai de </w:t>
      </w:r>
      <w:r w:rsidR="007460C7" w:rsidRPr="00A847B7">
        <w:rPr>
          <w:rFonts w:cstheme="minorHAnsi"/>
        </w:rPr>
        <w:t>5</w:t>
      </w:r>
      <w:r w:rsidRPr="00A847B7">
        <w:rPr>
          <w:rFonts w:cstheme="minorHAnsi"/>
        </w:rPr>
        <w:t xml:space="preserve"> ans à compter de la date de réalisation de l’investissement. Ce délai est réduit à la durée normale d’utilisation de l’investissement si cette durée est inférieure à </w:t>
      </w:r>
      <w:r w:rsidR="007460C7" w:rsidRPr="00A847B7">
        <w:rPr>
          <w:rFonts w:cstheme="minorHAnsi"/>
        </w:rPr>
        <w:t>5</w:t>
      </w:r>
      <w:r w:rsidRPr="00A847B7">
        <w:rPr>
          <w:rFonts w:cstheme="minorHAnsi"/>
        </w:rPr>
        <w:t xml:space="preserve"> ans. À défaut, la réduction d’impôt qu’ils ont pratiquée fait l’objet d’une reprise au titre de l’exercice au cours duquel la cession est intervenue.</w:t>
      </w:r>
    </w:p>
    <w:p w14:paraId="6C10D3AC" w14:textId="2DBBA866" w:rsidR="00DB6A7B" w:rsidRPr="00A847B7" w:rsidRDefault="00B52319" w:rsidP="00DB6A7B">
      <w:pPr>
        <w:rPr>
          <w:rFonts w:cstheme="minorHAnsi"/>
        </w:rPr>
      </w:pPr>
      <w:r w:rsidRPr="00A847B7">
        <w:rPr>
          <w:rFonts w:cstheme="minorHAnsi"/>
        </w:rPr>
        <w:t>Le</w:t>
      </w:r>
      <w:r w:rsidR="00DB6A7B" w:rsidRPr="00A847B7">
        <w:rPr>
          <w:rFonts w:cstheme="minorHAnsi"/>
        </w:rPr>
        <w:t xml:space="preserve">s entreprises réalisant l’investissement et les entreprises exploitantes </w:t>
      </w:r>
      <w:r w:rsidRPr="00A847B7">
        <w:rPr>
          <w:rFonts w:cstheme="minorHAnsi"/>
        </w:rPr>
        <w:t xml:space="preserve">doivent être à jour </w:t>
      </w:r>
      <w:r w:rsidR="00DB6A7B" w:rsidRPr="00A847B7">
        <w:rPr>
          <w:rFonts w:cstheme="minorHAnsi"/>
        </w:rPr>
        <w:t>de leurs obligations fiscales et sociales et de l’obligation de dépôt de leurs comptes annuels</w:t>
      </w:r>
      <w:r w:rsidRPr="00A847B7">
        <w:rPr>
          <w:rFonts w:cstheme="minorHAnsi"/>
        </w:rPr>
        <w:t>.</w:t>
      </w:r>
    </w:p>
    <w:p w14:paraId="481C493E" w14:textId="06F01972" w:rsidR="00E8753D" w:rsidRPr="00A847B7" w:rsidRDefault="008C0753" w:rsidP="00E8753D">
      <w:pPr>
        <w:rPr>
          <w:rFonts w:cstheme="minorHAnsi"/>
        </w:rPr>
      </w:pPr>
      <w:r w:rsidRPr="00A847B7">
        <w:rPr>
          <w:rFonts w:cstheme="minorHAnsi"/>
        </w:rPr>
        <w:t>Enfin, a</w:t>
      </w:r>
      <w:r w:rsidR="00655E1F" w:rsidRPr="00A847B7">
        <w:rPr>
          <w:rFonts w:cstheme="minorHAnsi"/>
        </w:rPr>
        <w:t>u</w:t>
      </w:r>
      <w:r w:rsidR="00E8753D" w:rsidRPr="00A847B7">
        <w:rPr>
          <w:rFonts w:cstheme="minorHAnsi"/>
        </w:rPr>
        <w:t xml:space="preserve"> titre d’un même programme d’investissement</w:t>
      </w:r>
      <w:r w:rsidR="00655E1F" w:rsidRPr="00A847B7">
        <w:rPr>
          <w:rFonts w:cstheme="minorHAnsi"/>
        </w:rPr>
        <w:t>, cette réduction d’impôt n’est pas cumulable avec</w:t>
      </w:r>
      <w:r w:rsidR="000876FD" w:rsidRPr="00A847B7">
        <w:rPr>
          <w:rFonts w:cstheme="minorHAnsi"/>
        </w:rPr>
        <w:t xml:space="preserve"> les autres avantages fiscaux relevant du dispositif Girardin.</w:t>
      </w:r>
    </w:p>
    <w:p w14:paraId="25AC8FB4" w14:textId="5ACF36BB" w:rsidR="00D25820" w:rsidRPr="003A2073" w:rsidRDefault="00D25820" w:rsidP="00EE0687">
      <w:pPr>
        <w:pStyle w:val="Paragraphedeliste"/>
        <w:numPr>
          <w:ilvl w:val="0"/>
          <w:numId w:val="86"/>
        </w:numPr>
        <w:rPr>
          <w:rFonts w:cstheme="minorHAnsi"/>
          <w:b/>
          <w:bCs/>
          <w:i/>
          <w:iCs/>
          <w:u w:val="single"/>
        </w:rPr>
      </w:pPr>
      <w:r w:rsidRPr="00A847B7">
        <w:rPr>
          <w:rFonts w:cstheme="minorHAnsi"/>
          <w:b/>
          <w:bCs/>
          <w:i/>
          <w:iCs/>
          <w:u w:val="single"/>
        </w:rPr>
        <w:t>Aménagements corrélatifs de la déduction fiscale, ouverte aux entreprises soumises à l’IS réalisant, au titre de leur dernier exercice clos, un chiffre d'affaires inférieur à 20 M€, pour les investissements réalisés à Saint-Pierre-et-Miquelon, en Nouvelle-Calédonie, en Polynésie française, à Saint-Martin, à Saint</w:t>
      </w:r>
      <w:r w:rsidRPr="003A2073">
        <w:rPr>
          <w:rFonts w:cstheme="minorHAnsi"/>
          <w:b/>
          <w:bCs/>
          <w:i/>
          <w:iCs/>
          <w:u w:val="single"/>
        </w:rPr>
        <w:t>-Barthélemy, dans les îles Wallis et Futuna et les Terres australes et antarctiques françaises (</w:t>
      </w:r>
      <w:r w:rsidRPr="00DC20C8">
        <w:rPr>
          <w:rFonts w:cstheme="minorHAnsi"/>
          <w:b/>
          <w:i/>
          <w:u w:val="single"/>
        </w:rPr>
        <w:t xml:space="preserve">article </w:t>
      </w:r>
      <w:r w:rsidR="005344E6" w:rsidRPr="00DC20C8">
        <w:rPr>
          <w:rFonts w:cstheme="minorHAnsi"/>
          <w:b/>
          <w:i/>
          <w:u w:val="single"/>
        </w:rPr>
        <w:t>217 duodecies</w:t>
      </w:r>
      <w:r w:rsidR="005344E6" w:rsidRPr="003A2073">
        <w:rPr>
          <w:rFonts w:cstheme="minorHAnsi"/>
          <w:b/>
          <w:bCs/>
          <w:i/>
          <w:iCs/>
          <w:u w:val="single"/>
        </w:rPr>
        <w:t>)</w:t>
      </w:r>
    </w:p>
    <w:p w14:paraId="1FC6B8CF" w14:textId="29AA988B" w:rsidR="00D25820" w:rsidRPr="00A847B7" w:rsidRDefault="00D25820" w:rsidP="00E8753D">
      <w:pPr>
        <w:rPr>
          <w:rFonts w:cstheme="minorHAnsi"/>
        </w:rPr>
      </w:pPr>
      <w:r w:rsidRPr="00A847B7">
        <w:rPr>
          <w:rFonts w:cstheme="minorHAnsi"/>
        </w:rPr>
        <w:t>Cette déduction fiscale devait s’appliquer jusqu’au 31 décembre 2025. Elle prendra finalement fin au 31 décembre 2021.</w:t>
      </w:r>
    </w:p>
    <w:p w14:paraId="10AACD9D" w14:textId="62BF8DC8" w:rsidR="00D25820" w:rsidRPr="00A847B7" w:rsidRDefault="005344E6" w:rsidP="00E8753D">
      <w:pPr>
        <w:rPr>
          <w:rFonts w:cstheme="minorHAnsi"/>
        </w:rPr>
      </w:pPr>
      <w:r w:rsidRPr="00A847B7">
        <w:rPr>
          <w:rFonts w:cstheme="minorHAnsi"/>
        </w:rPr>
        <w:t xml:space="preserve">Sur </w:t>
      </w:r>
      <w:r w:rsidR="00C8411C" w:rsidRPr="00A847B7">
        <w:rPr>
          <w:rFonts w:cstheme="minorHAnsi"/>
        </w:rPr>
        <w:t>option</w:t>
      </w:r>
      <w:r w:rsidRPr="00A847B7">
        <w:rPr>
          <w:rFonts w:cstheme="minorHAnsi"/>
        </w:rPr>
        <w:t xml:space="preserve"> toutefois, elle contin</w:t>
      </w:r>
      <w:r w:rsidR="006C6975" w:rsidRPr="00A847B7">
        <w:rPr>
          <w:rFonts w:cstheme="minorHAnsi"/>
        </w:rPr>
        <w:t>uera à s’appliquer, dans sa rédaction antérieure à la Loi de Finances pour 2021 aux :</w:t>
      </w:r>
    </w:p>
    <w:p w14:paraId="2D221BB2" w14:textId="68050EBF" w:rsidR="00577E56" w:rsidRPr="00A847B7" w:rsidRDefault="00577E56" w:rsidP="00EE0687">
      <w:pPr>
        <w:pStyle w:val="Paragraphedeliste"/>
        <w:numPr>
          <w:ilvl w:val="0"/>
          <w:numId w:val="171"/>
        </w:numPr>
        <w:rPr>
          <w:rFonts w:cstheme="minorHAnsi"/>
        </w:rPr>
      </w:pPr>
      <w:r w:rsidRPr="00A847B7">
        <w:rPr>
          <w:rFonts w:cstheme="minorHAnsi"/>
        </w:rPr>
        <w:t>investissements pour l’agrément desquels une demande est parvenue à l’administration au plus tard le 31 décembre 2021 et pour lesquels le fait générateur de l’avantage fiscal n’est pas intervenu à cette date ;</w:t>
      </w:r>
    </w:p>
    <w:p w14:paraId="108D39A2" w14:textId="2513A03D" w:rsidR="00577E56" w:rsidRPr="00A847B7" w:rsidRDefault="00577E56" w:rsidP="00EE0687">
      <w:pPr>
        <w:pStyle w:val="Paragraphedeliste"/>
        <w:numPr>
          <w:ilvl w:val="0"/>
          <w:numId w:val="171"/>
        </w:numPr>
        <w:rPr>
          <w:rFonts w:cstheme="minorHAnsi"/>
        </w:rPr>
      </w:pPr>
      <w:r w:rsidRPr="00A847B7">
        <w:rPr>
          <w:rFonts w:cstheme="minorHAnsi"/>
        </w:rPr>
        <w:t>acquisitions de biens meubles corporels qui font l’objet d’une commande au plus tard le 31 décembre 2021 et pour lesquels des acomptes au moins égaux à 50 % de leur prix ont été versés à cette date ;</w:t>
      </w:r>
    </w:p>
    <w:p w14:paraId="14E8B7A6" w14:textId="7CF6F862" w:rsidR="00577E56" w:rsidRPr="00A847B7" w:rsidRDefault="00577E56" w:rsidP="00EE0687">
      <w:pPr>
        <w:pStyle w:val="Paragraphedeliste"/>
        <w:numPr>
          <w:ilvl w:val="0"/>
          <w:numId w:val="171"/>
        </w:numPr>
        <w:rPr>
          <w:rFonts w:cstheme="minorHAnsi"/>
        </w:rPr>
      </w:pPr>
      <w:r w:rsidRPr="00A847B7">
        <w:rPr>
          <w:rFonts w:cstheme="minorHAnsi"/>
        </w:rPr>
        <w:t>travaux de réhabilitation d’immeubles pour lesquels des acomptes au moins égaux à 50 % de leur prix ont été versés au plus tard le 31 décembre 2021 ;</w:t>
      </w:r>
    </w:p>
    <w:p w14:paraId="6F41F07E" w14:textId="29A3B898" w:rsidR="006C6975" w:rsidRPr="00A847B7" w:rsidRDefault="00577E56" w:rsidP="00EE0687">
      <w:pPr>
        <w:pStyle w:val="Paragraphedeliste"/>
        <w:numPr>
          <w:ilvl w:val="0"/>
          <w:numId w:val="171"/>
        </w:numPr>
        <w:rPr>
          <w:rFonts w:cstheme="minorHAnsi"/>
        </w:rPr>
      </w:pPr>
      <w:r w:rsidRPr="00A847B7">
        <w:rPr>
          <w:rFonts w:cstheme="minorHAnsi"/>
        </w:rPr>
        <w:t>constructions d’immeubles ayant fait l’objet d’une déclaration d’ouverture de chantier déposée au plus tard le 31 décembre 2021.</w:t>
      </w:r>
    </w:p>
    <w:p w14:paraId="4A4AB3C2" w14:textId="57BD14FF" w:rsidR="006C6975" w:rsidRPr="00A847B7" w:rsidRDefault="00C8411C" w:rsidP="00E8753D">
      <w:pPr>
        <w:rPr>
          <w:rFonts w:cstheme="minorHAnsi"/>
        </w:rPr>
      </w:pPr>
      <w:r w:rsidRPr="00A847B7">
        <w:rPr>
          <w:rFonts w:cstheme="minorHAnsi"/>
        </w:rPr>
        <w:lastRenderedPageBreak/>
        <w:t>Cette option</w:t>
      </w:r>
      <w:r w:rsidR="00C202EF" w:rsidRPr="00A847B7">
        <w:rPr>
          <w:rFonts w:cstheme="minorHAnsi"/>
        </w:rPr>
        <w:t xml:space="preserve"> devra être formulée sur un document conforme à un modèle établi par l’administration fiscale, auprès du service des impôts d</w:t>
      </w:r>
      <w:r w:rsidR="00B01CD1" w:rsidRPr="00A847B7">
        <w:rPr>
          <w:rFonts w:cstheme="minorHAnsi"/>
        </w:rPr>
        <w:t>u lieu de dépôt de la déclaration de résultat, avec la déclaration de résultat de l’exercice au titre duquel la déduction est pratiquée.</w:t>
      </w:r>
    </w:p>
    <w:p w14:paraId="0BDB627E" w14:textId="77777777" w:rsidR="00607D0F" w:rsidRPr="00A847B7" w:rsidRDefault="00607D0F" w:rsidP="00FE7126">
      <w:pPr>
        <w:rPr>
          <w:rFonts w:cstheme="minorHAnsi"/>
        </w:rPr>
      </w:pPr>
    </w:p>
    <w:p w14:paraId="0E67F5B8" w14:textId="008855DB" w:rsidR="00AC2240" w:rsidRPr="00A847B7" w:rsidRDefault="00AC2240" w:rsidP="00AC2240">
      <w:pPr>
        <w:pStyle w:val="Titre3"/>
      </w:pPr>
      <w:bookmarkStart w:id="184" w:name="_Toc60781089"/>
      <w:r w:rsidRPr="00A847B7">
        <w:t xml:space="preserve">Slide </w:t>
      </w:r>
      <w:r w:rsidR="009E79B5">
        <w:t>124</w:t>
      </w:r>
      <w:r w:rsidR="00535121" w:rsidRPr="00A847B7">
        <w:t> </w:t>
      </w:r>
      <w:r w:rsidRPr="00A847B7">
        <w:t>: Dispositif Girardin : aménagement des aides à l’investissement dans les navires de croisière</w:t>
      </w:r>
      <w:bookmarkEnd w:id="184"/>
    </w:p>
    <w:p w14:paraId="3F5854FF" w14:textId="0075F1E1" w:rsidR="00905532" w:rsidRPr="00DC20C8" w:rsidRDefault="009366B6" w:rsidP="00AC2240">
      <w:r w:rsidRPr="004F587E">
        <w:rPr>
          <w:u w:val="single"/>
        </w:rPr>
        <w:t xml:space="preserve">Source </w:t>
      </w:r>
      <w:r w:rsidRPr="00A847B7">
        <w:t>:</w:t>
      </w:r>
      <w:r w:rsidR="00AC2240" w:rsidRPr="00DC20C8">
        <w:t xml:space="preserve"> Loi de Finances pour 2021, article</w:t>
      </w:r>
      <w:r w:rsidR="00516E39" w:rsidRPr="00DC20C8">
        <w:t>s</w:t>
      </w:r>
      <w:r w:rsidR="00A50BA5" w:rsidRPr="00DC20C8">
        <w:t xml:space="preserve"> 108 et</w:t>
      </w:r>
      <w:r w:rsidR="00516E39" w:rsidRPr="00DC20C8">
        <w:t xml:space="preserve"> </w:t>
      </w:r>
      <w:r w:rsidR="00905532" w:rsidRPr="00DC20C8">
        <w:t>109</w:t>
      </w:r>
    </w:p>
    <w:p w14:paraId="23099E67" w14:textId="77777777" w:rsidR="00C95190" w:rsidRPr="00A06AC4" w:rsidRDefault="00C95190" w:rsidP="00EE0687">
      <w:pPr>
        <w:pStyle w:val="Paragraphedeliste"/>
        <w:numPr>
          <w:ilvl w:val="0"/>
          <w:numId w:val="86"/>
        </w:numPr>
        <w:rPr>
          <w:rFonts w:cstheme="minorHAnsi"/>
        </w:rPr>
      </w:pPr>
      <w:r w:rsidRPr="00A847B7">
        <w:rPr>
          <w:rFonts w:cstheme="minorHAnsi"/>
          <w:b/>
          <w:bCs/>
          <w:i/>
          <w:iCs/>
          <w:u w:val="single"/>
        </w:rPr>
        <w:t xml:space="preserve">Concernant la déduction fiscale pour les entreprises soumises à l’impôt sur les sociétés qui réalisent des investissements productifs dans les départements de la Guadeloupe, de la Guyane, de la Martinique, de Mayotte et de la Réunion pour l’exercice de certaines </w:t>
      </w:r>
      <w:r w:rsidRPr="00A06AC4">
        <w:rPr>
          <w:rFonts w:cstheme="minorHAnsi"/>
          <w:b/>
          <w:bCs/>
          <w:i/>
          <w:iCs/>
          <w:u w:val="single"/>
        </w:rPr>
        <w:t>activités (</w:t>
      </w:r>
      <w:r w:rsidRPr="00DC20C8">
        <w:rPr>
          <w:rFonts w:cstheme="minorHAnsi"/>
          <w:b/>
          <w:i/>
          <w:u w:val="single"/>
        </w:rPr>
        <w:t>article 217 undecies CGI)</w:t>
      </w:r>
    </w:p>
    <w:p w14:paraId="5BDEA989" w14:textId="149231EF" w:rsidR="00516E39" w:rsidRPr="00A847B7" w:rsidRDefault="00516E39" w:rsidP="00516E39">
      <w:pPr>
        <w:rPr>
          <w:rFonts w:cstheme="minorHAnsi"/>
        </w:rPr>
      </w:pPr>
      <w:r w:rsidRPr="00A847B7">
        <w:rPr>
          <w:rFonts w:cstheme="minorHAnsi"/>
        </w:rPr>
        <w:t>Les entreprises soumises à l’impôt sur les sociétés (IS) qui réalisent, au titre de leur dernier exercice clos, un chiffre d’affaire</w:t>
      </w:r>
      <w:r w:rsidR="00EF3E20">
        <w:rPr>
          <w:rFonts w:cstheme="minorHAnsi"/>
        </w:rPr>
        <w:t>s</w:t>
      </w:r>
      <w:r w:rsidRPr="00A847B7">
        <w:rPr>
          <w:rFonts w:cstheme="minorHAnsi"/>
        </w:rPr>
        <w:t xml:space="preserve"> (CA) inférieur à 20 M€ peuvent déduire de leurs résultats une somme égale au montant hors taxe et frais de toute nature des investissements productifs réalisés dans les départements de la Guadeloupe, de la Guyane, de la Martinique, de Mayotte et de la Réunion pour l’exercice d’une activité agricole ou une activité industrielle, commerciale ou artisanale.</w:t>
      </w:r>
    </w:p>
    <w:p w14:paraId="34347C28" w14:textId="3FCE9039" w:rsidR="00516E39" w:rsidRPr="00A847B7" w:rsidRDefault="00516E39" w:rsidP="00516E39">
      <w:pPr>
        <w:rPr>
          <w:rFonts w:cstheme="minorHAnsi"/>
        </w:rPr>
      </w:pPr>
      <w:r w:rsidRPr="00A847B7">
        <w:rPr>
          <w:rFonts w:cstheme="minorHAnsi"/>
        </w:rPr>
        <w:t>En principe, pour les investissements dont la durée normale d’utilisation est au moins égale à 7 ans, l’entreprise bénéficiaire de la souscription devra prendre l’engagement d’utiliser effectivement pendant 7 ans au moins l’investissement dans le cadre de l’activité pour laquelle il a été acquis ou créé.</w:t>
      </w:r>
    </w:p>
    <w:p w14:paraId="286C2E77" w14:textId="58B788B9" w:rsidR="00516E39" w:rsidRPr="00A847B7" w:rsidRDefault="00516E39" w:rsidP="00516E39">
      <w:pPr>
        <w:rPr>
          <w:rFonts w:cstheme="minorHAnsi"/>
        </w:rPr>
      </w:pPr>
      <w:r w:rsidRPr="00A847B7">
        <w:rPr>
          <w:rFonts w:cstheme="minorHAnsi"/>
        </w:rPr>
        <w:t xml:space="preserve">Cet engagement est porté à 10 ans pour les investissements portant sur </w:t>
      </w:r>
      <w:r w:rsidR="00417074" w:rsidRPr="00A847B7">
        <w:rPr>
          <w:rFonts w:cstheme="minorHAnsi"/>
        </w:rPr>
        <w:t>les navires de croisière neufs d’une capacité maximale de 400 passagers.</w:t>
      </w:r>
    </w:p>
    <w:p w14:paraId="18115034" w14:textId="77777777" w:rsidR="00E90353" w:rsidRPr="003A2073" w:rsidRDefault="00E90353" w:rsidP="00EE0687">
      <w:pPr>
        <w:pStyle w:val="Paragraphedeliste"/>
        <w:numPr>
          <w:ilvl w:val="0"/>
          <w:numId w:val="86"/>
        </w:numPr>
        <w:rPr>
          <w:rFonts w:ascii="Arial" w:hAnsi="Arial" w:cs="Arial"/>
        </w:rPr>
      </w:pPr>
      <w:r w:rsidRPr="00A06AC4">
        <w:rPr>
          <w:rFonts w:cstheme="minorHAnsi"/>
          <w:b/>
          <w:bCs/>
          <w:i/>
          <w:iCs/>
          <w:u w:val="single"/>
        </w:rPr>
        <w:t xml:space="preserve">Concernant la réduction d’impôt </w:t>
      </w:r>
      <w:r w:rsidRPr="003A2073">
        <w:rPr>
          <w:rFonts w:cstheme="minorHAnsi"/>
          <w:b/>
          <w:bCs/>
          <w:i/>
          <w:iCs/>
          <w:u w:val="single"/>
        </w:rPr>
        <w:t>pour investissements productifs neufs réalisés dans le cadre d’une entreprise exerçant une activité agricole ou une activité industrielle, commerciale ou artisanale (</w:t>
      </w:r>
      <w:r w:rsidRPr="00DC20C8">
        <w:rPr>
          <w:rFonts w:cstheme="minorHAnsi"/>
          <w:b/>
          <w:i/>
          <w:u w:val="single"/>
        </w:rPr>
        <w:t>article 199 undecies B CGI</w:t>
      </w:r>
      <w:r w:rsidRPr="00A06AC4">
        <w:rPr>
          <w:rFonts w:cstheme="minorHAnsi"/>
          <w:b/>
          <w:bCs/>
          <w:i/>
          <w:iCs/>
          <w:u w:val="single"/>
        </w:rPr>
        <w:t>)</w:t>
      </w:r>
    </w:p>
    <w:p w14:paraId="46F6B070" w14:textId="26A47369" w:rsidR="00BC16EE" w:rsidRPr="00A847B7" w:rsidRDefault="00BC16EE" w:rsidP="00BC16EE">
      <w:pPr>
        <w:rPr>
          <w:rFonts w:cstheme="minorHAnsi"/>
        </w:rPr>
      </w:pPr>
      <w:r w:rsidRPr="00A847B7">
        <w:rPr>
          <w:rFonts w:cstheme="minorHAnsi"/>
        </w:rPr>
        <w:t>Les contribuables domiciliés en France peuvent bénéficier d’une réduction d’impôt sur le revenu (IR) pour les investissements productifs neufs qu'ils réalisent dans les départements d'</w:t>
      </w:r>
      <w:r w:rsidR="003B081B">
        <w:rPr>
          <w:rFonts w:cstheme="minorHAnsi"/>
        </w:rPr>
        <w:t>O</w:t>
      </w:r>
      <w:r w:rsidRPr="00A847B7">
        <w:rPr>
          <w:rFonts w:cstheme="minorHAnsi"/>
        </w:rPr>
        <w:t>utre-mer, à Saint-Pierre-et-Miquelon, en Nouvelle-Calédonie, en Polynésie française, à Saint-Martin, à Saint-Barthélemy, dans les îles Wallis-et-Futuna et les Terres australes et antarctiques françaises, dans le cadre d'une entreprise exerçant une activité agricole ou une activité industrielle, commerciale ou artisanale.</w:t>
      </w:r>
    </w:p>
    <w:p w14:paraId="432669BC" w14:textId="0F7110CF" w:rsidR="00AC2240" w:rsidRPr="00A847B7" w:rsidRDefault="00B13BD5" w:rsidP="00AC2240">
      <w:r w:rsidRPr="00A847B7">
        <w:t>Jusqu’à présent, c</w:t>
      </w:r>
      <w:r w:rsidR="00A05212" w:rsidRPr="00A847B7">
        <w:t>ette même réduction d’impôt s'appliqu</w:t>
      </w:r>
      <w:r w:rsidRPr="00A847B7">
        <w:t>ait</w:t>
      </w:r>
      <w:r w:rsidR="00A05212" w:rsidRPr="00A847B7">
        <w:t xml:space="preserve"> aux navires de croisière neufs d'une capacité maximum de 400 passagers affectés exclusivement à la navigation dans la zone économique exclusive de la Guadeloupe, de la Guyane, de la Martinique, de La Réunion, de Mayotte, de la Polynésie française, de Saint-Barthélemy, de Saint-Martin, de Saint-Pierre-et-Miquelon, des îles Wallis et Futuna ou de la Nouvelle-Calédonie. </w:t>
      </w:r>
    </w:p>
    <w:p w14:paraId="01ABB27A" w14:textId="695CA5F9" w:rsidR="00B13BD5" w:rsidRPr="00A847B7" w:rsidRDefault="003B77EE" w:rsidP="00AC2240">
      <w:r w:rsidRPr="00A847B7">
        <w:t xml:space="preserve">Dorénavant, pour les investissements mis en service en </w:t>
      </w:r>
      <w:r w:rsidR="00464117" w:rsidRPr="00A847B7">
        <w:t>Polynésie française, à Saint-Barthélemy, à Saint-Pierre-et-Miquelon, dans les îles Wallis et Futuna ou en Nouvelle-Calédonie au titre des exercices ouverts à compter du 1</w:t>
      </w:r>
      <w:r w:rsidR="00464117" w:rsidRPr="00A847B7">
        <w:rPr>
          <w:vertAlign w:val="superscript"/>
        </w:rPr>
        <w:t>er</w:t>
      </w:r>
      <w:r w:rsidR="00464117" w:rsidRPr="00A847B7">
        <w:t xml:space="preserve"> janvier 2022 et pour l’agrément desquels une demande est déposée à compter du 1</w:t>
      </w:r>
      <w:r w:rsidR="00464117" w:rsidRPr="00A847B7">
        <w:rPr>
          <w:vertAlign w:val="superscript"/>
        </w:rPr>
        <w:t>er</w:t>
      </w:r>
      <w:r w:rsidR="00464117" w:rsidRPr="00A847B7">
        <w:t xml:space="preserve"> janvier 2019, la réduction d’impôt s'appliquera aux navires de croisière neufs d'une capacité maximum de 400 passagers affectés</w:t>
      </w:r>
      <w:r w:rsidR="0088482E" w:rsidRPr="00A847B7">
        <w:t xml:space="preserve"> à la croisière régionale au départ et à l’arrivée des ports de la Guadeloupe, la Guyane, la Martinique, La Réunion, Mayotte, la Polynésie française, Saint-Barthélemy, Saint-Martin, Saint-Pierre-et-Miquelon, des îles Wallis et Futuna ou de la Nouvelle-Calédonie.</w:t>
      </w:r>
    </w:p>
    <w:p w14:paraId="4F91D780" w14:textId="0DEC59B1" w:rsidR="0088482E" w:rsidRPr="00A847B7" w:rsidRDefault="0088482E" w:rsidP="0088482E">
      <w:pPr>
        <w:rPr>
          <w:rFonts w:cstheme="minorHAnsi"/>
        </w:rPr>
      </w:pPr>
      <w:r w:rsidRPr="00A847B7">
        <w:lastRenderedPageBreak/>
        <w:t xml:space="preserve">Le même aménagement s’applique aux investissements mis en service en Guadeloupe, en Guyane, en Martinique, à La Réunion, à Mayotte et à Saint-Martin pour l’agrément desquels une demande a été déposée à compter d’une date fixée par </w:t>
      </w:r>
      <w:r w:rsidR="003B081B">
        <w:t>D</w:t>
      </w:r>
      <w:r w:rsidRPr="00A847B7">
        <w:t xml:space="preserve">écret, qui ne peut être postérieure de plus de six mois </w:t>
      </w:r>
      <w:r w:rsidRPr="00A847B7">
        <w:rPr>
          <w:rFonts w:cstheme="minorHAnsi"/>
        </w:rPr>
        <w:t>à la date de réception, par le Gouvernement, de la réponse de la Commission européenne quant à sa conformité à la réglementation européenne.</w:t>
      </w:r>
    </w:p>
    <w:p w14:paraId="03D06E8F" w14:textId="095A8D91" w:rsidR="00464117" w:rsidRPr="00A847B7" w:rsidRDefault="00FB0437" w:rsidP="00AC2240">
      <w:r w:rsidRPr="00A847B7">
        <w:t xml:space="preserve">Le bénéfice de cette réduction d’impôt est soumis au respect de conditions nombreuses et variées, </w:t>
      </w:r>
      <w:r w:rsidR="00B417FE" w:rsidRPr="00A847B7">
        <w:t xml:space="preserve">auxquelles il faut désormais ajouter </w:t>
      </w:r>
      <w:r w:rsidR="008065C7" w:rsidRPr="00A847B7">
        <w:t>celle tenant au montant du volume annuel d’opération du navire.</w:t>
      </w:r>
    </w:p>
    <w:p w14:paraId="78FD6A9F" w14:textId="48A5DDA5" w:rsidR="008065C7" w:rsidRPr="00A847B7" w:rsidRDefault="008065C7" w:rsidP="00AC2240">
      <w:r w:rsidRPr="00A847B7">
        <w:t>A compter du 1</w:t>
      </w:r>
      <w:r w:rsidRPr="00A847B7">
        <w:rPr>
          <w:vertAlign w:val="superscript"/>
        </w:rPr>
        <w:t>er</w:t>
      </w:r>
      <w:r w:rsidRPr="00A847B7">
        <w:t xml:space="preserve"> janvier 2021, en effet, </w:t>
      </w:r>
      <w:r w:rsidR="00910A66" w:rsidRPr="00A847B7">
        <w:t xml:space="preserve">le volume annuel d’opérations du navire </w:t>
      </w:r>
      <w:r w:rsidR="007D5EA7" w:rsidRPr="00A847B7">
        <w:t>devra comprendre</w:t>
      </w:r>
      <w:r w:rsidR="00910A66" w:rsidRPr="00A847B7">
        <w:t xml:space="preserve"> au moins 90 % des têtes de ligne au départ et à l’arrivée d’un port de la Guadeloupe, la Guyane, la Martinique, La Réunion, Mayotte, la Polynésie française, Saint-Barthélemy, Saint-Martin, Saint-Pierre-et-Miquelon, des îles Wallis et Futuna ou de la Nouvelle-Calédonie. Au moins 75 % des escales pendant les itinéraires du navire </w:t>
      </w:r>
      <w:r w:rsidR="007D5EA7" w:rsidRPr="00A847B7">
        <w:t>devront</w:t>
      </w:r>
      <w:r w:rsidR="00910A66" w:rsidRPr="00A847B7">
        <w:t xml:space="preserve"> être réalisées dans l’un des ports des collectivités susmentionnées, ce ratio s’appréciant à la fois en nombre et en durée.</w:t>
      </w:r>
    </w:p>
    <w:p w14:paraId="165ACEBE" w14:textId="77777777" w:rsidR="009A002D" w:rsidRDefault="009A002D" w:rsidP="009A002D"/>
    <w:p w14:paraId="41AF5CFE" w14:textId="07ECCB1F" w:rsidR="00413DE4" w:rsidRPr="00A847B7" w:rsidRDefault="00413DE4" w:rsidP="00413DE4">
      <w:pPr>
        <w:pStyle w:val="Titre3"/>
      </w:pPr>
      <w:bookmarkStart w:id="185" w:name="_Toc60781090"/>
      <w:r w:rsidRPr="00A847B7">
        <w:t xml:space="preserve">Slide </w:t>
      </w:r>
      <w:r w:rsidR="008F627C">
        <w:t>125</w:t>
      </w:r>
      <w:r w:rsidR="00D57784" w:rsidRPr="00A847B7">
        <w:t> </w:t>
      </w:r>
      <w:r w:rsidRPr="00A847B7">
        <w:t>: Crédit d’impôt pour la rénovation énergétique des bâtiments</w:t>
      </w:r>
      <w:bookmarkEnd w:id="185"/>
    </w:p>
    <w:p w14:paraId="7F8F513D" w14:textId="3D2D603C" w:rsidR="00413DE4" w:rsidRPr="00DF784C" w:rsidRDefault="009366B6" w:rsidP="00413DE4">
      <w:r w:rsidRPr="004F587E">
        <w:rPr>
          <w:u w:val="single"/>
        </w:rPr>
        <w:t xml:space="preserve">Source </w:t>
      </w:r>
      <w:r w:rsidRPr="00A847B7">
        <w:t>:</w:t>
      </w:r>
      <w:r w:rsidR="00413DE4" w:rsidRPr="00A847B7">
        <w:t xml:space="preserve"> Loi de Finance pour 2021, </w:t>
      </w:r>
      <w:r w:rsidR="00413DE4" w:rsidRPr="00DF784C">
        <w:t xml:space="preserve">article </w:t>
      </w:r>
      <w:r w:rsidR="00A4486F" w:rsidRPr="00DF784C">
        <w:t>27</w:t>
      </w:r>
    </w:p>
    <w:p w14:paraId="382C909D" w14:textId="77777777" w:rsidR="00413DE4" w:rsidRPr="00A847B7" w:rsidRDefault="00413DE4" w:rsidP="00413DE4">
      <w:r w:rsidRPr="00A847B7">
        <w:t>Un crédit d’impôt exceptionnel est mis en place à destination des TPE et PME, tous secteurs d’activités confondus, soumises à l’impôt sur le revenu (IR) ou à l’impôt sur les sociétés (IS), propriétaires ou locataires des locaux, qui engagent des travaux d’amélioration de l’efficacité énergétique de certains bâtiments.</w:t>
      </w:r>
    </w:p>
    <w:p w14:paraId="20B4AFD4" w14:textId="0C93E1C1" w:rsidR="00413DE4" w:rsidRPr="00A847B7" w:rsidRDefault="00413DE4" w:rsidP="00413DE4">
      <w:r w:rsidRPr="00A847B7">
        <w:t>Sont visés les bâtiments à usage tertiaire, achevés depuis plus de</w:t>
      </w:r>
      <w:r>
        <w:t xml:space="preserve"> </w:t>
      </w:r>
      <w:r w:rsidRPr="00A847B7">
        <w:t>2 ans, dont les entreprises sont propriétaires ou locataires, affectés à leur activité industrielle, commerciale, artisanale, libérale ou agricole.</w:t>
      </w:r>
    </w:p>
    <w:p w14:paraId="4ECA14DB" w14:textId="77777777" w:rsidR="00413DE4" w:rsidRPr="00A847B7" w:rsidRDefault="00413DE4" w:rsidP="00413DE4">
      <w:r w:rsidRPr="00A847B7">
        <w:t>Cet avantage fiscal s’applique aux dépenses de travaux suivantes, engagées entre le 1</w:t>
      </w:r>
      <w:r w:rsidRPr="00A847B7">
        <w:rPr>
          <w:vertAlign w:val="superscript"/>
        </w:rPr>
        <w:t>er</w:t>
      </w:r>
      <w:r w:rsidRPr="00A847B7">
        <w:t xml:space="preserve"> octobre 2020 (devis daté et signé postérieurement au 1</w:t>
      </w:r>
      <w:r w:rsidRPr="00A847B7">
        <w:rPr>
          <w:vertAlign w:val="superscript"/>
        </w:rPr>
        <w:t>er</w:t>
      </w:r>
      <w:r w:rsidRPr="00A847B7">
        <w:t xml:space="preserve"> octobre) et le 31 décembre 2021 :</w:t>
      </w:r>
    </w:p>
    <w:p w14:paraId="398F0248" w14:textId="46BA8AEF" w:rsidR="00413DE4" w:rsidRPr="00A847B7" w:rsidRDefault="00413DE4" w:rsidP="00EE0687">
      <w:pPr>
        <w:pStyle w:val="Paragraphedeliste"/>
        <w:numPr>
          <w:ilvl w:val="0"/>
          <w:numId w:val="124"/>
        </w:numPr>
        <w:spacing w:beforeAutospacing="1" w:after="100" w:afterAutospacing="1" w:line="240" w:lineRule="auto"/>
        <w:rPr>
          <w:rFonts w:ascii="Arial" w:hAnsi="Arial" w:cs="Arial"/>
        </w:rPr>
      </w:pPr>
      <w:r w:rsidRPr="00A847B7">
        <w:t>acquisition et pose d’un système d’isolation thermique en rampant de toitures ou en plafond de combles,</w:t>
      </w:r>
    </w:p>
    <w:p w14:paraId="3E574D23" w14:textId="7D70DEDE" w:rsidR="00413DE4" w:rsidRPr="00A847B7" w:rsidRDefault="00413DE4" w:rsidP="00EE0687">
      <w:pPr>
        <w:pStyle w:val="Paragraphedeliste"/>
        <w:numPr>
          <w:ilvl w:val="0"/>
          <w:numId w:val="124"/>
        </w:numPr>
        <w:spacing w:beforeAutospacing="1" w:after="100" w:afterAutospacing="1" w:line="240" w:lineRule="auto"/>
        <w:rPr>
          <w:rFonts w:ascii="Arial" w:hAnsi="Arial" w:cs="Arial"/>
        </w:rPr>
      </w:pPr>
      <w:r w:rsidRPr="00A847B7">
        <w:t>acquisition et pose d’un système d’isolation thermique sur murs, en façade ou pignon, par l’intérieur ou par l’extérieur,</w:t>
      </w:r>
    </w:p>
    <w:p w14:paraId="36370E68" w14:textId="6E22E800" w:rsidR="00413DE4" w:rsidRPr="00A847B7" w:rsidRDefault="00413DE4" w:rsidP="00EE0687">
      <w:pPr>
        <w:pStyle w:val="Paragraphedeliste"/>
        <w:numPr>
          <w:ilvl w:val="0"/>
          <w:numId w:val="124"/>
        </w:numPr>
        <w:spacing w:beforeAutospacing="1" w:after="100" w:afterAutospacing="1" w:line="240" w:lineRule="auto"/>
        <w:rPr>
          <w:rFonts w:ascii="Arial" w:hAnsi="Arial" w:cs="Arial"/>
        </w:rPr>
      </w:pPr>
      <w:r w:rsidRPr="00A847B7">
        <w:t>acquisition et pose d’un système d’isolation thermique en toiture terrasse ou couverture de pente inférieure à 5 %,</w:t>
      </w:r>
    </w:p>
    <w:p w14:paraId="79308BB0" w14:textId="4C2B43DB" w:rsidR="00413DE4" w:rsidRPr="00A847B7" w:rsidRDefault="00413DE4" w:rsidP="00EE0687">
      <w:pPr>
        <w:pStyle w:val="Paragraphedeliste"/>
        <w:numPr>
          <w:ilvl w:val="0"/>
          <w:numId w:val="124"/>
        </w:numPr>
        <w:spacing w:beforeAutospacing="1" w:after="100" w:afterAutospacing="1" w:line="240" w:lineRule="auto"/>
        <w:rPr>
          <w:rFonts w:ascii="Arial" w:hAnsi="Arial" w:cs="Arial"/>
        </w:rPr>
      </w:pPr>
      <w:r w:rsidRPr="00A847B7">
        <w:t>acquisition et pose d’un chauffe-eau solaire collectif ou d’un dispositif solaire collectif pour la production d’eau chaude sanitaire,</w:t>
      </w:r>
    </w:p>
    <w:p w14:paraId="566BCBF5" w14:textId="24B53373" w:rsidR="00413DE4" w:rsidRPr="00A847B7" w:rsidRDefault="00413DE4" w:rsidP="00EE0687">
      <w:pPr>
        <w:pStyle w:val="Paragraphedeliste"/>
        <w:numPr>
          <w:ilvl w:val="0"/>
          <w:numId w:val="124"/>
        </w:numPr>
        <w:spacing w:beforeAutospacing="1" w:after="100" w:afterAutospacing="1" w:line="240" w:lineRule="auto"/>
        <w:rPr>
          <w:rFonts w:ascii="Arial" w:hAnsi="Arial" w:cs="Arial"/>
        </w:rPr>
      </w:pPr>
      <w:r w:rsidRPr="00A847B7">
        <w:t>acquisition et pose d’une pompe à chaleur, autre que air/air, dont la finalité essentielle est d’assurer le chauffage des locaux,</w:t>
      </w:r>
    </w:p>
    <w:p w14:paraId="007C5AF0" w14:textId="7EF983E9" w:rsidR="00413DE4" w:rsidRPr="00A847B7" w:rsidRDefault="00413DE4" w:rsidP="00EE0687">
      <w:pPr>
        <w:pStyle w:val="Paragraphedeliste"/>
        <w:numPr>
          <w:ilvl w:val="0"/>
          <w:numId w:val="124"/>
        </w:numPr>
        <w:spacing w:beforeAutospacing="1" w:after="100" w:afterAutospacing="1" w:line="240" w:lineRule="auto"/>
        <w:rPr>
          <w:rFonts w:ascii="Arial" w:hAnsi="Arial" w:cs="Arial"/>
        </w:rPr>
      </w:pPr>
      <w:r w:rsidRPr="00A847B7">
        <w:t>acquisition et pose d’un système de ventilation mécanique simple flux ou double flux,</w:t>
      </w:r>
    </w:p>
    <w:p w14:paraId="3DB95000" w14:textId="77777777" w:rsidR="00413DE4" w:rsidRPr="00A847B7" w:rsidRDefault="00413DE4" w:rsidP="00EE0687">
      <w:pPr>
        <w:pStyle w:val="Paragraphedeliste"/>
        <w:numPr>
          <w:ilvl w:val="0"/>
          <w:numId w:val="124"/>
        </w:numPr>
        <w:spacing w:beforeAutospacing="1" w:after="100" w:afterAutospacing="1" w:line="240" w:lineRule="auto"/>
        <w:rPr>
          <w:rFonts w:ascii="Arial" w:hAnsi="Arial" w:cs="Arial"/>
        </w:rPr>
      </w:pPr>
      <w:r w:rsidRPr="00A847B7">
        <w:t>raccordement à un réseau de chaleur ou de froid,</w:t>
      </w:r>
    </w:p>
    <w:p w14:paraId="093EED4A" w14:textId="454682BF" w:rsidR="00413DE4" w:rsidRPr="00A847B7" w:rsidRDefault="00413DE4" w:rsidP="00EE0687">
      <w:pPr>
        <w:pStyle w:val="Paragraphedeliste"/>
        <w:numPr>
          <w:ilvl w:val="0"/>
          <w:numId w:val="124"/>
        </w:numPr>
        <w:spacing w:beforeAutospacing="1" w:after="100" w:afterAutospacing="1" w:line="240" w:lineRule="auto"/>
        <w:rPr>
          <w:rFonts w:ascii="Arial" w:hAnsi="Arial" w:cs="Arial"/>
        </w:rPr>
      </w:pPr>
      <w:r w:rsidRPr="00A847B7">
        <w:t>acquisition et pose d’une chaudière biomasse,</w:t>
      </w:r>
    </w:p>
    <w:p w14:paraId="4E21F44B" w14:textId="3D12B207" w:rsidR="00413DE4" w:rsidRPr="00A847B7" w:rsidRDefault="00413DE4" w:rsidP="00EE0687">
      <w:pPr>
        <w:pStyle w:val="Paragraphedeliste"/>
        <w:numPr>
          <w:ilvl w:val="0"/>
          <w:numId w:val="124"/>
        </w:numPr>
        <w:spacing w:beforeAutospacing="1" w:after="100" w:afterAutospacing="1" w:line="240" w:lineRule="auto"/>
        <w:rPr>
          <w:rFonts w:ascii="Arial" w:hAnsi="Arial" w:cs="Arial"/>
        </w:rPr>
      </w:pPr>
      <w:r w:rsidRPr="00A847B7">
        <w:t>acquisition et pose d’un système de régulation ou de programmation du chauffage et de la ventilation,</w:t>
      </w:r>
    </w:p>
    <w:p w14:paraId="07A5B4DF" w14:textId="11448BD1" w:rsidR="00413DE4" w:rsidRPr="00A847B7" w:rsidRDefault="00413DE4" w:rsidP="00EE0687">
      <w:pPr>
        <w:pStyle w:val="Paragraphedeliste"/>
        <w:numPr>
          <w:ilvl w:val="0"/>
          <w:numId w:val="124"/>
        </w:numPr>
        <w:spacing w:beforeAutospacing="1" w:after="100" w:afterAutospacing="1" w:line="240" w:lineRule="auto"/>
        <w:rPr>
          <w:rFonts w:ascii="Arial" w:hAnsi="Arial" w:cs="Arial"/>
        </w:rPr>
      </w:pPr>
      <w:r w:rsidRPr="00A847B7">
        <w:t>acquisition et pose d’une toiture ou d’éléments de toiture permettant la réduction des apports solaires, lorsque les dépenses sont afférentes à un bâtiment situé à La Réunion, en Guyane, en Martinique, en Guadeloupe ou à Mayotte,</w:t>
      </w:r>
    </w:p>
    <w:p w14:paraId="7B187765" w14:textId="0DB4792A" w:rsidR="00413DE4" w:rsidRPr="00A847B7" w:rsidRDefault="00413DE4" w:rsidP="00EE0687">
      <w:pPr>
        <w:pStyle w:val="Paragraphedeliste"/>
        <w:numPr>
          <w:ilvl w:val="0"/>
          <w:numId w:val="124"/>
        </w:numPr>
        <w:spacing w:beforeAutospacing="1" w:after="100" w:afterAutospacing="1" w:line="240" w:lineRule="auto"/>
        <w:rPr>
          <w:rFonts w:ascii="Arial" w:hAnsi="Arial" w:cs="Arial"/>
        </w:rPr>
      </w:pPr>
      <w:r w:rsidRPr="00A847B7">
        <w:t>acquisition et pose de protections de baies fixes ou mobiles contre le rayonnement solaire, lorsque les dépenses sont afférentes à un bâtiment situé à La Réunion, en Guyane, en Martinique, en Guadeloupe ou à Mayotte,</w:t>
      </w:r>
    </w:p>
    <w:p w14:paraId="74A95A38" w14:textId="5F99087D" w:rsidR="00413DE4" w:rsidRPr="00A847B7" w:rsidRDefault="00413DE4" w:rsidP="00EE0687">
      <w:pPr>
        <w:pStyle w:val="Paragraphedeliste"/>
        <w:numPr>
          <w:ilvl w:val="0"/>
          <w:numId w:val="124"/>
        </w:numPr>
        <w:spacing w:beforeAutospacing="1" w:after="100" w:afterAutospacing="1" w:line="240" w:lineRule="auto"/>
        <w:rPr>
          <w:rFonts w:ascii="Arial" w:hAnsi="Arial" w:cs="Arial"/>
        </w:rPr>
      </w:pPr>
      <w:r w:rsidRPr="00A847B7">
        <w:lastRenderedPageBreak/>
        <w:t>acquisition et pose d’un climatiseur fixe de classe A ou de la classe supérieure à A, en remplacement d’un climatiseur existant, lorsque les dépenses sont afférentes à un bâtiment situé à La Réunion, en Guyane, en Martinique, en Guadeloupe ou à Mayotte</w:t>
      </w:r>
      <w:r w:rsidRPr="00A847B7">
        <w:rPr>
          <w:rFonts w:ascii="Arial" w:hAnsi="Arial" w:cs="Arial"/>
        </w:rPr>
        <w:t>.</w:t>
      </w:r>
    </w:p>
    <w:p w14:paraId="6487D1D9" w14:textId="3778E66B" w:rsidR="00413DE4" w:rsidRPr="00A847B7" w:rsidRDefault="00413DE4" w:rsidP="00413DE4">
      <w:r w:rsidRPr="00A847B7">
        <w:t>Notez que pour être éligibles, les travaux doivent être réalisés par un professionnel qualifié reconnu garant de l’environnement (RGE)</w:t>
      </w:r>
      <w:r w:rsidR="00C23D02">
        <w:t>.</w:t>
      </w:r>
    </w:p>
    <w:p w14:paraId="498A52CA" w14:textId="77777777" w:rsidR="00413DE4" w:rsidRPr="00A847B7" w:rsidRDefault="00413DE4" w:rsidP="00413DE4">
      <w:r w:rsidRPr="00A847B7">
        <w:t>Le montant du crédit d’impôt est fixé à 30 % des dépenses éligibles, dans la limite d’un plafond de 25 000 € au titre des dépenses engagées du 1</w:t>
      </w:r>
      <w:r w:rsidRPr="00A847B7">
        <w:rPr>
          <w:vertAlign w:val="superscript"/>
        </w:rPr>
        <w:t>er</w:t>
      </w:r>
      <w:r w:rsidRPr="00A847B7">
        <w:t xml:space="preserve"> octobre 2020 au 31 décembre 2021, sous déduction des aides perçues au titre des certificats d’économie d’énergie mentionnés aux articles L. 221-1 et suivants du code de l’énergie à raison des opérations ouvrant droit au crédit d’impôt et des aides publiques reçues à raison des opérations ouvrant droit au crédit d’impôt.</w:t>
      </w:r>
    </w:p>
    <w:p w14:paraId="5A96EADE" w14:textId="77777777" w:rsidR="00413DE4" w:rsidRPr="00A847B7" w:rsidRDefault="00413DE4" w:rsidP="00413DE4">
      <w:r w:rsidRPr="00A847B7">
        <w:t>Lorsque les dépenses sont engagées par les sociétés de personnes, le crédit d’impôt peut être utilisé par leurs associés proportionnellement à leurs droits dans ces sociétés ou groupements, à condition qu’il s’agisse de redevables de l’impôt sur les sociétés ou de personnes physiques participant à l’exploitation.</w:t>
      </w:r>
    </w:p>
    <w:p w14:paraId="6ABD3E88" w14:textId="77777777" w:rsidR="00413DE4" w:rsidRPr="00A847B7" w:rsidRDefault="00413DE4" w:rsidP="00413DE4">
      <w:r w:rsidRPr="00A847B7">
        <w:t>Le plafond de 25 000 € s’apprécie, le cas échéant, en prenant en compte la fraction du crédit d’impôt correspondant aux parts des associés de sociétés de personnes.</w:t>
      </w:r>
    </w:p>
    <w:p w14:paraId="7914D938" w14:textId="56838C22" w:rsidR="00413DE4" w:rsidRPr="00A847B7" w:rsidRDefault="00413DE4" w:rsidP="00413DE4">
      <w:r w:rsidRPr="00A847B7">
        <w:t>Pour les entreprises relevant de l’impôt sur le revenu, le crédit d’impôt est imputé sur l’impôt sur le revenu dû au titre de l’année civile au cours de laquelle l’entreprise a engagé les dépenses, après imputation des prélèvements non libératoires et des autres crédits d’impôt. Si le montant du crédit d’impôt excède l’impôt dû au titre de cette année, l’excédent est restitué</w:t>
      </w:r>
      <w:r w:rsidR="00C23D02">
        <w:t>.</w:t>
      </w:r>
    </w:p>
    <w:p w14:paraId="2FDE362D" w14:textId="77777777" w:rsidR="00413DE4" w:rsidRPr="00A847B7" w:rsidRDefault="00413DE4" w:rsidP="00413DE4">
      <w:r w:rsidRPr="00A847B7">
        <w:t>Pour les entreprises soumises à l’impôt sur les sociétés, le crédit d’impôt est imputé sur l’impôt sur les sociétés dû par l’entreprise. En cas de clôture d’exercice en cours d’année civile, le montant du crédit d’impôt est calculé en prenant en compte les dépenses éligibles au titre de la dernière année civile écoulée.</w:t>
      </w:r>
    </w:p>
    <w:p w14:paraId="7AD1277F" w14:textId="77777777" w:rsidR="00413DE4" w:rsidRPr="00A847B7" w:rsidRDefault="00413DE4" w:rsidP="00413DE4">
      <w:r w:rsidRPr="00A847B7">
        <w:t xml:space="preserve">En cas d’option pour le régime de l’intégration fiscale, la société mère est substituée aux sociétés du groupe pour l’imputation sur le montant de l’impôt sur les sociétés dont elle est redevable, au titre de chaque exercice, des crédits d’impôt dégagés par chaque société du groupe. </w:t>
      </w:r>
    </w:p>
    <w:p w14:paraId="249319DC" w14:textId="33FC3A4B" w:rsidR="00413DE4" w:rsidRDefault="00413DE4" w:rsidP="009A002D">
      <w:r w:rsidRPr="00A847B7">
        <w:t>Pour bénéficier de cet avantage fiscal, vous devrez déclarer le montant des dépenses engagées au cours de l’année concernée par la déclaration d’impôt sur les bénéfices (IR ou IS).</w:t>
      </w:r>
    </w:p>
    <w:p w14:paraId="39B6B815" w14:textId="77777777" w:rsidR="00A74B47" w:rsidRPr="0080045A" w:rsidRDefault="00A74B47" w:rsidP="00A74B47">
      <w:pPr>
        <w:rPr>
          <w:rFonts w:cstheme="minorHAnsi"/>
        </w:rPr>
      </w:pPr>
      <w:r>
        <w:rPr>
          <w:rFonts w:cstheme="minorHAnsi"/>
        </w:rPr>
        <w:t>Notez enfin que cet avantage fiscal est soumis</w:t>
      </w:r>
      <w:r w:rsidRPr="00A847B7">
        <w:rPr>
          <w:rFonts w:cstheme="minorHAnsi"/>
        </w:rPr>
        <w:t xml:space="preserve"> au respect du plafonnement applicable en matière de réglementation européenne relative aux aides de minimis.</w:t>
      </w:r>
    </w:p>
    <w:p w14:paraId="4BCC9F8A" w14:textId="77777777" w:rsidR="00413DE4" w:rsidRDefault="00413DE4" w:rsidP="009A002D"/>
    <w:p w14:paraId="3BB6F5DF" w14:textId="615F53B2" w:rsidR="0059103E" w:rsidRPr="00F048D5" w:rsidRDefault="0059103E" w:rsidP="0059103E">
      <w:pPr>
        <w:pStyle w:val="Titre3"/>
      </w:pPr>
      <w:bookmarkStart w:id="186" w:name="_Toc60781091"/>
      <w:r w:rsidRPr="00F048D5">
        <w:t xml:space="preserve">Slide </w:t>
      </w:r>
      <w:r w:rsidR="00A30E3F">
        <w:t>126</w:t>
      </w:r>
      <w:r w:rsidRPr="00F048D5">
        <w:t xml:space="preserve"> : </w:t>
      </w:r>
      <w:r w:rsidR="00C234C7">
        <w:t xml:space="preserve">Exonération </w:t>
      </w:r>
      <w:r w:rsidRPr="00CE78E4">
        <w:rPr>
          <w:bCs/>
        </w:rPr>
        <w:t>LODEOM et production audiovisuelle</w:t>
      </w:r>
      <w:bookmarkEnd w:id="186"/>
      <w:r w:rsidRPr="00F048D5">
        <w:t xml:space="preserve"> </w:t>
      </w:r>
    </w:p>
    <w:p w14:paraId="75034254" w14:textId="71A3FEFD" w:rsidR="0059103E" w:rsidRDefault="009366B6" w:rsidP="0059103E">
      <w:pPr>
        <w:rPr>
          <w:rFonts w:cstheme="minorHAnsi"/>
        </w:rPr>
      </w:pPr>
      <w:r w:rsidRPr="004F587E">
        <w:rPr>
          <w:u w:val="single"/>
        </w:rPr>
        <w:t xml:space="preserve">Source </w:t>
      </w:r>
      <w:r w:rsidRPr="00A847B7">
        <w:t>:</w:t>
      </w:r>
      <w:r w:rsidR="0059103E" w:rsidRPr="00EE27FA">
        <w:rPr>
          <w:rFonts w:cstheme="minorHAnsi"/>
        </w:rPr>
        <w:t xml:space="preserve"> Loi de Financement de la sécurité sociale pour 2021, art</w:t>
      </w:r>
      <w:r w:rsidR="00657A4F">
        <w:rPr>
          <w:rFonts w:cstheme="minorHAnsi"/>
        </w:rPr>
        <w:t>icle</w:t>
      </w:r>
      <w:r w:rsidR="0059103E" w:rsidRPr="00EE27FA">
        <w:rPr>
          <w:rFonts w:cstheme="minorHAnsi"/>
        </w:rPr>
        <w:t xml:space="preserve"> </w:t>
      </w:r>
      <w:r w:rsidR="0059103E">
        <w:rPr>
          <w:rFonts w:cstheme="minorHAnsi"/>
        </w:rPr>
        <w:t>19</w:t>
      </w:r>
    </w:p>
    <w:p w14:paraId="1C94F12B" w14:textId="4F6B3301" w:rsidR="00D041F4" w:rsidRPr="00D041F4" w:rsidRDefault="00D041F4" w:rsidP="00EE0687">
      <w:pPr>
        <w:pStyle w:val="Paragraphedeliste"/>
        <w:numPr>
          <w:ilvl w:val="0"/>
          <w:numId w:val="321"/>
        </w:numPr>
        <w:spacing w:beforeAutospacing="1" w:after="100" w:afterAutospacing="1"/>
        <w:rPr>
          <w:rFonts w:cstheme="minorHAnsi"/>
          <w:b/>
          <w:bCs/>
          <w:i/>
          <w:iCs/>
          <w:u w:val="single"/>
        </w:rPr>
      </w:pPr>
      <w:r w:rsidRPr="00D041F4">
        <w:rPr>
          <w:rFonts w:cstheme="minorHAnsi"/>
          <w:b/>
          <w:bCs/>
          <w:i/>
          <w:iCs/>
          <w:u w:val="single"/>
        </w:rPr>
        <w:t xml:space="preserve">Exonération </w:t>
      </w:r>
      <w:proofErr w:type="spellStart"/>
      <w:r w:rsidRPr="00D041F4">
        <w:rPr>
          <w:rFonts w:cstheme="minorHAnsi"/>
          <w:b/>
          <w:bCs/>
          <w:i/>
          <w:iCs/>
          <w:u w:val="single"/>
        </w:rPr>
        <w:t>L</w:t>
      </w:r>
      <w:r w:rsidR="009261F2">
        <w:rPr>
          <w:rFonts w:cstheme="minorHAnsi"/>
          <w:b/>
          <w:bCs/>
          <w:i/>
          <w:iCs/>
          <w:u w:val="single"/>
        </w:rPr>
        <w:t>ODéOM</w:t>
      </w:r>
      <w:proofErr w:type="spellEnd"/>
    </w:p>
    <w:p w14:paraId="191473F3" w14:textId="713515DF" w:rsidR="0059103E" w:rsidRDefault="0059103E" w:rsidP="00D041F4">
      <w:pPr>
        <w:spacing w:beforeAutospacing="1" w:after="100" w:afterAutospacing="1"/>
        <w:rPr>
          <w:rFonts w:cstheme="minorHAnsi"/>
        </w:rPr>
      </w:pPr>
      <w:r>
        <w:rPr>
          <w:rFonts w:cstheme="minorHAnsi"/>
        </w:rPr>
        <w:t>Pour rappel, depuis le 1</w:t>
      </w:r>
      <w:r w:rsidRPr="00A70EC6">
        <w:rPr>
          <w:rFonts w:cstheme="minorHAnsi"/>
          <w:vertAlign w:val="superscript"/>
        </w:rPr>
        <w:t>er</w:t>
      </w:r>
      <w:r>
        <w:rPr>
          <w:rFonts w:cstheme="minorHAnsi"/>
        </w:rPr>
        <w:t xml:space="preserve"> janvier 2019, dans le cadre d’un dispositif spécifique d’exonération de cotisations patronales dite </w:t>
      </w:r>
      <w:proofErr w:type="spellStart"/>
      <w:r>
        <w:rPr>
          <w:rFonts w:cstheme="minorHAnsi"/>
        </w:rPr>
        <w:t>LODéOM</w:t>
      </w:r>
      <w:proofErr w:type="spellEnd"/>
      <w:r>
        <w:rPr>
          <w:rFonts w:cstheme="minorHAnsi"/>
        </w:rPr>
        <w:t>, 3 barèmes d’exonération s’appliquent aux employeurs implantés dans les départements d’</w:t>
      </w:r>
      <w:r w:rsidR="00163727">
        <w:rPr>
          <w:rFonts w:cstheme="minorHAnsi"/>
        </w:rPr>
        <w:t>O</w:t>
      </w:r>
      <w:r>
        <w:rPr>
          <w:rFonts w:cstheme="minorHAnsi"/>
        </w:rPr>
        <w:t>utre-mer (DOM) hors Mayotte (</w:t>
      </w:r>
      <w:r w:rsidRPr="008E3548">
        <w:rPr>
          <w:rFonts w:cstheme="minorHAnsi"/>
        </w:rPr>
        <w:t>Guadeloupe, Guyane, Martinique et de la Réunion)</w:t>
      </w:r>
      <w:r>
        <w:rPr>
          <w:rFonts w:cstheme="minorHAnsi"/>
        </w:rPr>
        <w:t xml:space="preserve"> : </w:t>
      </w:r>
    </w:p>
    <w:p w14:paraId="625E54F3" w14:textId="6CE96E32" w:rsidR="00A74CB2" w:rsidRPr="009261F2" w:rsidRDefault="0059103E" w:rsidP="00EE0687">
      <w:pPr>
        <w:pStyle w:val="Paragraphedeliste"/>
        <w:numPr>
          <w:ilvl w:val="0"/>
          <w:numId w:val="322"/>
        </w:numPr>
        <w:spacing w:beforeAutospacing="1" w:after="100" w:afterAutospacing="1"/>
        <w:rPr>
          <w:rFonts w:cstheme="minorHAnsi"/>
        </w:rPr>
      </w:pPr>
      <w:r w:rsidRPr="009261F2">
        <w:rPr>
          <w:rFonts w:cstheme="minorHAnsi"/>
        </w:rPr>
        <w:lastRenderedPageBreak/>
        <w:t>le barème de « compétitivité »</w:t>
      </w:r>
      <w:r w:rsidR="00A74CB2" w:rsidRPr="009261F2">
        <w:rPr>
          <w:rFonts w:cstheme="minorHAnsi"/>
        </w:rPr>
        <w:t xml:space="preserve"> qui concerne les entreprises de moins de 11 salariés, peu importe leur secteur d’activité, ainsi que les secteurs suivants, peu importe leur effectif :</w:t>
      </w:r>
    </w:p>
    <w:p w14:paraId="57EDD9CC" w14:textId="77777777" w:rsidR="00A74CB2" w:rsidRPr="00A74CB2" w:rsidRDefault="00A74CB2" w:rsidP="00EE0687">
      <w:pPr>
        <w:pStyle w:val="Paragraphedeliste"/>
        <w:numPr>
          <w:ilvl w:val="1"/>
          <w:numId w:val="256"/>
        </w:numPr>
        <w:spacing w:beforeAutospacing="1" w:after="100" w:afterAutospacing="1"/>
        <w:rPr>
          <w:rFonts w:cstheme="minorHAnsi"/>
        </w:rPr>
      </w:pPr>
      <w:r w:rsidRPr="00A74CB2">
        <w:rPr>
          <w:rFonts w:cstheme="minorHAnsi"/>
        </w:rPr>
        <w:t xml:space="preserve">les entreprises du secteur du bâtiment et des travaux publics, </w:t>
      </w:r>
    </w:p>
    <w:p w14:paraId="5AC95A0C" w14:textId="77777777" w:rsidR="00A74CB2" w:rsidRPr="00A74CB2" w:rsidRDefault="00A74CB2" w:rsidP="00EE0687">
      <w:pPr>
        <w:pStyle w:val="Paragraphedeliste"/>
        <w:numPr>
          <w:ilvl w:val="1"/>
          <w:numId w:val="256"/>
        </w:numPr>
        <w:spacing w:beforeAutospacing="1" w:after="100" w:afterAutospacing="1"/>
        <w:rPr>
          <w:rFonts w:cstheme="minorHAnsi"/>
        </w:rPr>
      </w:pPr>
      <w:r w:rsidRPr="00A74CB2">
        <w:rPr>
          <w:rFonts w:cstheme="minorHAnsi"/>
        </w:rPr>
        <w:t xml:space="preserve">les entreprises de la presse ou de la production audiovisuelle, </w:t>
      </w:r>
    </w:p>
    <w:p w14:paraId="1F17F55B" w14:textId="4948FC8A" w:rsidR="00A74CB2" w:rsidRPr="001A311B" w:rsidRDefault="00A74CB2" w:rsidP="00EE0687">
      <w:pPr>
        <w:pStyle w:val="Paragraphedeliste"/>
        <w:numPr>
          <w:ilvl w:val="1"/>
          <w:numId w:val="256"/>
        </w:numPr>
        <w:spacing w:beforeAutospacing="1" w:after="100" w:afterAutospacing="1"/>
        <w:rPr>
          <w:rFonts w:cstheme="minorHAnsi"/>
        </w:rPr>
      </w:pPr>
      <w:r w:rsidRPr="00A74CB2">
        <w:rPr>
          <w:rFonts w:cstheme="minorHAnsi"/>
        </w:rPr>
        <w:t>les entreprises du transport aérien ou</w:t>
      </w:r>
      <w:r w:rsidRPr="001A311B">
        <w:rPr>
          <w:rFonts w:cstheme="minorHAnsi"/>
        </w:rPr>
        <w:t xml:space="preserve"> de la desserte fluviale ou maritime ;</w:t>
      </w:r>
    </w:p>
    <w:p w14:paraId="5D7E0F32" w14:textId="7889EE3D" w:rsidR="0059103E" w:rsidRPr="009261F2" w:rsidRDefault="0059103E" w:rsidP="00EE0687">
      <w:pPr>
        <w:pStyle w:val="Paragraphedeliste"/>
        <w:numPr>
          <w:ilvl w:val="0"/>
          <w:numId w:val="322"/>
        </w:numPr>
        <w:spacing w:beforeAutospacing="1" w:after="100" w:afterAutospacing="1"/>
        <w:rPr>
          <w:rFonts w:cstheme="minorHAnsi"/>
        </w:rPr>
      </w:pPr>
      <w:r w:rsidRPr="009261F2">
        <w:rPr>
          <w:rFonts w:cstheme="minorHAnsi"/>
        </w:rPr>
        <w:t>le barème de « compétitivité renforcée »</w:t>
      </w:r>
      <w:r w:rsidR="001A311B" w:rsidRPr="009261F2">
        <w:rPr>
          <w:rFonts w:cstheme="minorHAnsi"/>
        </w:rPr>
        <w:t>, qui s’applique sous conditions aux entreprises employant moins de 250 salariés et ayant un chiffre d’affaires annuel inférieur à 50 M € :</w:t>
      </w:r>
      <w:r w:rsidRPr="009261F2">
        <w:rPr>
          <w:rFonts w:cstheme="minorHAnsi"/>
        </w:rPr>
        <w:t> ;</w:t>
      </w:r>
    </w:p>
    <w:p w14:paraId="4819EB39" w14:textId="195BD469" w:rsidR="0059103E" w:rsidRPr="009261F2" w:rsidRDefault="0059103E" w:rsidP="00EE0687">
      <w:pPr>
        <w:pStyle w:val="Paragraphedeliste"/>
        <w:numPr>
          <w:ilvl w:val="0"/>
          <w:numId w:val="322"/>
        </w:numPr>
        <w:spacing w:beforeAutospacing="1" w:after="100" w:afterAutospacing="1"/>
        <w:rPr>
          <w:rFonts w:cstheme="minorHAnsi"/>
        </w:rPr>
      </w:pPr>
      <w:r w:rsidRPr="009261F2">
        <w:rPr>
          <w:rFonts w:cstheme="minorHAnsi"/>
        </w:rPr>
        <w:t>le barème « d'innovation et de croissance »</w:t>
      </w:r>
      <w:r w:rsidR="00243544" w:rsidRPr="009261F2">
        <w:rPr>
          <w:rFonts w:cstheme="minorHAnsi"/>
        </w:rPr>
        <w:t>, qui s’applique aux employeurs de moins de 250 salariés et dont le chiffre d’affaires annuel est inférieur à 50 M € au titre de la rémunération des salariés concourant essentiellement à la réalisation de projets innovants dans le domaine des technologies de l'information et de la communication</w:t>
      </w:r>
      <w:r w:rsidRPr="009261F2">
        <w:rPr>
          <w:rFonts w:cstheme="minorHAnsi"/>
        </w:rPr>
        <w:t xml:space="preserve">. </w:t>
      </w:r>
    </w:p>
    <w:p w14:paraId="2561BF6D" w14:textId="79762249" w:rsidR="0059103E" w:rsidRDefault="0059103E" w:rsidP="0059103E">
      <w:pPr>
        <w:spacing w:beforeAutospacing="1" w:after="100" w:afterAutospacing="1"/>
        <w:rPr>
          <w:rFonts w:cstheme="minorHAnsi"/>
        </w:rPr>
      </w:pPr>
      <w:r>
        <w:rPr>
          <w:rFonts w:cstheme="minorHAnsi"/>
        </w:rPr>
        <w:t xml:space="preserve">Dorénavant, </w:t>
      </w:r>
      <w:r w:rsidR="00286FE2">
        <w:rPr>
          <w:rFonts w:cstheme="minorHAnsi"/>
        </w:rPr>
        <w:t>depuis le 1</w:t>
      </w:r>
      <w:r w:rsidR="00286FE2" w:rsidRPr="00912A81">
        <w:rPr>
          <w:rFonts w:cstheme="minorHAnsi"/>
          <w:vertAlign w:val="superscript"/>
        </w:rPr>
        <w:t>er</w:t>
      </w:r>
      <w:r w:rsidR="00286FE2">
        <w:rPr>
          <w:rFonts w:cstheme="minorHAnsi"/>
        </w:rPr>
        <w:t xml:space="preserve"> janvier 2021, </w:t>
      </w:r>
      <w:r>
        <w:rPr>
          <w:rFonts w:cstheme="minorHAnsi"/>
        </w:rPr>
        <w:t xml:space="preserve">le secteur de la production audiovisuelle </w:t>
      </w:r>
      <w:r w:rsidR="00286FE2">
        <w:rPr>
          <w:rFonts w:cstheme="minorHAnsi"/>
        </w:rPr>
        <w:t xml:space="preserve">est </w:t>
      </w:r>
      <w:r>
        <w:rPr>
          <w:rFonts w:cstheme="minorHAnsi"/>
        </w:rPr>
        <w:t>placé dans le barème de compétitivité renforcée, c’est-à-dire que ce secteur se verra appliquer la réduction de cotisation afférent à ce barème</w:t>
      </w:r>
      <w:r w:rsidR="00286FE2">
        <w:rPr>
          <w:rFonts w:cstheme="minorHAnsi"/>
        </w:rPr>
        <w:t xml:space="preserve">. </w:t>
      </w:r>
    </w:p>
    <w:p w14:paraId="31F98AA5" w14:textId="77777777" w:rsidR="0059103E" w:rsidRPr="009E557D" w:rsidRDefault="0059103E" w:rsidP="00EE0687">
      <w:pPr>
        <w:pStyle w:val="Paragraphedeliste"/>
        <w:numPr>
          <w:ilvl w:val="0"/>
          <w:numId w:val="248"/>
        </w:numPr>
        <w:spacing w:beforeAutospacing="1" w:after="100" w:afterAutospacing="1"/>
        <w:ind w:left="360"/>
        <w:rPr>
          <w:rFonts w:cstheme="minorHAnsi"/>
          <w:b/>
          <w:bCs/>
          <w:i/>
          <w:iCs/>
          <w:u w:val="single"/>
        </w:rPr>
      </w:pPr>
      <w:r w:rsidRPr="009E557D">
        <w:rPr>
          <w:rFonts w:cstheme="minorHAnsi"/>
          <w:b/>
          <w:bCs/>
          <w:i/>
          <w:iCs/>
          <w:u w:val="single"/>
        </w:rPr>
        <w:t>Conséquences pour les entreprises du secteur</w:t>
      </w:r>
      <w:r>
        <w:rPr>
          <w:rFonts w:cstheme="minorHAnsi"/>
          <w:b/>
          <w:bCs/>
          <w:i/>
          <w:iCs/>
          <w:u w:val="single"/>
        </w:rPr>
        <w:t xml:space="preserve"> </w:t>
      </w:r>
      <w:r w:rsidRPr="009E557D">
        <w:rPr>
          <w:rFonts w:cstheme="minorHAnsi"/>
          <w:b/>
          <w:bCs/>
          <w:i/>
          <w:iCs/>
          <w:u w:val="single"/>
        </w:rPr>
        <w:t xml:space="preserve">de la production audiovisuelle </w:t>
      </w:r>
    </w:p>
    <w:p w14:paraId="5E8BBF58" w14:textId="4F70FE0B" w:rsidR="009A002D" w:rsidRDefault="0059103E" w:rsidP="0059103E">
      <w:pPr>
        <w:spacing w:beforeAutospacing="1" w:after="100" w:afterAutospacing="1"/>
      </w:pPr>
      <w:r>
        <w:rPr>
          <w:rFonts w:cstheme="minorHAnsi"/>
        </w:rPr>
        <w:t>L</w:t>
      </w:r>
      <w:r w:rsidRPr="00EE27FA">
        <w:rPr>
          <w:rFonts w:cstheme="minorHAnsi"/>
        </w:rPr>
        <w:t>es cotisations patronales s</w:t>
      </w:r>
      <w:r>
        <w:rPr>
          <w:rFonts w:cstheme="minorHAnsi"/>
        </w:rPr>
        <w:t>eront</w:t>
      </w:r>
      <w:r w:rsidRPr="00EE27FA">
        <w:rPr>
          <w:rFonts w:cstheme="minorHAnsi"/>
        </w:rPr>
        <w:t xml:space="preserve"> totalement exonérées lorsque le revenu d'activité de l'année </w:t>
      </w:r>
      <w:r>
        <w:rPr>
          <w:rFonts w:cstheme="minorHAnsi"/>
        </w:rPr>
        <w:t>du salarié sera</w:t>
      </w:r>
      <w:r w:rsidRPr="00EE27FA">
        <w:rPr>
          <w:rFonts w:cstheme="minorHAnsi"/>
        </w:rPr>
        <w:t xml:space="preserve"> inférieur à 2 Smic.</w:t>
      </w:r>
      <w:r>
        <w:rPr>
          <w:rFonts w:cstheme="minorHAnsi"/>
        </w:rPr>
        <w:t xml:space="preserve"> Dans le cas où</w:t>
      </w:r>
      <w:r w:rsidRPr="00EE27FA">
        <w:rPr>
          <w:rFonts w:cstheme="minorHAnsi"/>
        </w:rPr>
        <w:t xml:space="preserve"> </w:t>
      </w:r>
      <w:r>
        <w:rPr>
          <w:rFonts w:cstheme="minorHAnsi"/>
        </w:rPr>
        <w:t xml:space="preserve">cette </w:t>
      </w:r>
      <w:r w:rsidRPr="00EE27FA">
        <w:rPr>
          <w:rFonts w:cstheme="minorHAnsi"/>
        </w:rPr>
        <w:t xml:space="preserve">rémunération annuelle brute </w:t>
      </w:r>
      <w:r>
        <w:rPr>
          <w:rFonts w:cstheme="minorHAnsi"/>
        </w:rPr>
        <w:t>serait</w:t>
      </w:r>
      <w:r w:rsidRPr="00EE27FA">
        <w:rPr>
          <w:rFonts w:cstheme="minorHAnsi"/>
        </w:rPr>
        <w:t xml:space="preserve"> égale ou supérieure à 2 Smic, la réduction </w:t>
      </w:r>
      <w:r>
        <w:rPr>
          <w:rFonts w:cstheme="minorHAnsi"/>
        </w:rPr>
        <w:t>sera alors</w:t>
      </w:r>
      <w:r w:rsidRPr="00EE27FA">
        <w:rPr>
          <w:rFonts w:cstheme="minorHAnsi"/>
        </w:rPr>
        <w:t xml:space="preserve"> dégressive jusqu'à 2,7 Smic</w:t>
      </w:r>
      <w:r>
        <w:rPr>
          <w:rFonts w:cstheme="minorHAnsi"/>
        </w:rPr>
        <w:t xml:space="preserve">. </w:t>
      </w:r>
    </w:p>
    <w:p w14:paraId="2A6BD140" w14:textId="0333DA98" w:rsidR="009A002D" w:rsidRPr="009A002D" w:rsidRDefault="009A002D" w:rsidP="009A002D"/>
    <w:p w14:paraId="35FC4676" w14:textId="3FD9F25E" w:rsidR="00DB08AB" w:rsidRPr="00A847B7" w:rsidRDefault="00DB08AB" w:rsidP="00DB08AB">
      <w:pPr>
        <w:pStyle w:val="Titre3"/>
      </w:pPr>
      <w:bookmarkStart w:id="187" w:name="_Toc60781092"/>
      <w:r w:rsidRPr="00A847B7">
        <w:t xml:space="preserve">Slide </w:t>
      </w:r>
      <w:r w:rsidR="00713446">
        <w:t>127</w:t>
      </w:r>
      <w:r w:rsidRPr="00A847B7">
        <w:t xml:space="preserve"> : </w:t>
      </w:r>
      <w:r w:rsidR="009310B3" w:rsidRPr="00A847B7">
        <w:t>M</w:t>
      </w:r>
      <w:r w:rsidR="00193B09" w:rsidRPr="00A847B7">
        <w:t>esures diverses</w:t>
      </w:r>
      <w:bookmarkEnd w:id="187"/>
    </w:p>
    <w:p w14:paraId="04A81643" w14:textId="7046D345" w:rsidR="00856FBF" w:rsidRDefault="009261F2" w:rsidP="00175F5B">
      <w:r w:rsidRPr="004F587E">
        <w:rPr>
          <w:u w:val="single"/>
        </w:rPr>
        <w:t>Source</w:t>
      </w:r>
      <w:r>
        <w:rPr>
          <w:u w:val="single"/>
        </w:rPr>
        <w:t>s</w:t>
      </w:r>
      <w:r w:rsidRPr="004F587E">
        <w:rPr>
          <w:u w:val="single"/>
        </w:rPr>
        <w:t xml:space="preserve"> </w:t>
      </w:r>
      <w:r w:rsidRPr="00A847B7">
        <w:t>:</w:t>
      </w:r>
      <w:r w:rsidR="00DB190E" w:rsidRPr="00DC20C8">
        <w:t xml:space="preserve"> </w:t>
      </w:r>
    </w:p>
    <w:p w14:paraId="3ACA0A4E" w14:textId="46173DBB" w:rsidR="00A93B63" w:rsidRPr="00DC20C8" w:rsidRDefault="00175F5B" w:rsidP="00EE0687">
      <w:pPr>
        <w:pStyle w:val="Paragraphedeliste"/>
        <w:numPr>
          <w:ilvl w:val="0"/>
          <w:numId w:val="312"/>
        </w:numPr>
      </w:pPr>
      <w:r w:rsidRPr="00DC20C8">
        <w:t>Loi de Finances pour 2021, article</w:t>
      </w:r>
      <w:r w:rsidR="00D5651F" w:rsidRPr="00DC20C8">
        <w:t>s</w:t>
      </w:r>
      <w:r w:rsidRPr="00DC20C8">
        <w:t xml:space="preserve"> </w:t>
      </w:r>
      <w:r w:rsidR="00A93B63" w:rsidRPr="00DC20C8">
        <w:t>238</w:t>
      </w:r>
      <w:r w:rsidR="000A5FD0" w:rsidRPr="00DC20C8">
        <w:t>, 222,</w:t>
      </w:r>
      <w:r w:rsidR="0055591C" w:rsidRPr="00DC20C8">
        <w:t xml:space="preserve"> 261</w:t>
      </w:r>
      <w:r w:rsidR="001B1CE0" w:rsidRPr="00DC20C8">
        <w:t xml:space="preserve"> et 63</w:t>
      </w:r>
    </w:p>
    <w:p w14:paraId="6E04278E" w14:textId="1CD5490B" w:rsidR="00936EA9" w:rsidRDefault="00936EA9" w:rsidP="00EE0687">
      <w:pPr>
        <w:pStyle w:val="Paragraphedeliste"/>
        <w:numPr>
          <w:ilvl w:val="0"/>
          <w:numId w:val="312"/>
        </w:numPr>
      </w:pPr>
      <w:bookmarkStart w:id="188" w:name="_Hlk58234030"/>
      <w:r w:rsidRPr="008672A6">
        <w:t>Loi de Financement de la sécurité sociale pour 2021, art</w:t>
      </w:r>
      <w:r w:rsidR="00657A4F">
        <w:t>icles</w:t>
      </w:r>
      <w:r>
        <w:t xml:space="preserve"> 8,</w:t>
      </w:r>
      <w:r w:rsidRPr="008672A6">
        <w:t xml:space="preserve"> </w:t>
      </w:r>
      <w:r>
        <w:t xml:space="preserve">28, article 108 </w:t>
      </w:r>
    </w:p>
    <w:p w14:paraId="3D5FF28E" w14:textId="77777777" w:rsidR="007610C9" w:rsidRPr="00F048D5" w:rsidRDefault="007610C9" w:rsidP="007610C9">
      <w:pPr>
        <w:pStyle w:val="Paragraphedeliste"/>
      </w:pPr>
    </w:p>
    <w:bookmarkEnd w:id="188"/>
    <w:p w14:paraId="5E049A12" w14:textId="3E34FDDA" w:rsidR="00175F5B" w:rsidRPr="00A847B7" w:rsidRDefault="00DA60CA" w:rsidP="00EE0687">
      <w:pPr>
        <w:pStyle w:val="Paragraphedeliste"/>
        <w:numPr>
          <w:ilvl w:val="0"/>
          <w:numId w:val="86"/>
        </w:numPr>
      </w:pPr>
      <w:r w:rsidRPr="00A847B7">
        <w:rPr>
          <w:b/>
          <w:bCs/>
          <w:i/>
          <w:iCs/>
          <w:u w:val="single"/>
        </w:rPr>
        <w:t>Aide à la continuité territoriale</w:t>
      </w:r>
    </w:p>
    <w:p w14:paraId="719783D8" w14:textId="5F50D1F1" w:rsidR="00175F5B" w:rsidRPr="00A847B7" w:rsidRDefault="00B26FDF" w:rsidP="00175F5B">
      <w:r w:rsidRPr="00A847B7">
        <w:t xml:space="preserve">L’aide à la continuité territoriale est destinée à financer une partie des titres de transport des personnes qui résident </w:t>
      </w:r>
      <w:r w:rsidR="001465CA" w:rsidRPr="00A847B7">
        <w:t>en Guadeloupe, en Guyane, à la Martinique, à Mayotte, en Nouvelle-Calédonie, en Polynésie française, à La Réunion, à Saint-Barthélemy, à Saint-Martin, à Saint-Pierre-et-Miquelon et à Wallis-et-Futuna,</w:t>
      </w:r>
      <w:r w:rsidR="0017485C" w:rsidRPr="00A847B7">
        <w:t xml:space="preserve"> entre leur collectivité de résidence et le territoire métropolitain</w:t>
      </w:r>
      <w:r w:rsidR="00037619" w:rsidRPr="00A847B7">
        <w:t>.</w:t>
      </w:r>
    </w:p>
    <w:p w14:paraId="3A92E5BD" w14:textId="1A07C68E" w:rsidR="00037619" w:rsidRPr="00A847B7" w:rsidRDefault="00037619" w:rsidP="00175F5B">
      <w:r w:rsidRPr="00A847B7">
        <w:t>Elle finance aussi, sous conditions de ressources, une partie des titres de transport des résidents habituels régulièrement établis en France métropolitaine lorsque la demande d'aide à la continuité territoriale est justifiée par un déplacement pour se rendre aux obsèques d'un parent au 1</w:t>
      </w:r>
      <w:r w:rsidRPr="00A847B7">
        <w:rPr>
          <w:vertAlign w:val="superscript"/>
        </w:rPr>
        <w:t>er</w:t>
      </w:r>
      <w:r w:rsidRPr="00A847B7">
        <w:t xml:space="preserve"> degré (parent ou enfant).</w:t>
      </w:r>
    </w:p>
    <w:p w14:paraId="61DA45DE" w14:textId="1D5BC85C" w:rsidR="00037619" w:rsidRPr="00A847B7" w:rsidRDefault="00037619" w:rsidP="00175F5B">
      <w:r w:rsidRPr="00A847B7">
        <w:t>La Loi de Finances pour 2021 prévoit que lorsque le déplacement est justifié par une dernière visite à un</w:t>
      </w:r>
      <w:r w:rsidR="00D5651F" w:rsidRPr="00A847B7">
        <w:t xml:space="preserve"> </w:t>
      </w:r>
      <w:r w:rsidRPr="00A847B7">
        <w:t xml:space="preserve">parent au </w:t>
      </w:r>
      <w:r w:rsidR="00D766FA" w:rsidRPr="00A847B7">
        <w:t>1</w:t>
      </w:r>
      <w:r w:rsidR="00D766FA" w:rsidRPr="00A847B7">
        <w:rPr>
          <w:vertAlign w:val="superscript"/>
        </w:rPr>
        <w:t>er</w:t>
      </w:r>
      <w:r w:rsidR="00D766FA" w:rsidRPr="00A847B7">
        <w:t xml:space="preserve"> degré, à un frère ou à une sœur ou au conjoint ou à la personne liée à ce parent par un pacte civil de solidarité, dont le décès intervient avant le trajet retour, ou par la présence aux obsèques de ce parent, l’aide à la continuité territoriale intervient en faveur des personnes qui résident en Guadeloupe, en Guyane, à la Martinique, à Mayotte, en Nouvelle-Calédonie, en Polynésie française, à La Réunion, à Saint-Barthélemy, à Saint-Martin, à Saint-Pierre-et-Miquelon et à Wallis-et-Futuna, et </w:t>
      </w:r>
      <w:r w:rsidR="00252900" w:rsidRPr="00A847B7">
        <w:t>établies sur le territoire ou résidant dans une des collectivités autre que celle où se déroulent les obsèques.</w:t>
      </w:r>
    </w:p>
    <w:p w14:paraId="507CAE13" w14:textId="31FDBE15" w:rsidR="00D5651F" w:rsidRPr="00A847B7" w:rsidRDefault="00D5651F" w:rsidP="00EE0687">
      <w:pPr>
        <w:pStyle w:val="Paragraphedeliste"/>
        <w:numPr>
          <w:ilvl w:val="0"/>
          <w:numId w:val="86"/>
        </w:numPr>
        <w:rPr>
          <w:b/>
          <w:bCs/>
          <w:i/>
          <w:iCs/>
          <w:u w:val="single"/>
        </w:rPr>
      </w:pPr>
      <w:r w:rsidRPr="00A847B7">
        <w:rPr>
          <w:b/>
          <w:bCs/>
          <w:i/>
          <w:iCs/>
          <w:u w:val="single"/>
        </w:rPr>
        <w:t>Aides personnelles au logement</w:t>
      </w:r>
    </w:p>
    <w:p w14:paraId="6E720876" w14:textId="033510EB" w:rsidR="00D5651F" w:rsidRPr="00A847B7" w:rsidRDefault="002D7FF2" w:rsidP="00D5651F">
      <w:r w:rsidRPr="00A847B7">
        <w:lastRenderedPageBreak/>
        <w:t xml:space="preserve">L’application des dispositions </w:t>
      </w:r>
      <w:r w:rsidR="00FA4712" w:rsidRPr="00A847B7">
        <w:t xml:space="preserve">relatives aux aides personnelles au logement </w:t>
      </w:r>
      <w:r w:rsidRPr="00A847B7">
        <w:t>spécifiques à Saint-Pierre</w:t>
      </w:r>
      <w:r w:rsidR="00FA4712" w:rsidRPr="00A847B7">
        <w:t>-</w:t>
      </w:r>
      <w:r w:rsidRPr="00A847B7">
        <w:t>et</w:t>
      </w:r>
      <w:r w:rsidR="00FA4712" w:rsidRPr="00A847B7">
        <w:t>-</w:t>
      </w:r>
      <w:r w:rsidRPr="00A847B7">
        <w:t>Miquelon</w:t>
      </w:r>
      <w:r w:rsidR="00FA4712" w:rsidRPr="00A847B7">
        <w:t xml:space="preserve"> est repoussé d’une année : elle</w:t>
      </w:r>
      <w:r w:rsidR="00696A59" w:rsidRPr="00A847B7">
        <w:t>s</w:t>
      </w:r>
      <w:r w:rsidR="00FA4712" w:rsidRPr="00A847B7">
        <w:t xml:space="preserve"> s’appliqueront </w:t>
      </w:r>
      <w:r w:rsidR="00696A59" w:rsidRPr="00A847B7">
        <w:t>à compter du 1</w:t>
      </w:r>
      <w:r w:rsidR="00696A59" w:rsidRPr="00A847B7">
        <w:rPr>
          <w:vertAlign w:val="superscript"/>
        </w:rPr>
        <w:t>er</w:t>
      </w:r>
      <w:r w:rsidR="00696A59" w:rsidRPr="00A847B7">
        <w:t xml:space="preserve"> janvier 2022 au lieu du 1</w:t>
      </w:r>
      <w:r w:rsidR="00696A59" w:rsidRPr="00A847B7">
        <w:rPr>
          <w:vertAlign w:val="superscript"/>
        </w:rPr>
        <w:t>er</w:t>
      </w:r>
      <w:r w:rsidR="00696A59" w:rsidRPr="00A847B7">
        <w:t xml:space="preserve"> janvier 2021.</w:t>
      </w:r>
      <w:r w:rsidR="00FA4712" w:rsidRPr="00A847B7">
        <w:t xml:space="preserve"> </w:t>
      </w:r>
    </w:p>
    <w:p w14:paraId="6766218C" w14:textId="125486E2" w:rsidR="00853305" w:rsidRPr="00A847B7" w:rsidRDefault="00853305" w:rsidP="00EE0687">
      <w:pPr>
        <w:pStyle w:val="Paragraphedeliste"/>
        <w:numPr>
          <w:ilvl w:val="0"/>
          <w:numId w:val="86"/>
        </w:numPr>
      </w:pPr>
      <w:r w:rsidRPr="00A847B7">
        <w:rPr>
          <w:b/>
          <w:bCs/>
          <w:i/>
          <w:iCs/>
          <w:u w:val="single"/>
        </w:rPr>
        <w:t>Allocation pour adulte handicapé</w:t>
      </w:r>
    </w:p>
    <w:p w14:paraId="0AD4784B" w14:textId="148EBDAC" w:rsidR="00853305" w:rsidRPr="00A847B7" w:rsidRDefault="006E5CCD" w:rsidP="00D5651F">
      <w:r w:rsidRPr="00A847B7">
        <w:t>La Loi de Finances pour 2021 prévoit qu’à Mayotte,</w:t>
      </w:r>
      <w:r w:rsidR="000042D4" w:rsidRPr="00A847B7">
        <w:t xml:space="preserve"> </w:t>
      </w:r>
      <w:r w:rsidR="00502475" w:rsidRPr="00A847B7">
        <w:t>à une date fixée par Décret à paraître et au plus tard le 1</w:t>
      </w:r>
      <w:r w:rsidR="00502475" w:rsidRPr="00A847B7">
        <w:rPr>
          <w:vertAlign w:val="superscript"/>
        </w:rPr>
        <w:t>er</w:t>
      </w:r>
      <w:r w:rsidR="00502475" w:rsidRPr="00A847B7">
        <w:t xml:space="preserve"> octobre 2021,</w:t>
      </w:r>
      <w:r w:rsidRPr="00A847B7">
        <w:t xml:space="preserve"> l’allocation pour adulte handicapé (AAH) est é</w:t>
      </w:r>
      <w:r w:rsidR="00BE6C63" w:rsidRPr="00A847B7">
        <w:t xml:space="preserve">galement versée </w:t>
      </w:r>
      <w:r w:rsidR="00502475" w:rsidRPr="00A847B7">
        <w:t>à toute personne qui remplit</w:t>
      </w:r>
      <w:r w:rsidR="00BE6C63" w:rsidRPr="00A847B7">
        <w:t xml:space="preserve"> l’ensemble des conditions suivantes</w:t>
      </w:r>
      <w:r w:rsidR="000042D4" w:rsidRPr="00A847B7">
        <w:t> :</w:t>
      </w:r>
    </w:p>
    <w:p w14:paraId="5638F101" w14:textId="440E3704" w:rsidR="000042D4" w:rsidRPr="00A847B7" w:rsidRDefault="005E1AF8" w:rsidP="00EE0687">
      <w:pPr>
        <w:pStyle w:val="Paragraphedeliste"/>
        <w:numPr>
          <w:ilvl w:val="0"/>
          <w:numId w:val="172"/>
        </w:numPr>
      </w:pPr>
      <w:r w:rsidRPr="00A847B7">
        <w:t xml:space="preserve">son incapacité permanente, sans atteindre le pourcentage fixé, est supérieure ou égale à un pourcentage fixé par </w:t>
      </w:r>
      <w:r w:rsidR="00D65DDB">
        <w:t>D</w:t>
      </w:r>
      <w:r w:rsidRPr="00A847B7">
        <w:t>écret à paraître ;</w:t>
      </w:r>
    </w:p>
    <w:p w14:paraId="4BEE5EB3" w14:textId="4F76E63C" w:rsidR="005E1AF8" w:rsidRPr="00A847B7" w:rsidRDefault="00B2393B" w:rsidP="00EE0687">
      <w:pPr>
        <w:pStyle w:val="Paragraphedeliste"/>
        <w:numPr>
          <w:ilvl w:val="0"/>
          <w:numId w:val="172"/>
        </w:numPr>
      </w:pPr>
      <w:r w:rsidRPr="00A847B7">
        <w:t>la commission technique appréciant le taux d'incapacité de la personne handicapée lui reconnaît, compte tenu de son handicap, une restriction substantielle et durable pour l’accès à l’emploi, précisée par un Décret à paraître.</w:t>
      </w:r>
    </w:p>
    <w:p w14:paraId="1F6B69C2" w14:textId="2AF0A7A2" w:rsidR="00C96A04" w:rsidRDefault="00C96A04" w:rsidP="00C96A04">
      <w:r w:rsidRPr="00A847B7">
        <w:t>Le versement de cette AAH prend fin à l’âge auquel le bénéficiaire est réputé inapte au travail</w:t>
      </w:r>
      <w:r w:rsidR="005E74B2" w:rsidRPr="00A847B7">
        <w:t>.</w:t>
      </w:r>
    </w:p>
    <w:p w14:paraId="293F4237" w14:textId="77777777" w:rsidR="00B25C0D" w:rsidRDefault="00B25C0D" w:rsidP="00EE0687">
      <w:pPr>
        <w:pStyle w:val="Paragraphedeliste"/>
        <w:numPr>
          <w:ilvl w:val="0"/>
          <w:numId w:val="86"/>
        </w:numPr>
      </w:pPr>
      <w:r>
        <w:rPr>
          <w:b/>
          <w:bCs/>
          <w:i/>
          <w:iCs/>
          <w:u w:val="single"/>
        </w:rPr>
        <w:t>Taxe générale sur les activités polluantes (TGAP)</w:t>
      </w:r>
    </w:p>
    <w:p w14:paraId="7ADBEF0D" w14:textId="0BA555EE" w:rsidR="00B25C0D" w:rsidRDefault="00B25C0D" w:rsidP="00B25C0D">
      <w:r>
        <w:t xml:space="preserve">En Guadeloupe, à </w:t>
      </w:r>
      <w:r w:rsidR="00BC46AD">
        <w:t>L</w:t>
      </w:r>
      <w:r>
        <w:t>a Réunion, en Martinique, en Guyane et à Mayotte, les réfactions suivantes sont appliquées pour le calcul de la taxe générale sur les activités polluantes (TGAP) :</w:t>
      </w:r>
    </w:p>
    <w:p w14:paraId="626EB2F7" w14:textId="77777777" w:rsidR="00B25C0D" w:rsidRDefault="00B25C0D" w:rsidP="00EE0687">
      <w:pPr>
        <w:pStyle w:val="Paragraphedeliste"/>
        <w:numPr>
          <w:ilvl w:val="0"/>
          <w:numId w:val="289"/>
        </w:numPr>
      </w:pPr>
      <w:r>
        <w:t>25 % en Guadeloupe, à la Réunion, en Martinique ;</w:t>
      </w:r>
    </w:p>
    <w:p w14:paraId="4BD4A7A3" w14:textId="77777777" w:rsidR="00B25C0D" w:rsidRDefault="00B25C0D" w:rsidP="00EE0687">
      <w:pPr>
        <w:pStyle w:val="Paragraphedeliste"/>
        <w:numPr>
          <w:ilvl w:val="0"/>
          <w:numId w:val="289"/>
        </w:numPr>
      </w:pPr>
      <w:r>
        <w:t>75 % en Guyane et à Mayotte.</w:t>
      </w:r>
    </w:p>
    <w:p w14:paraId="3830065C" w14:textId="77777777" w:rsidR="00B25C0D" w:rsidRDefault="00B25C0D" w:rsidP="00B25C0D">
      <w:r>
        <w:t>Toutefois, pour les installations de stockage non accessibles par voie terrestre situées en Guyane, le tarif est fixé à 3 € par tonne.</w:t>
      </w:r>
    </w:p>
    <w:p w14:paraId="27A10BA3" w14:textId="0EDD95FB" w:rsidR="00B25C0D" w:rsidRDefault="00B25C0D" w:rsidP="00C96A04">
      <w:r>
        <w:t>A compter du 1</w:t>
      </w:r>
      <w:r w:rsidRPr="00CD7820">
        <w:rPr>
          <w:vertAlign w:val="superscript"/>
        </w:rPr>
        <w:t>er</w:t>
      </w:r>
      <w:r>
        <w:t xml:space="preserve"> janvier 2024, le montant de la réfaction applicable en Guyane et à Mayotte est fixé à 70 %.</w:t>
      </w:r>
    </w:p>
    <w:p w14:paraId="1A9CB240" w14:textId="2D4B2C16" w:rsidR="005B2EC9" w:rsidRPr="00735789" w:rsidRDefault="00C234C7" w:rsidP="00EE0687">
      <w:pPr>
        <w:pStyle w:val="Paragraphedeliste"/>
        <w:numPr>
          <w:ilvl w:val="0"/>
          <w:numId w:val="248"/>
        </w:numPr>
        <w:ind w:left="360"/>
        <w:rPr>
          <w:b/>
          <w:bCs/>
          <w:i/>
          <w:iCs/>
          <w:u w:val="single"/>
        </w:rPr>
      </w:pPr>
      <w:bookmarkStart w:id="189" w:name="_Hlk58333231"/>
      <w:r>
        <w:rPr>
          <w:b/>
          <w:bCs/>
          <w:i/>
          <w:iCs/>
          <w:u w:val="single"/>
        </w:rPr>
        <w:t xml:space="preserve">Contrôle des </w:t>
      </w:r>
      <w:r w:rsidR="005B2EC9" w:rsidRPr="00735789">
        <w:rPr>
          <w:b/>
          <w:bCs/>
          <w:i/>
          <w:iCs/>
          <w:u w:val="single"/>
        </w:rPr>
        <w:t>non-salariés agricoles</w:t>
      </w:r>
    </w:p>
    <w:p w14:paraId="086F127A" w14:textId="28ADEDDF" w:rsidR="005B2EC9" w:rsidRDefault="005B2EC9" w:rsidP="005B2EC9">
      <w:r>
        <w:t xml:space="preserve">Les contrôles concernant l’activité des travailleurs non-salariés agricoles sont effectués par les </w:t>
      </w:r>
      <w:r w:rsidR="00C234C7">
        <w:t>Caisses générales de sécurité sociale (</w:t>
      </w:r>
      <w:r>
        <w:t>CGSS</w:t>
      </w:r>
      <w:r w:rsidR="00C234C7">
        <w:t>)</w:t>
      </w:r>
      <w:r>
        <w:t xml:space="preserve"> en</w:t>
      </w:r>
      <w:r w:rsidRPr="00CE5E6B">
        <w:t xml:space="preserve"> Guadeloupe, Guyane, Martinique</w:t>
      </w:r>
      <w:r>
        <w:t xml:space="preserve"> ainsi qu’à </w:t>
      </w:r>
      <w:r w:rsidRPr="00CE5E6B">
        <w:t>La Réunion</w:t>
      </w:r>
      <w:r>
        <w:t xml:space="preserve">. </w:t>
      </w:r>
    </w:p>
    <w:p w14:paraId="282481E7" w14:textId="77777777" w:rsidR="005B2EC9" w:rsidRDefault="005B2EC9" w:rsidP="005B2EC9">
      <w:r>
        <w:t xml:space="preserve">Cependant, il apparaît que l’Acoss, qui n’est pas compétente pour contrôler l’activité des travailleurs non-salariés agricoles, ne l’est donc pas non plus pour délivrer des agréments aux agents de contrôle de ces CGSS.  </w:t>
      </w:r>
    </w:p>
    <w:p w14:paraId="1B983B82" w14:textId="77777777" w:rsidR="005B2EC9" w:rsidRDefault="005B2EC9" w:rsidP="005B2EC9">
      <w:r>
        <w:t xml:space="preserve">Ce problème a été résolu. Dorénavant, le Président de la Caisse centrale de la MSA sera compétent pour donner cet agrément aux agents de la CGSS. Il pourra également suspendre ou retirer cet agrément le cas échéant. </w:t>
      </w:r>
    </w:p>
    <w:p w14:paraId="3A2FB3BB" w14:textId="77777777" w:rsidR="005B2EC9" w:rsidRDefault="005B2EC9" w:rsidP="005B2EC9">
      <w:r>
        <w:t xml:space="preserve">Dans la même logique, il est prévu la création d’une section agricole au sein de chaque CGSS, qui sera chargée de l'application et du contrôle de la législation en matière de sécurité sociale agricole. </w:t>
      </w:r>
    </w:p>
    <w:p w14:paraId="530EEE0A" w14:textId="77777777" w:rsidR="005B2EC9" w:rsidRPr="00735789" w:rsidRDefault="005B2EC9" w:rsidP="00EE0687">
      <w:pPr>
        <w:pStyle w:val="Paragraphedeliste"/>
        <w:numPr>
          <w:ilvl w:val="0"/>
          <w:numId w:val="248"/>
        </w:numPr>
        <w:ind w:left="360"/>
        <w:rPr>
          <w:b/>
          <w:bCs/>
          <w:i/>
          <w:iCs/>
          <w:u w:val="single"/>
        </w:rPr>
      </w:pPr>
      <w:r w:rsidRPr="00735789">
        <w:rPr>
          <w:b/>
          <w:bCs/>
          <w:i/>
          <w:iCs/>
          <w:u w:val="single"/>
        </w:rPr>
        <w:t>Activité partielle et pension retraite à Mayotte</w:t>
      </w:r>
    </w:p>
    <w:p w14:paraId="7ECEDF0E" w14:textId="77777777" w:rsidR="005B2EC9" w:rsidRDefault="005B2EC9" w:rsidP="005B2EC9">
      <w:r>
        <w:t xml:space="preserve">Les périodes durant lesquelles les personnes situées à Mayotte sont placées en activité partielle sont également prise en compte pour l’ouverture du droit à pension retraite. </w:t>
      </w:r>
    </w:p>
    <w:p w14:paraId="61500BBA" w14:textId="77777777" w:rsidR="005B2EC9" w:rsidRDefault="005B2EC9" w:rsidP="005B2EC9">
      <w:r>
        <w:t>Cela est valable pour l’ensemble des indemnités d’activité partielle versées depuis le 12 mars 2020.</w:t>
      </w:r>
    </w:p>
    <w:bookmarkEnd w:id="189"/>
    <w:p w14:paraId="3D0FBAE1" w14:textId="3449D0C2" w:rsidR="005B2EC9" w:rsidRPr="000A71DF" w:rsidRDefault="00C234C7" w:rsidP="00EE0687">
      <w:pPr>
        <w:pStyle w:val="Paragraphedeliste"/>
        <w:numPr>
          <w:ilvl w:val="0"/>
          <w:numId w:val="248"/>
        </w:numPr>
        <w:ind w:left="360"/>
        <w:rPr>
          <w:i/>
          <w:u w:val="single"/>
        </w:rPr>
      </w:pPr>
      <w:r>
        <w:rPr>
          <w:b/>
          <w:bCs/>
          <w:i/>
          <w:iCs/>
          <w:u w:val="single"/>
        </w:rPr>
        <w:t>M</w:t>
      </w:r>
      <w:r w:rsidR="005B2EC9" w:rsidRPr="000A71DF">
        <w:rPr>
          <w:b/>
          <w:bCs/>
          <w:i/>
          <w:iCs/>
          <w:u w:val="single"/>
        </w:rPr>
        <w:t>esures sociales</w:t>
      </w:r>
      <w:r w:rsidR="006135FD">
        <w:rPr>
          <w:b/>
          <w:bCs/>
          <w:i/>
          <w:iCs/>
          <w:u w:val="single"/>
        </w:rPr>
        <w:t xml:space="preserve"> étendues à Mayotte</w:t>
      </w:r>
    </w:p>
    <w:p w14:paraId="409F927E" w14:textId="4DFC25C5" w:rsidR="00894F4B" w:rsidRPr="00894F4B" w:rsidRDefault="006135FD" w:rsidP="00894F4B">
      <w:pPr>
        <w:spacing w:beforeAutospacing="1" w:after="100" w:afterAutospacing="1" w:line="240" w:lineRule="auto"/>
        <w:rPr>
          <w:rFonts w:cstheme="minorHAnsi"/>
        </w:rPr>
      </w:pPr>
      <w:r>
        <w:rPr>
          <w:rFonts w:cstheme="minorHAnsi"/>
        </w:rPr>
        <w:lastRenderedPageBreak/>
        <w:t>L</w:t>
      </w:r>
      <w:r w:rsidRPr="00894F4B">
        <w:rPr>
          <w:rFonts w:cstheme="minorHAnsi"/>
        </w:rPr>
        <w:t>e</w:t>
      </w:r>
      <w:r w:rsidR="00894F4B" w:rsidRPr="00894F4B">
        <w:rPr>
          <w:rFonts w:cstheme="minorHAnsi"/>
        </w:rPr>
        <w:t xml:space="preserve"> Gouvernement est autorisé à prendre par ordonnances </w:t>
      </w:r>
      <w:r>
        <w:rPr>
          <w:rFonts w:cstheme="minorHAnsi"/>
        </w:rPr>
        <w:t>d</w:t>
      </w:r>
      <w:r w:rsidRPr="00894F4B">
        <w:rPr>
          <w:rFonts w:cstheme="minorHAnsi"/>
        </w:rPr>
        <w:t>es</w:t>
      </w:r>
      <w:r w:rsidR="00894F4B" w:rsidRPr="00894F4B">
        <w:rPr>
          <w:rFonts w:cstheme="minorHAnsi"/>
        </w:rPr>
        <w:t xml:space="preserve"> mesures relevant du domaine de la loi visant à étendre à Mayotte plusieurs dispositions relative aux prestations sociales de sécurité sociale en vigueur en métropole</w:t>
      </w:r>
      <w:r>
        <w:rPr>
          <w:rFonts w:cstheme="minorHAnsi"/>
        </w:rPr>
        <w:t>, da</w:t>
      </w:r>
      <w:r w:rsidR="00894F4B" w:rsidRPr="00894F4B">
        <w:rPr>
          <w:rFonts w:cstheme="minorHAnsi"/>
        </w:rPr>
        <w:t>ns un délai de</w:t>
      </w:r>
      <w:r>
        <w:rPr>
          <w:rFonts w:cstheme="minorHAnsi"/>
        </w:rPr>
        <w:t xml:space="preserve"> 12</w:t>
      </w:r>
      <w:r w:rsidR="00894F4B" w:rsidRPr="00894F4B">
        <w:rPr>
          <w:rFonts w:cstheme="minorHAnsi"/>
        </w:rPr>
        <w:t xml:space="preserve"> mois à compter de la promulgation de la présente loi.  </w:t>
      </w:r>
    </w:p>
    <w:p w14:paraId="2CAD45B2" w14:textId="49CE1FF8" w:rsidR="006135FD" w:rsidRDefault="006135FD" w:rsidP="00DB08AB">
      <w:pPr>
        <w:rPr>
          <w:rFonts w:cstheme="minorHAnsi"/>
        </w:rPr>
      </w:pPr>
      <w:r>
        <w:rPr>
          <w:rFonts w:cstheme="minorHAnsi"/>
        </w:rPr>
        <w:t>L’objectif ici visé est</w:t>
      </w:r>
      <w:r w:rsidR="00894F4B" w:rsidRPr="00894F4B">
        <w:rPr>
          <w:rFonts w:cstheme="minorHAnsi"/>
        </w:rPr>
        <w:t xml:space="preserve"> d’étendre et d’adapter la législation afférente à </w:t>
      </w:r>
      <w:r>
        <w:rPr>
          <w:rFonts w:cstheme="minorHAnsi"/>
        </w:rPr>
        <w:t>c</w:t>
      </w:r>
      <w:r w:rsidR="00894F4B" w:rsidRPr="00894F4B">
        <w:rPr>
          <w:rFonts w:cstheme="minorHAnsi"/>
        </w:rPr>
        <w:t xml:space="preserve">es prestations et son contenu, selon des caractéristiques et contraintes propres à Mayotte. </w:t>
      </w:r>
    </w:p>
    <w:p w14:paraId="23A0EA73" w14:textId="77777777" w:rsidR="009261F2" w:rsidRPr="00A847B7" w:rsidRDefault="009261F2" w:rsidP="00DB08AB">
      <w:pPr>
        <w:rPr>
          <w:rFonts w:cstheme="minorHAnsi"/>
        </w:rPr>
      </w:pPr>
    </w:p>
    <w:sectPr w:rsidR="009261F2" w:rsidRPr="00A847B7" w:rsidSect="00FA283A">
      <w:footerReference w:type="defaul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73784" w14:textId="77777777" w:rsidR="000D0228" w:rsidRDefault="000D0228" w:rsidP="00EA076F">
      <w:pPr>
        <w:spacing w:after="0" w:line="240" w:lineRule="auto"/>
      </w:pPr>
      <w:r>
        <w:separator/>
      </w:r>
    </w:p>
  </w:endnote>
  <w:endnote w:type="continuationSeparator" w:id="0">
    <w:p w14:paraId="1148561D" w14:textId="77777777" w:rsidR="000D0228" w:rsidRDefault="000D0228" w:rsidP="00EA076F">
      <w:pPr>
        <w:spacing w:after="0" w:line="240" w:lineRule="auto"/>
      </w:pPr>
      <w:r>
        <w:continuationSeparator/>
      </w:r>
    </w:p>
  </w:endnote>
  <w:endnote w:type="continuationNotice" w:id="1">
    <w:p w14:paraId="19871B54" w14:textId="77777777" w:rsidR="000D0228" w:rsidRDefault="000D022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ZSongTi">
    <w:charset w:val="00"/>
    <w:family w:val="auto"/>
    <w:pitch w:val="variable"/>
  </w:font>
  <w:font w:name="F">
    <w:altName w:val="Times New Roman"/>
    <w:charset w:val="00"/>
    <w:family w:val="auto"/>
    <w:pitch w:val="variable"/>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7042083"/>
      <w:docPartObj>
        <w:docPartGallery w:val="Page Numbers (Bottom of Page)"/>
        <w:docPartUnique/>
      </w:docPartObj>
    </w:sdtPr>
    <w:sdtEndPr/>
    <w:sdtContent>
      <w:p w14:paraId="0D79CD20" w14:textId="26F4645B" w:rsidR="007C7D1B" w:rsidRDefault="007C7D1B">
        <w:pPr>
          <w:pStyle w:val="Pieddepage"/>
          <w:jc w:val="right"/>
        </w:pPr>
        <w:r>
          <w:fldChar w:fldCharType="begin"/>
        </w:r>
        <w:r>
          <w:instrText>PAGE   \* MERGEFORMAT</w:instrText>
        </w:r>
        <w:r>
          <w:fldChar w:fldCharType="separate"/>
        </w:r>
        <w:r>
          <w:rPr>
            <w:noProof/>
          </w:rPr>
          <w:t>8</w:t>
        </w:r>
        <w:r>
          <w:fldChar w:fldCharType="end"/>
        </w:r>
      </w:p>
    </w:sdtContent>
  </w:sdt>
  <w:p w14:paraId="14BF03CB" w14:textId="77777777" w:rsidR="007C7D1B" w:rsidRDefault="007C7D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DDA37" w14:textId="77777777" w:rsidR="000D0228" w:rsidRDefault="000D0228" w:rsidP="00EA076F">
      <w:pPr>
        <w:spacing w:after="0" w:line="240" w:lineRule="auto"/>
      </w:pPr>
      <w:r>
        <w:separator/>
      </w:r>
    </w:p>
  </w:footnote>
  <w:footnote w:type="continuationSeparator" w:id="0">
    <w:p w14:paraId="294D0C4E" w14:textId="77777777" w:rsidR="000D0228" w:rsidRDefault="000D0228" w:rsidP="00EA076F">
      <w:pPr>
        <w:spacing w:after="0" w:line="240" w:lineRule="auto"/>
      </w:pPr>
      <w:r>
        <w:continuationSeparator/>
      </w:r>
    </w:p>
  </w:footnote>
  <w:footnote w:type="continuationNotice" w:id="1">
    <w:p w14:paraId="5955CF38" w14:textId="77777777" w:rsidR="000D0228" w:rsidRDefault="000D0228">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724"/>
    <w:multiLevelType w:val="hybridMultilevel"/>
    <w:tmpl w:val="FB4C3F82"/>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135794C"/>
    <w:multiLevelType w:val="hybridMultilevel"/>
    <w:tmpl w:val="5440861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157130D"/>
    <w:multiLevelType w:val="hybridMultilevel"/>
    <w:tmpl w:val="139CBBDE"/>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1CB697F"/>
    <w:multiLevelType w:val="hybridMultilevel"/>
    <w:tmpl w:val="146A72E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20E7570"/>
    <w:multiLevelType w:val="hybridMultilevel"/>
    <w:tmpl w:val="1C0081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24F52B7"/>
    <w:multiLevelType w:val="hybridMultilevel"/>
    <w:tmpl w:val="FEA25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27F79C8"/>
    <w:multiLevelType w:val="hybridMultilevel"/>
    <w:tmpl w:val="7682F346"/>
    <w:lvl w:ilvl="0" w:tplc="040C0005">
      <w:start w:val="1"/>
      <w:numFmt w:val="bullet"/>
      <w:lvlText w:val=""/>
      <w:lvlJc w:val="left"/>
      <w:pPr>
        <w:tabs>
          <w:tab w:val="num" w:pos="1068"/>
        </w:tabs>
        <w:ind w:left="1068" w:hanging="360"/>
      </w:pPr>
      <w:rPr>
        <w:rFonts w:ascii="Wingdings" w:hAnsi="Wingdings" w:hint="default"/>
      </w:rPr>
    </w:lvl>
    <w:lvl w:ilvl="1" w:tplc="90D6F69A" w:tentative="1">
      <w:start w:val="1"/>
      <w:numFmt w:val="bullet"/>
      <w:lvlText w:val="•"/>
      <w:lvlJc w:val="left"/>
      <w:pPr>
        <w:tabs>
          <w:tab w:val="num" w:pos="1788"/>
        </w:tabs>
        <w:ind w:left="1788" w:hanging="360"/>
      </w:pPr>
      <w:rPr>
        <w:rFonts w:ascii="Arial" w:hAnsi="Arial" w:hint="default"/>
      </w:rPr>
    </w:lvl>
    <w:lvl w:ilvl="2" w:tplc="FD94A09A" w:tentative="1">
      <w:start w:val="1"/>
      <w:numFmt w:val="bullet"/>
      <w:lvlText w:val="•"/>
      <w:lvlJc w:val="left"/>
      <w:pPr>
        <w:tabs>
          <w:tab w:val="num" w:pos="2508"/>
        </w:tabs>
        <w:ind w:left="2508" w:hanging="360"/>
      </w:pPr>
      <w:rPr>
        <w:rFonts w:ascii="Arial" w:hAnsi="Arial" w:hint="default"/>
      </w:rPr>
    </w:lvl>
    <w:lvl w:ilvl="3" w:tplc="C2E2D300" w:tentative="1">
      <w:start w:val="1"/>
      <w:numFmt w:val="bullet"/>
      <w:lvlText w:val="•"/>
      <w:lvlJc w:val="left"/>
      <w:pPr>
        <w:tabs>
          <w:tab w:val="num" w:pos="3228"/>
        </w:tabs>
        <w:ind w:left="3228" w:hanging="360"/>
      </w:pPr>
      <w:rPr>
        <w:rFonts w:ascii="Arial" w:hAnsi="Arial" w:hint="default"/>
      </w:rPr>
    </w:lvl>
    <w:lvl w:ilvl="4" w:tplc="6512EB4A" w:tentative="1">
      <w:start w:val="1"/>
      <w:numFmt w:val="bullet"/>
      <w:lvlText w:val="•"/>
      <w:lvlJc w:val="left"/>
      <w:pPr>
        <w:tabs>
          <w:tab w:val="num" w:pos="3948"/>
        </w:tabs>
        <w:ind w:left="3948" w:hanging="360"/>
      </w:pPr>
      <w:rPr>
        <w:rFonts w:ascii="Arial" w:hAnsi="Arial" w:hint="default"/>
      </w:rPr>
    </w:lvl>
    <w:lvl w:ilvl="5" w:tplc="0FFED512" w:tentative="1">
      <w:start w:val="1"/>
      <w:numFmt w:val="bullet"/>
      <w:lvlText w:val="•"/>
      <w:lvlJc w:val="left"/>
      <w:pPr>
        <w:tabs>
          <w:tab w:val="num" w:pos="4668"/>
        </w:tabs>
        <w:ind w:left="4668" w:hanging="360"/>
      </w:pPr>
      <w:rPr>
        <w:rFonts w:ascii="Arial" w:hAnsi="Arial" w:hint="default"/>
      </w:rPr>
    </w:lvl>
    <w:lvl w:ilvl="6" w:tplc="983247BC" w:tentative="1">
      <w:start w:val="1"/>
      <w:numFmt w:val="bullet"/>
      <w:lvlText w:val="•"/>
      <w:lvlJc w:val="left"/>
      <w:pPr>
        <w:tabs>
          <w:tab w:val="num" w:pos="5388"/>
        </w:tabs>
        <w:ind w:left="5388" w:hanging="360"/>
      </w:pPr>
      <w:rPr>
        <w:rFonts w:ascii="Arial" w:hAnsi="Arial" w:hint="default"/>
      </w:rPr>
    </w:lvl>
    <w:lvl w:ilvl="7" w:tplc="4434F9C6" w:tentative="1">
      <w:start w:val="1"/>
      <w:numFmt w:val="bullet"/>
      <w:lvlText w:val="•"/>
      <w:lvlJc w:val="left"/>
      <w:pPr>
        <w:tabs>
          <w:tab w:val="num" w:pos="6108"/>
        </w:tabs>
        <w:ind w:left="6108" w:hanging="360"/>
      </w:pPr>
      <w:rPr>
        <w:rFonts w:ascii="Arial" w:hAnsi="Arial" w:hint="default"/>
      </w:rPr>
    </w:lvl>
    <w:lvl w:ilvl="8" w:tplc="B7B40C56" w:tentative="1">
      <w:start w:val="1"/>
      <w:numFmt w:val="bullet"/>
      <w:lvlText w:val="•"/>
      <w:lvlJc w:val="left"/>
      <w:pPr>
        <w:tabs>
          <w:tab w:val="num" w:pos="6828"/>
        </w:tabs>
        <w:ind w:left="6828" w:hanging="360"/>
      </w:pPr>
      <w:rPr>
        <w:rFonts w:ascii="Arial" w:hAnsi="Arial" w:hint="default"/>
      </w:rPr>
    </w:lvl>
  </w:abstractNum>
  <w:abstractNum w:abstractNumId="7" w15:restartNumberingAfterBreak="0">
    <w:nsid w:val="02DD1302"/>
    <w:multiLevelType w:val="hybridMultilevel"/>
    <w:tmpl w:val="AA26E05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02F779AE"/>
    <w:multiLevelType w:val="hybridMultilevel"/>
    <w:tmpl w:val="98EC1C84"/>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035040CE"/>
    <w:multiLevelType w:val="hybridMultilevel"/>
    <w:tmpl w:val="DC6815F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039F1C86"/>
    <w:multiLevelType w:val="hybridMultilevel"/>
    <w:tmpl w:val="E6AE5CB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03C01A29"/>
    <w:multiLevelType w:val="hybridMultilevel"/>
    <w:tmpl w:val="18BEB80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3DB1F47"/>
    <w:multiLevelType w:val="hybridMultilevel"/>
    <w:tmpl w:val="4CCA46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42C32F5"/>
    <w:multiLevelType w:val="hybridMultilevel"/>
    <w:tmpl w:val="6AD28BBC"/>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43B695F"/>
    <w:multiLevelType w:val="hybridMultilevel"/>
    <w:tmpl w:val="7E5404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5801D57"/>
    <w:multiLevelType w:val="hybridMultilevel"/>
    <w:tmpl w:val="F9F03386"/>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1">
      <w:start w:val="1"/>
      <w:numFmt w:val="bullet"/>
      <w:lvlText w:val=""/>
      <w:lvlJc w:val="left"/>
      <w:pPr>
        <w:ind w:left="2508" w:hanging="360"/>
      </w:pPr>
      <w:rPr>
        <w:rFonts w:ascii="Symbol" w:hAnsi="Symbol"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058627DE"/>
    <w:multiLevelType w:val="hybridMultilevel"/>
    <w:tmpl w:val="6BFAF8B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05960E31"/>
    <w:multiLevelType w:val="hybridMultilevel"/>
    <w:tmpl w:val="0EBCBB6E"/>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05E83BFD"/>
    <w:multiLevelType w:val="hybridMultilevel"/>
    <w:tmpl w:val="53322E1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068C4B35"/>
    <w:multiLevelType w:val="hybridMultilevel"/>
    <w:tmpl w:val="084A49C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0729591B"/>
    <w:multiLevelType w:val="hybridMultilevel"/>
    <w:tmpl w:val="3ABCA4F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07992BAA"/>
    <w:multiLevelType w:val="hybridMultilevel"/>
    <w:tmpl w:val="B136D24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7B55C41"/>
    <w:multiLevelType w:val="hybridMultilevel"/>
    <w:tmpl w:val="D0107F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86E1DA6"/>
    <w:multiLevelType w:val="hybridMultilevel"/>
    <w:tmpl w:val="5D7CC76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08B37DA6"/>
    <w:multiLevelType w:val="hybridMultilevel"/>
    <w:tmpl w:val="449A4A3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08C342AD"/>
    <w:multiLevelType w:val="hybridMultilevel"/>
    <w:tmpl w:val="A964EE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092A318C"/>
    <w:multiLevelType w:val="hybridMultilevel"/>
    <w:tmpl w:val="8064E0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09716122"/>
    <w:multiLevelType w:val="hybridMultilevel"/>
    <w:tmpl w:val="2062D1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9AD61F5"/>
    <w:multiLevelType w:val="hybridMultilevel"/>
    <w:tmpl w:val="64AC91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09F35B3F"/>
    <w:multiLevelType w:val="hybridMultilevel"/>
    <w:tmpl w:val="91420BD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0AAD2D4A"/>
    <w:multiLevelType w:val="hybridMultilevel"/>
    <w:tmpl w:val="624C588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0AE34F3A"/>
    <w:multiLevelType w:val="hybridMultilevel"/>
    <w:tmpl w:val="3AD0AD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0B486909"/>
    <w:multiLevelType w:val="hybridMultilevel"/>
    <w:tmpl w:val="852E9612"/>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0BB137CD"/>
    <w:multiLevelType w:val="hybridMultilevel"/>
    <w:tmpl w:val="4560F1B6"/>
    <w:lvl w:ilvl="0" w:tplc="040C0003">
      <w:start w:val="1"/>
      <w:numFmt w:val="bullet"/>
      <w:lvlText w:val="o"/>
      <w:lvlJc w:val="left"/>
      <w:pPr>
        <w:tabs>
          <w:tab w:val="num" w:pos="1428"/>
        </w:tabs>
        <w:ind w:left="1428" w:hanging="360"/>
      </w:pPr>
      <w:rPr>
        <w:rFonts w:ascii="Courier New" w:hAnsi="Courier New" w:cs="Courier New" w:hint="default"/>
      </w:rPr>
    </w:lvl>
    <w:lvl w:ilvl="1" w:tplc="90D6F69A" w:tentative="1">
      <w:start w:val="1"/>
      <w:numFmt w:val="bullet"/>
      <w:lvlText w:val="•"/>
      <w:lvlJc w:val="left"/>
      <w:pPr>
        <w:tabs>
          <w:tab w:val="num" w:pos="2148"/>
        </w:tabs>
        <w:ind w:left="2148" w:hanging="360"/>
      </w:pPr>
      <w:rPr>
        <w:rFonts w:ascii="Arial" w:hAnsi="Arial" w:hint="default"/>
      </w:rPr>
    </w:lvl>
    <w:lvl w:ilvl="2" w:tplc="FD94A09A" w:tentative="1">
      <w:start w:val="1"/>
      <w:numFmt w:val="bullet"/>
      <w:lvlText w:val="•"/>
      <w:lvlJc w:val="left"/>
      <w:pPr>
        <w:tabs>
          <w:tab w:val="num" w:pos="2868"/>
        </w:tabs>
        <w:ind w:left="2868" w:hanging="360"/>
      </w:pPr>
      <w:rPr>
        <w:rFonts w:ascii="Arial" w:hAnsi="Arial" w:hint="default"/>
      </w:rPr>
    </w:lvl>
    <w:lvl w:ilvl="3" w:tplc="C2E2D300" w:tentative="1">
      <w:start w:val="1"/>
      <w:numFmt w:val="bullet"/>
      <w:lvlText w:val="•"/>
      <w:lvlJc w:val="left"/>
      <w:pPr>
        <w:tabs>
          <w:tab w:val="num" w:pos="3588"/>
        </w:tabs>
        <w:ind w:left="3588" w:hanging="360"/>
      </w:pPr>
      <w:rPr>
        <w:rFonts w:ascii="Arial" w:hAnsi="Arial" w:hint="default"/>
      </w:rPr>
    </w:lvl>
    <w:lvl w:ilvl="4" w:tplc="6512EB4A" w:tentative="1">
      <w:start w:val="1"/>
      <w:numFmt w:val="bullet"/>
      <w:lvlText w:val="•"/>
      <w:lvlJc w:val="left"/>
      <w:pPr>
        <w:tabs>
          <w:tab w:val="num" w:pos="4308"/>
        </w:tabs>
        <w:ind w:left="4308" w:hanging="360"/>
      </w:pPr>
      <w:rPr>
        <w:rFonts w:ascii="Arial" w:hAnsi="Arial" w:hint="default"/>
      </w:rPr>
    </w:lvl>
    <w:lvl w:ilvl="5" w:tplc="0FFED512" w:tentative="1">
      <w:start w:val="1"/>
      <w:numFmt w:val="bullet"/>
      <w:lvlText w:val="•"/>
      <w:lvlJc w:val="left"/>
      <w:pPr>
        <w:tabs>
          <w:tab w:val="num" w:pos="5028"/>
        </w:tabs>
        <w:ind w:left="5028" w:hanging="360"/>
      </w:pPr>
      <w:rPr>
        <w:rFonts w:ascii="Arial" w:hAnsi="Arial" w:hint="default"/>
      </w:rPr>
    </w:lvl>
    <w:lvl w:ilvl="6" w:tplc="983247BC" w:tentative="1">
      <w:start w:val="1"/>
      <w:numFmt w:val="bullet"/>
      <w:lvlText w:val="•"/>
      <w:lvlJc w:val="left"/>
      <w:pPr>
        <w:tabs>
          <w:tab w:val="num" w:pos="5748"/>
        </w:tabs>
        <w:ind w:left="5748" w:hanging="360"/>
      </w:pPr>
      <w:rPr>
        <w:rFonts w:ascii="Arial" w:hAnsi="Arial" w:hint="default"/>
      </w:rPr>
    </w:lvl>
    <w:lvl w:ilvl="7" w:tplc="4434F9C6" w:tentative="1">
      <w:start w:val="1"/>
      <w:numFmt w:val="bullet"/>
      <w:lvlText w:val="•"/>
      <w:lvlJc w:val="left"/>
      <w:pPr>
        <w:tabs>
          <w:tab w:val="num" w:pos="6468"/>
        </w:tabs>
        <w:ind w:left="6468" w:hanging="360"/>
      </w:pPr>
      <w:rPr>
        <w:rFonts w:ascii="Arial" w:hAnsi="Arial" w:hint="default"/>
      </w:rPr>
    </w:lvl>
    <w:lvl w:ilvl="8" w:tplc="B7B40C56" w:tentative="1">
      <w:start w:val="1"/>
      <w:numFmt w:val="bullet"/>
      <w:lvlText w:val="•"/>
      <w:lvlJc w:val="left"/>
      <w:pPr>
        <w:tabs>
          <w:tab w:val="num" w:pos="7188"/>
        </w:tabs>
        <w:ind w:left="7188" w:hanging="360"/>
      </w:pPr>
      <w:rPr>
        <w:rFonts w:ascii="Arial" w:hAnsi="Arial" w:hint="default"/>
      </w:rPr>
    </w:lvl>
  </w:abstractNum>
  <w:abstractNum w:abstractNumId="34" w15:restartNumberingAfterBreak="0">
    <w:nsid w:val="0C59719B"/>
    <w:multiLevelType w:val="hybridMultilevel"/>
    <w:tmpl w:val="A11426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0C635D0A"/>
    <w:multiLevelType w:val="hybridMultilevel"/>
    <w:tmpl w:val="2398E4A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0CFD6CEF"/>
    <w:multiLevelType w:val="hybridMultilevel"/>
    <w:tmpl w:val="D5C0E6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0D1E65B7"/>
    <w:multiLevelType w:val="hybridMultilevel"/>
    <w:tmpl w:val="CCC2C3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D3671B7"/>
    <w:multiLevelType w:val="hybridMultilevel"/>
    <w:tmpl w:val="C7EAD0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0E0D3818"/>
    <w:multiLevelType w:val="hybridMultilevel"/>
    <w:tmpl w:val="5AE683B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0E4B7F10"/>
    <w:multiLevelType w:val="hybridMultilevel"/>
    <w:tmpl w:val="D230004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1" w15:restartNumberingAfterBreak="0">
    <w:nsid w:val="0E8E1754"/>
    <w:multiLevelType w:val="hybridMultilevel"/>
    <w:tmpl w:val="39141A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0F15542D"/>
    <w:multiLevelType w:val="hybridMultilevel"/>
    <w:tmpl w:val="2208183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3" w15:restartNumberingAfterBreak="0">
    <w:nsid w:val="0FC703B9"/>
    <w:multiLevelType w:val="hybridMultilevel"/>
    <w:tmpl w:val="2028E7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10D43E35"/>
    <w:multiLevelType w:val="hybridMultilevel"/>
    <w:tmpl w:val="626096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11052DD8"/>
    <w:multiLevelType w:val="hybridMultilevel"/>
    <w:tmpl w:val="F8382A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11523652"/>
    <w:multiLevelType w:val="hybridMultilevel"/>
    <w:tmpl w:val="541E6B1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7" w15:restartNumberingAfterBreak="0">
    <w:nsid w:val="11884FF7"/>
    <w:multiLevelType w:val="hybridMultilevel"/>
    <w:tmpl w:val="D878216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8" w15:restartNumberingAfterBreak="0">
    <w:nsid w:val="120045E1"/>
    <w:multiLevelType w:val="hybridMultilevel"/>
    <w:tmpl w:val="4C8A9E9C"/>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9" w15:restartNumberingAfterBreak="0">
    <w:nsid w:val="121F5756"/>
    <w:multiLevelType w:val="hybridMultilevel"/>
    <w:tmpl w:val="8D94D44A"/>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12FE5A3A"/>
    <w:multiLevelType w:val="hybridMultilevel"/>
    <w:tmpl w:val="53708A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13681E2A"/>
    <w:multiLevelType w:val="hybridMultilevel"/>
    <w:tmpl w:val="0150AA3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2" w15:restartNumberingAfterBreak="0">
    <w:nsid w:val="14000AA3"/>
    <w:multiLevelType w:val="hybridMultilevel"/>
    <w:tmpl w:val="6B5C43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140125D6"/>
    <w:multiLevelType w:val="hybridMultilevel"/>
    <w:tmpl w:val="9DF081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145648A0"/>
    <w:multiLevelType w:val="hybridMultilevel"/>
    <w:tmpl w:val="4762006C"/>
    <w:lvl w:ilvl="0" w:tplc="040C0005">
      <w:start w:val="1"/>
      <w:numFmt w:val="bullet"/>
      <w:lvlText w:val=""/>
      <w:lvlJc w:val="left"/>
      <w:pPr>
        <w:tabs>
          <w:tab w:val="num" w:pos="1068"/>
        </w:tabs>
        <w:ind w:left="1068" w:hanging="360"/>
      </w:pPr>
      <w:rPr>
        <w:rFonts w:ascii="Wingdings" w:hAnsi="Wingdings" w:hint="default"/>
      </w:rPr>
    </w:lvl>
    <w:lvl w:ilvl="1" w:tplc="90D6F69A" w:tentative="1">
      <w:start w:val="1"/>
      <w:numFmt w:val="bullet"/>
      <w:lvlText w:val="•"/>
      <w:lvlJc w:val="left"/>
      <w:pPr>
        <w:tabs>
          <w:tab w:val="num" w:pos="1788"/>
        </w:tabs>
        <w:ind w:left="1788" w:hanging="360"/>
      </w:pPr>
      <w:rPr>
        <w:rFonts w:ascii="Arial" w:hAnsi="Arial" w:hint="default"/>
      </w:rPr>
    </w:lvl>
    <w:lvl w:ilvl="2" w:tplc="FD94A09A" w:tentative="1">
      <w:start w:val="1"/>
      <w:numFmt w:val="bullet"/>
      <w:lvlText w:val="•"/>
      <w:lvlJc w:val="left"/>
      <w:pPr>
        <w:tabs>
          <w:tab w:val="num" w:pos="2508"/>
        </w:tabs>
        <w:ind w:left="2508" w:hanging="360"/>
      </w:pPr>
      <w:rPr>
        <w:rFonts w:ascii="Arial" w:hAnsi="Arial" w:hint="default"/>
      </w:rPr>
    </w:lvl>
    <w:lvl w:ilvl="3" w:tplc="C2E2D300" w:tentative="1">
      <w:start w:val="1"/>
      <w:numFmt w:val="bullet"/>
      <w:lvlText w:val="•"/>
      <w:lvlJc w:val="left"/>
      <w:pPr>
        <w:tabs>
          <w:tab w:val="num" w:pos="3228"/>
        </w:tabs>
        <w:ind w:left="3228" w:hanging="360"/>
      </w:pPr>
      <w:rPr>
        <w:rFonts w:ascii="Arial" w:hAnsi="Arial" w:hint="default"/>
      </w:rPr>
    </w:lvl>
    <w:lvl w:ilvl="4" w:tplc="6512EB4A" w:tentative="1">
      <w:start w:val="1"/>
      <w:numFmt w:val="bullet"/>
      <w:lvlText w:val="•"/>
      <w:lvlJc w:val="left"/>
      <w:pPr>
        <w:tabs>
          <w:tab w:val="num" w:pos="3948"/>
        </w:tabs>
        <w:ind w:left="3948" w:hanging="360"/>
      </w:pPr>
      <w:rPr>
        <w:rFonts w:ascii="Arial" w:hAnsi="Arial" w:hint="default"/>
      </w:rPr>
    </w:lvl>
    <w:lvl w:ilvl="5" w:tplc="0FFED512" w:tentative="1">
      <w:start w:val="1"/>
      <w:numFmt w:val="bullet"/>
      <w:lvlText w:val="•"/>
      <w:lvlJc w:val="left"/>
      <w:pPr>
        <w:tabs>
          <w:tab w:val="num" w:pos="4668"/>
        </w:tabs>
        <w:ind w:left="4668" w:hanging="360"/>
      </w:pPr>
      <w:rPr>
        <w:rFonts w:ascii="Arial" w:hAnsi="Arial" w:hint="default"/>
      </w:rPr>
    </w:lvl>
    <w:lvl w:ilvl="6" w:tplc="983247BC" w:tentative="1">
      <w:start w:val="1"/>
      <w:numFmt w:val="bullet"/>
      <w:lvlText w:val="•"/>
      <w:lvlJc w:val="left"/>
      <w:pPr>
        <w:tabs>
          <w:tab w:val="num" w:pos="5388"/>
        </w:tabs>
        <w:ind w:left="5388" w:hanging="360"/>
      </w:pPr>
      <w:rPr>
        <w:rFonts w:ascii="Arial" w:hAnsi="Arial" w:hint="default"/>
      </w:rPr>
    </w:lvl>
    <w:lvl w:ilvl="7" w:tplc="4434F9C6" w:tentative="1">
      <w:start w:val="1"/>
      <w:numFmt w:val="bullet"/>
      <w:lvlText w:val="•"/>
      <w:lvlJc w:val="left"/>
      <w:pPr>
        <w:tabs>
          <w:tab w:val="num" w:pos="6108"/>
        </w:tabs>
        <w:ind w:left="6108" w:hanging="360"/>
      </w:pPr>
      <w:rPr>
        <w:rFonts w:ascii="Arial" w:hAnsi="Arial" w:hint="default"/>
      </w:rPr>
    </w:lvl>
    <w:lvl w:ilvl="8" w:tplc="B7B40C56" w:tentative="1">
      <w:start w:val="1"/>
      <w:numFmt w:val="bullet"/>
      <w:lvlText w:val="•"/>
      <w:lvlJc w:val="left"/>
      <w:pPr>
        <w:tabs>
          <w:tab w:val="num" w:pos="6828"/>
        </w:tabs>
        <w:ind w:left="6828" w:hanging="360"/>
      </w:pPr>
      <w:rPr>
        <w:rFonts w:ascii="Arial" w:hAnsi="Arial" w:hint="default"/>
      </w:rPr>
    </w:lvl>
  </w:abstractNum>
  <w:abstractNum w:abstractNumId="55" w15:restartNumberingAfterBreak="0">
    <w:nsid w:val="146476D1"/>
    <w:multiLevelType w:val="hybridMultilevel"/>
    <w:tmpl w:val="CA466A0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146B76CB"/>
    <w:multiLevelType w:val="hybridMultilevel"/>
    <w:tmpl w:val="3F040E64"/>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7" w15:restartNumberingAfterBreak="0">
    <w:nsid w:val="15115A74"/>
    <w:multiLevelType w:val="hybridMultilevel"/>
    <w:tmpl w:val="CED8EE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153127CA"/>
    <w:multiLevelType w:val="hybridMultilevel"/>
    <w:tmpl w:val="4350D7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15576671"/>
    <w:multiLevelType w:val="hybridMultilevel"/>
    <w:tmpl w:val="7DA0ED0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0" w15:restartNumberingAfterBreak="0">
    <w:nsid w:val="16E625C4"/>
    <w:multiLevelType w:val="hybridMultilevel"/>
    <w:tmpl w:val="359A9EC2"/>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1" w15:restartNumberingAfterBreak="0">
    <w:nsid w:val="17170196"/>
    <w:multiLevelType w:val="hybridMultilevel"/>
    <w:tmpl w:val="E968D0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17541979"/>
    <w:multiLevelType w:val="hybridMultilevel"/>
    <w:tmpl w:val="B768C2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17C224E9"/>
    <w:multiLevelType w:val="hybridMultilevel"/>
    <w:tmpl w:val="75549DFA"/>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4" w15:restartNumberingAfterBreak="0">
    <w:nsid w:val="18301434"/>
    <w:multiLevelType w:val="hybridMultilevel"/>
    <w:tmpl w:val="6F6020E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5" w15:restartNumberingAfterBreak="0">
    <w:nsid w:val="189D0400"/>
    <w:multiLevelType w:val="hybridMultilevel"/>
    <w:tmpl w:val="5FA0E008"/>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6" w15:restartNumberingAfterBreak="0">
    <w:nsid w:val="18A35949"/>
    <w:multiLevelType w:val="hybridMultilevel"/>
    <w:tmpl w:val="2354AC3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7" w15:restartNumberingAfterBreak="0">
    <w:nsid w:val="18C56EDE"/>
    <w:multiLevelType w:val="hybridMultilevel"/>
    <w:tmpl w:val="1FF8DA8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8" w15:restartNumberingAfterBreak="0">
    <w:nsid w:val="18CD1592"/>
    <w:multiLevelType w:val="hybridMultilevel"/>
    <w:tmpl w:val="FBE63F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A0D1ADF"/>
    <w:multiLevelType w:val="hybridMultilevel"/>
    <w:tmpl w:val="2B5CEF2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0" w15:restartNumberingAfterBreak="0">
    <w:nsid w:val="1A99225A"/>
    <w:multiLevelType w:val="hybridMultilevel"/>
    <w:tmpl w:val="44887C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1AD47029"/>
    <w:multiLevelType w:val="hybridMultilevel"/>
    <w:tmpl w:val="24D8C4D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2" w15:restartNumberingAfterBreak="0">
    <w:nsid w:val="1B41334D"/>
    <w:multiLevelType w:val="hybridMultilevel"/>
    <w:tmpl w:val="A90CAE7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3" w15:restartNumberingAfterBreak="0">
    <w:nsid w:val="1B7F169D"/>
    <w:multiLevelType w:val="hybridMultilevel"/>
    <w:tmpl w:val="5434E554"/>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4" w15:restartNumberingAfterBreak="0">
    <w:nsid w:val="1B8E4CEB"/>
    <w:multiLevelType w:val="hybridMultilevel"/>
    <w:tmpl w:val="2DD002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1BA66C60"/>
    <w:multiLevelType w:val="hybridMultilevel"/>
    <w:tmpl w:val="EC9845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1C2B57C2"/>
    <w:multiLevelType w:val="hybridMultilevel"/>
    <w:tmpl w:val="079A0CB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7" w15:restartNumberingAfterBreak="0">
    <w:nsid w:val="1C952AB2"/>
    <w:multiLevelType w:val="hybridMultilevel"/>
    <w:tmpl w:val="8516136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8" w15:restartNumberingAfterBreak="0">
    <w:nsid w:val="1CE2476D"/>
    <w:multiLevelType w:val="hybridMultilevel"/>
    <w:tmpl w:val="E6D633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1CE419CE"/>
    <w:multiLevelType w:val="hybridMultilevel"/>
    <w:tmpl w:val="F7B22838"/>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0" w15:restartNumberingAfterBreak="0">
    <w:nsid w:val="1D4B0DBE"/>
    <w:multiLevelType w:val="hybridMultilevel"/>
    <w:tmpl w:val="62D88302"/>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1" w15:restartNumberingAfterBreak="0">
    <w:nsid w:val="1E403BE1"/>
    <w:multiLevelType w:val="hybridMultilevel"/>
    <w:tmpl w:val="DF4051A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2" w15:restartNumberingAfterBreak="0">
    <w:nsid w:val="1E42064B"/>
    <w:multiLevelType w:val="hybridMultilevel"/>
    <w:tmpl w:val="2820A9BE"/>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3" w15:restartNumberingAfterBreak="0">
    <w:nsid w:val="1EAC5DC6"/>
    <w:multiLevelType w:val="hybridMultilevel"/>
    <w:tmpl w:val="7BEA2C0A"/>
    <w:lvl w:ilvl="0" w:tplc="040C0005">
      <w:start w:val="1"/>
      <w:numFmt w:val="bullet"/>
      <w:lvlText w:val=""/>
      <w:lvlJc w:val="left"/>
      <w:pPr>
        <w:ind w:left="720" w:hanging="360"/>
      </w:pPr>
      <w:rPr>
        <w:rFonts w:ascii="Wingdings" w:hAnsi="Wingdings" w:hint="default"/>
        <w:sz w:val="22"/>
      </w:rPr>
    </w:lvl>
    <w:lvl w:ilvl="1" w:tplc="040C0005">
      <w:start w:val="1"/>
      <w:numFmt w:val="bullet"/>
      <w:lvlText w:val=""/>
      <w:lvlJc w:val="left"/>
      <w:pPr>
        <w:ind w:left="1440" w:hanging="360"/>
      </w:pPr>
      <w:rPr>
        <w:rFonts w:ascii="Wingdings" w:hAnsi="Wingdings" w:hint="default"/>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1EB41228"/>
    <w:multiLevelType w:val="hybridMultilevel"/>
    <w:tmpl w:val="79E26F2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5" w15:restartNumberingAfterBreak="0">
    <w:nsid w:val="1EE748E6"/>
    <w:multiLevelType w:val="hybridMultilevel"/>
    <w:tmpl w:val="D4708EB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6" w15:restartNumberingAfterBreak="0">
    <w:nsid w:val="1F49740F"/>
    <w:multiLevelType w:val="hybridMultilevel"/>
    <w:tmpl w:val="837EE55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7" w15:restartNumberingAfterBreak="0">
    <w:nsid w:val="1F52556D"/>
    <w:multiLevelType w:val="hybridMultilevel"/>
    <w:tmpl w:val="D9B0F31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1F9E1BD2"/>
    <w:multiLevelType w:val="hybridMultilevel"/>
    <w:tmpl w:val="ED32316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9" w15:restartNumberingAfterBreak="0">
    <w:nsid w:val="20231AB2"/>
    <w:multiLevelType w:val="hybridMultilevel"/>
    <w:tmpl w:val="AA5886F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0" w15:restartNumberingAfterBreak="0">
    <w:nsid w:val="21DB0EDE"/>
    <w:multiLevelType w:val="hybridMultilevel"/>
    <w:tmpl w:val="354C16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223D445F"/>
    <w:multiLevelType w:val="hybridMultilevel"/>
    <w:tmpl w:val="6CF09BEE"/>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2" w15:restartNumberingAfterBreak="0">
    <w:nsid w:val="22486A42"/>
    <w:multiLevelType w:val="hybridMultilevel"/>
    <w:tmpl w:val="79A63B5E"/>
    <w:lvl w:ilvl="0" w:tplc="040C000B">
      <w:start w:val="1"/>
      <w:numFmt w:val="bullet"/>
      <w:lvlText w:val=""/>
      <w:lvlJc w:val="left"/>
      <w:pPr>
        <w:tabs>
          <w:tab w:val="num" w:pos="720"/>
        </w:tabs>
        <w:ind w:left="720" w:hanging="360"/>
      </w:pPr>
      <w:rPr>
        <w:rFonts w:ascii="Wingdings" w:hAnsi="Wingdings" w:hint="default"/>
      </w:rPr>
    </w:lvl>
    <w:lvl w:ilvl="1" w:tplc="90D6F69A" w:tentative="1">
      <w:start w:val="1"/>
      <w:numFmt w:val="bullet"/>
      <w:lvlText w:val="•"/>
      <w:lvlJc w:val="left"/>
      <w:pPr>
        <w:tabs>
          <w:tab w:val="num" w:pos="1440"/>
        </w:tabs>
        <w:ind w:left="1440" w:hanging="360"/>
      </w:pPr>
      <w:rPr>
        <w:rFonts w:ascii="Arial" w:hAnsi="Arial"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22641D88"/>
    <w:multiLevelType w:val="hybridMultilevel"/>
    <w:tmpl w:val="22FA2E3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4" w15:restartNumberingAfterBreak="0">
    <w:nsid w:val="230418C0"/>
    <w:multiLevelType w:val="hybridMultilevel"/>
    <w:tmpl w:val="736A13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230B10EB"/>
    <w:multiLevelType w:val="hybridMultilevel"/>
    <w:tmpl w:val="D60E8A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23385FA2"/>
    <w:multiLevelType w:val="hybridMultilevel"/>
    <w:tmpl w:val="7D42E39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7" w15:restartNumberingAfterBreak="0">
    <w:nsid w:val="24A51744"/>
    <w:multiLevelType w:val="hybridMultilevel"/>
    <w:tmpl w:val="8BE8CB5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8" w15:restartNumberingAfterBreak="0">
    <w:nsid w:val="25A150AF"/>
    <w:multiLevelType w:val="hybridMultilevel"/>
    <w:tmpl w:val="00982BFA"/>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9" w15:restartNumberingAfterBreak="0">
    <w:nsid w:val="25D33DC2"/>
    <w:multiLevelType w:val="hybridMultilevel"/>
    <w:tmpl w:val="BB2C372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0" w15:restartNumberingAfterBreak="0">
    <w:nsid w:val="263913EF"/>
    <w:multiLevelType w:val="hybridMultilevel"/>
    <w:tmpl w:val="BA76C3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273729A7"/>
    <w:multiLevelType w:val="hybridMultilevel"/>
    <w:tmpl w:val="4E0236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273B3791"/>
    <w:multiLevelType w:val="hybridMultilevel"/>
    <w:tmpl w:val="F7CAC27A"/>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3" w15:restartNumberingAfterBreak="0">
    <w:nsid w:val="28A3388E"/>
    <w:multiLevelType w:val="hybridMultilevel"/>
    <w:tmpl w:val="A05A310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4" w15:restartNumberingAfterBreak="0">
    <w:nsid w:val="28D10DA5"/>
    <w:multiLevelType w:val="hybridMultilevel"/>
    <w:tmpl w:val="673E25E2"/>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5" w15:restartNumberingAfterBreak="0">
    <w:nsid w:val="28E50CB0"/>
    <w:multiLevelType w:val="hybridMultilevel"/>
    <w:tmpl w:val="D57E011A"/>
    <w:lvl w:ilvl="0" w:tplc="040C000D">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6" w15:restartNumberingAfterBreak="0">
    <w:nsid w:val="28EF0829"/>
    <w:multiLevelType w:val="hybridMultilevel"/>
    <w:tmpl w:val="A05ED29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29427998"/>
    <w:multiLevelType w:val="hybridMultilevel"/>
    <w:tmpl w:val="323A32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29B71238"/>
    <w:multiLevelType w:val="hybridMultilevel"/>
    <w:tmpl w:val="4E380D1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9" w15:restartNumberingAfterBreak="0">
    <w:nsid w:val="29E0219C"/>
    <w:multiLevelType w:val="hybridMultilevel"/>
    <w:tmpl w:val="C750E4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2A0114EA"/>
    <w:multiLevelType w:val="hybridMultilevel"/>
    <w:tmpl w:val="24F8990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1" w15:restartNumberingAfterBreak="0">
    <w:nsid w:val="2A442ADA"/>
    <w:multiLevelType w:val="hybridMultilevel"/>
    <w:tmpl w:val="A74460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2ADB4F36"/>
    <w:multiLevelType w:val="hybridMultilevel"/>
    <w:tmpl w:val="11322EB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3" w15:restartNumberingAfterBreak="0">
    <w:nsid w:val="2B3E16EE"/>
    <w:multiLevelType w:val="hybridMultilevel"/>
    <w:tmpl w:val="9ABE1030"/>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2B580B9C"/>
    <w:multiLevelType w:val="hybridMultilevel"/>
    <w:tmpl w:val="0F8A9F8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5" w15:restartNumberingAfterBreak="0">
    <w:nsid w:val="2BC434B1"/>
    <w:multiLevelType w:val="hybridMultilevel"/>
    <w:tmpl w:val="752448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2CB31530"/>
    <w:multiLevelType w:val="hybridMultilevel"/>
    <w:tmpl w:val="F886D4FE"/>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7" w15:restartNumberingAfterBreak="0">
    <w:nsid w:val="2D303FF8"/>
    <w:multiLevelType w:val="hybridMultilevel"/>
    <w:tmpl w:val="7A0CB65C"/>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8" w15:restartNumberingAfterBreak="0">
    <w:nsid w:val="2D5A017C"/>
    <w:multiLevelType w:val="hybridMultilevel"/>
    <w:tmpl w:val="121E58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2DD92984"/>
    <w:multiLevelType w:val="hybridMultilevel"/>
    <w:tmpl w:val="E7181A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2E1E701C"/>
    <w:multiLevelType w:val="hybridMultilevel"/>
    <w:tmpl w:val="B8FE97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E7C13B8"/>
    <w:multiLevelType w:val="hybridMultilevel"/>
    <w:tmpl w:val="764CC3D8"/>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2" w15:restartNumberingAfterBreak="0">
    <w:nsid w:val="2ED1427C"/>
    <w:multiLevelType w:val="hybridMultilevel"/>
    <w:tmpl w:val="7D28DC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2EDF6B1B"/>
    <w:multiLevelType w:val="hybridMultilevel"/>
    <w:tmpl w:val="7E20F7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2F436254"/>
    <w:multiLevelType w:val="hybridMultilevel"/>
    <w:tmpl w:val="176E55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2F7678D2"/>
    <w:multiLevelType w:val="hybridMultilevel"/>
    <w:tmpl w:val="A25076C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6" w15:restartNumberingAfterBreak="0">
    <w:nsid w:val="2F8000CF"/>
    <w:multiLevelType w:val="hybridMultilevel"/>
    <w:tmpl w:val="56D2332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7" w15:restartNumberingAfterBreak="0">
    <w:nsid w:val="2FA212DD"/>
    <w:multiLevelType w:val="hybridMultilevel"/>
    <w:tmpl w:val="459249B8"/>
    <w:lvl w:ilvl="0" w:tplc="040C0005">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1">
      <w:start w:val="1"/>
      <w:numFmt w:val="bullet"/>
      <w:lvlText w:val=""/>
      <w:lvlJc w:val="left"/>
      <w:pPr>
        <w:ind w:left="3216" w:hanging="360"/>
      </w:pPr>
      <w:rPr>
        <w:rFonts w:ascii="Symbol" w:hAnsi="Symbol"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8" w15:restartNumberingAfterBreak="0">
    <w:nsid w:val="2FFC08C7"/>
    <w:multiLevelType w:val="hybridMultilevel"/>
    <w:tmpl w:val="E3802A8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9" w15:restartNumberingAfterBreak="0">
    <w:nsid w:val="30865304"/>
    <w:multiLevelType w:val="hybridMultilevel"/>
    <w:tmpl w:val="2F6E167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0" w15:restartNumberingAfterBreak="0">
    <w:nsid w:val="32134D7C"/>
    <w:multiLevelType w:val="hybridMultilevel"/>
    <w:tmpl w:val="A16C408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1" w15:restartNumberingAfterBreak="0">
    <w:nsid w:val="321F08C3"/>
    <w:multiLevelType w:val="hybridMultilevel"/>
    <w:tmpl w:val="B554CE6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2" w15:restartNumberingAfterBreak="0">
    <w:nsid w:val="32616CCE"/>
    <w:multiLevelType w:val="hybridMultilevel"/>
    <w:tmpl w:val="823A821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3" w15:restartNumberingAfterBreak="0">
    <w:nsid w:val="3270300D"/>
    <w:multiLevelType w:val="hybridMultilevel"/>
    <w:tmpl w:val="48020AB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4" w15:restartNumberingAfterBreak="0">
    <w:nsid w:val="32E70B83"/>
    <w:multiLevelType w:val="hybridMultilevel"/>
    <w:tmpl w:val="C18EDAD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5" w15:restartNumberingAfterBreak="0">
    <w:nsid w:val="33323CE3"/>
    <w:multiLevelType w:val="hybridMultilevel"/>
    <w:tmpl w:val="3F2A7E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335E5576"/>
    <w:multiLevelType w:val="hybridMultilevel"/>
    <w:tmpl w:val="98AC72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338C4D72"/>
    <w:multiLevelType w:val="hybridMultilevel"/>
    <w:tmpl w:val="934A17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33B31766"/>
    <w:multiLevelType w:val="hybridMultilevel"/>
    <w:tmpl w:val="9CECA5A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9" w15:restartNumberingAfterBreak="0">
    <w:nsid w:val="340E4C46"/>
    <w:multiLevelType w:val="hybridMultilevel"/>
    <w:tmpl w:val="BBB0059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0" w15:restartNumberingAfterBreak="0">
    <w:nsid w:val="347D5BCD"/>
    <w:multiLevelType w:val="hybridMultilevel"/>
    <w:tmpl w:val="1FCE97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15:restartNumberingAfterBreak="0">
    <w:nsid w:val="34D20C64"/>
    <w:multiLevelType w:val="hybridMultilevel"/>
    <w:tmpl w:val="38DEE6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34EA2B91"/>
    <w:multiLevelType w:val="hybridMultilevel"/>
    <w:tmpl w:val="47AE33B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368F4EA2"/>
    <w:multiLevelType w:val="hybridMultilevel"/>
    <w:tmpl w:val="98C899C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4" w15:restartNumberingAfterBreak="0">
    <w:nsid w:val="36B45CAB"/>
    <w:multiLevelType w:val="hybridMultilevel"/>
    <w:tmpl w:val="70D87CB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37475958"/>
    <w:multiLevelType w:val="hybridMultilevel"/>
    <w:tmpl w:val="7DBCF5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376F4C6C"/>
    <w:multiLevelType w:val="hybridMultilevel"/>
    <w:tmpl w:val="FE4C312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7" w15:restartNumberingAfterBreak="0">
    <w:nsid w:val="377A0077"/>
    <w:multiLevelType w:val="hybridMultilevel"/>
    <w:tmpl w:val="0F3A8A6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4AB093F4">
      <w:numFmt w:val="bullet"/>
      <w:lvlText w:val="-"/>
      <w:lvlJc w:val="left"/>
      <w:pPr>
        <w:ind w:left="2160" w:hanging="36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37AE3D3C"/>
    <w:multiLevelType w:val="hybridMultilevel"/>
    <w:tmpl w:val="BA3E5EBC"/>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3">
      <w:start w:val="1"/>
      <w:numFmt w:val="bullet"/>
      <w:lvlText w:val="o"/>
      <w:lvlJc w:val="left"/>
      <w:pPr>
        <w:ind w:left="2508" w:hanging="360"/>
      </w:pPr>
      <w:rPr>
        <w:rFonts w:ascii="Courier New" w:hAnsi="Courier New" w:cs="Courier New"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9" w15:restartNumberingAfterBreak="0">
    <w:nsid w:val="385E2CCA"/>
    <w:multiLevelType w:val="hybridMultilevel"/>
    <w:tmpl w:val="E9E23E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387934E4"/>
    <w:multiLevelType w:val="hybridMultilevel"/>
    <w:tmpl w:val="B2AAC5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389D2B2C"/>
    <w:multiLevelType w:val="hybridMultilevel"/>
    <w:tmpl w:val="C8C4AF7E"/>
    <w:lvl w:ilvl="0" w:tplc="040C0005">
      <w:start w:val="1"/>
      <w:numFmt w:val="bullet"/>
      <w:lvlText w:val=""/>
      <w:lvlJc w:val="left"/>
      <w:pPr>
        <w:tabs>
          <w:tab w:val="num" w:pos="1068"/>
        </w:tabs>
        <w:ind w:left="1068" w:hanging="360"/>
      </w:pPr>
      <w:rPr>
        <w:rFonts w:ascii="Wingdings" w:hAnsi="Wingdings" w:hint="default"/>
      </w:rPr>
    </w:lvl>
    <w:lvl w:ilvl="1" w:tplc="90D6F69A" w:tentative="1">
      <w:start w:val="1"/>
      <w:numFmt w:val="bullet"/>
      <w:lvlText w:val="•"/>
      <w:lvlJc w:val="left"/>
      <w:pPr>
        <w:tabs>
          <w:tab w:val="num" w:pos="1788"/>
        </w:tabs>
        <w:ind w:left="1788" w:hanging="360"/>
      </w:pPr>
      <w:rPr>
        <w:rFonts w:ascii="Arial" w:hAnsi="Arial" w:hint="default"/>
      </w:rPr>
    </w:lvl>
    <w:lvl w:ilvl="2" w:tplc="FD94A09A" w:tentative="1">
      <w:start w:val="1"/>
      <w:numFmt w:val="bullet"/>
      <w:lvlText w:val="•"/>
      <w:lvlJc w:val="left"/>
      <w:pPr>
        <w:tabs>
          <w:tab w:val="num" w:pos="2508"/>
        </w:tabs>
        <w:ind w:left="2508" w:hanging="360"/>
      </w:pPr>
      <w:rPr>
        <w:rFonts w:ascii="Arial" w:hAnsi="Arial" w:hint="default"/>
      </w:rPr>
    </w:lvl>
    <w:lvl w:ilvl="3" w:tplc="C2E2D300" w:tentative="1">
      <w:start w:val="1"/>
      <w:numFmt w:val="bullet"/>
      <w:lvlText w:val="•"/>
      <w:lvlJc w:val="left"/>
      <w:pPr>
        <w:tabs>
          <w:tab w:val="num" w:pos="3228"/>
        </w:tabs>
        <w:ind w:left="3228" w:hanging="360"/>
      </w:pPr>
      <w:rPr>
        <w:rFonts w:ascii="Arial" w:hAnsi="Arial" w:hint="default"/>
      </w:rPr>
    </w:lvl>
    <w:lvl w:ilvl="4" w:tplc="6512EB4A" w:tentative="1">
      <w:start w:val="1"/>
      <w:numFmt w:val="bullet"/>
      <w:lvlText w:val="•"/>
      <w:lvlJc w:val="left"/>
      <w:pPr>
        <w:tabs>
          <w:tab w:val="num" w:pos="3948"/>
        </w:tabs>
        <w:ind w:left="3948" w:hanging="360"/>
      </w:pPr>
      <w:rPr>
        <w:rFonts w:ascii="Arial" w:hAnsi="Arial" w:hint="default"/>
      </w:rPr>
    </w:lvl>
    <w:lvl w:ilvl="5" w:tplc="0FFED512" w:tentative="1">
      <w:start w:val="1"/>
      <w:numFmt w:val="bullet"/>
      <w:lvlText w:val="•"/>
      <w:lvlJc w:val="left"/>
      <w:pPr>
        <w:tabs>
          <w:tab w:val="num" w:pos="4668"/>
        </w:tabs>
        <w:ind w:left="4668" w:hanging="360"/>
      </w:pPr>
      <w:rPr>
        <w:rFonts w:ascii="Arial" w:hAnsi="Arial" w:hint="default"/>
      </w:rPr>
    </w:lvl>
    <w:lvl w:ilvl="6" w:tplc="983247BC" w:tentative="1">
      <w:start w:val="1"/>
      <w:numFmt w:val="bullet"/>
      <w:lvlText w:val="•"/>
      <w:lvlJc w:val="left"/>
      <w:pPr>
        <w:tabs>
          <w:tab w:val="num" w:pos="5388"/>
        </w:tabs>
        <w:ind w:left="5388" w:hanging="360"/>
      </w:pPr>
      <w:rPr>
        <w:rFonts w:ascii="Arial" w:hAnsi="Arial" w:hint="default"/>
      </w:rPr>
    </w:lvl>
    <w:lvl w:ilvl="7" w:tplc="4434F9C6" w:tentative="1">
      <w:start w:val="1"/>
      <w:numFmt w:val="bullet"/>
      <w:lvlText w:val="•"/>
      <w:lvlJc w:val="left"/>
      <w:pPr>
        <w:tabs>
          <w:tab w:val="num" w:pos="6108"/>
        </w:tabs>
        <w:ind w:left="6108" w:hanging="360"/>
      </w:pPr>
      <w:rPr>
        <w:rFonts w:ascii="Arial" w:hAnsi="Arial" w:hint="default"/>
      </w:rPr>
    </w:lvl>
    <w:lvl w:ilvl="8" w:tplc="B7B40C56" w:tentative="1">
      <w:start w:val="1"/>
      <w:numFmt w:val="bullet"/>
      <w:lvlText w:val="•"/>
      <w:lvlJc w:val="left"/>
      <w:pPr>
        <w:tabs>
          <w:tab w:val="num" w:pos="6828"/>
        </w:tabs>
        <w:ind w:left="6828" w:hanging="360"/>
      </w:pPr>
      <w:rPr>
        <w:rFonts w:ascii="Arial" w:hAnsi="Arial" w:hint="default"/>
      </w:rPr>
    </w:lvl>
  </w:abstractNum>
  <w:abstractNum w:abstractNumId="152" w15:restartNumberingAfterBreak="0">
    <w:nsid w:val="38CB15B6"/>
    <w:multiLevelType w:val="hybridMultilevel"/>
    <w:tmpl w:val="4238E544"/>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3" w15:restartNumberingAfterBreak="0">
    <w:nsid w:val="38D87589"/>
    <w:multiLevelType w:val="hybridMultilevel"/>
    <w:tmpl w:val="A19A31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392324D3"/>
    <w:multiLevelType w:val="hybridMultilevel"/>
    <w:tmpl w:val="FDBE248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5" w15:restartNumberingAfterBreak="0">
    <w:nsid w:val="39261AE3"/>
    <w:multiLevelType w:val="hybridMultilevel"/>
    <w:tmpl w:val="4EF2F2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39B171B0"/>
    <w:multiLevelType w:val="hybridMultilevel"/>
    <w:tmpl w:val="70025D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3AA511D9"/>
    <w:multiLevelType w:val="hybridMultilevel"/>
    <w:tmpl w:val="CEAC217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8" w15:restartNumberingAfterBreak="0">
    <w:nsid w:val="3B4A514B"/>
    <w:multiLevelType w:val="hybridMultilevel"/>
    <w:tmpl w:val="DB5E55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C7A5F49"/>
    <w:multiLevelType w:val="hybridMultilevel"/>
    <w:tmpl w:val="DCFEB8B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15:restartNumberingAfterBreak="0">
    <w:nsid w:val="3C890ABF"/>
    <w:multiLevelType w:val="hybridMultilevel"/>
    <w:tmpl w:val="53B840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15:restartNumberingAfterBreak="0">
    <w:nsid w:val="3DFF2945"/>
    <w:multiLevelType w:val="hybridMultilevel"/>
    <w:tmpl w:val="DABE5B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3EDE1052"/>
    <w:multiLevelType w:val="hybridMultilevel"/>
    <w:tmpl w:val="BA24847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3" w15:restartNumberingAfterBreak="0">
    <w:nsid w:val="3F881330"/>
    <w:multiLevelType w:val="hybridMultilevel"/>
    <w:tmpl w:val="E3DC17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3F8E6444"/>
    <w:multiLevelType w:val="hybridMultilevel"/>
    <w:tmpl w:val="003A08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40345579"/>
    <w:multiLevelType w:val="hybridMultilevel"/>
    <w:tmpl w:val="7A34B6F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6" w15:restartNumberingAfterBreak="0">
    <w:nsid w:val="404D016F"/>
    <w:multiLevelType w:val="hybridMultilevel"/>
    <w:tmpl w:val="28800B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7" w15:restartNumberingAfterBreak="0">
    <w:nsid w:val="41B4550D"/>
    <w:multiLevelType w:val="hybridMultilevel"/>
    <w:tmpl w:val="CDB2CD02"/>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8" w15:restartNumberingAfterBreak="0">
    <w:nsid w:val="41B9276A"/>
    <w:multiLevelType w:val="hybridMultilevel"/>
    <w:tmpl w:val="FD02EF3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9" w15:restartNumberingAfterBreak="0">
    <w:nsid w:val="41DA0CF5"/>
    <w:multiLevelType w:val="hybridMultilevel"/>
    <w:tmpl w:val="94CE4EA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0" w15:restartNumberingAfterBreak="0">
    <w:nsid w:val="41E07E97"/>
    <w:multiLevelType w:val="hybridMultilevel"/>
    <w:tmpl w:val="65BE859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1" w15:restartNumberingAfterBreak="0">
    <w:nsid w:val="41E1150B"/>
    <w:multiLevelType w:val="hybridMultilevel"/>
    <w:tmpl w:val="DC9CEBCA"/>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2" w15:restartNumberingAfterBreak="0">
    <w:nsid w:val="42016837"/>
    <w:multiLevelType w:val="hybridMultilevel"/>
    <w:tmpl w:val="9446DD0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3" w15:restartNumberingAfterBreak="0">
    <w:nsid w:val="42A57E75"/>
    <w:multiLevelType w:val="hybridMultilevel"/>
    <w:tmpl w:val="1D64D4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15:restartNumberingAfterBreak="0">
    <w:nsid w:val="42EA5696"/>
    <w:multiLevelType w:val="hybridMultilevel"/>
    <w:tmpl w:val="E40AD2C0"/>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75" w15:restartNumberingAfterBreak="0">
    <w:nsid w:val="43CF1FC4"/>
    <w:multiLevelType w:val="hybridMultilevel"/>
    <w:tmpl w:val="C7F825B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6" w15:restartNumberingAfterBreak="0">
    <w:nsid w:val="43F25F04"/>
    <w:multiLevelType w:val="hybridMultilevel"/>
    <w:tmpl w:val="73B8EDD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7" w15:restartNumberingAfterBreak="0">
    <w:nsid w:val="44856FD4"/>
    <w:multiLevelType w:val="hybridMultilevel"/>
    <w:tmpl w:val="E2F208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45547D14"/>
    <w:multiLevelType w:val="hybridMultilevel"/>
    <w:tmpl w:val="5460512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9" w15:restartNumberingAfterBreak="0">
    <w:nsid w:val="45AB7E74"/>
    <w:multiLevelType w:val="hybridMultilevel"/>
    <w:tmpl w:val="348651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0" w15:restartNumberingAfterBreak="0">
    <w:nsid w:val="465147F3"/>
    <w:multiLevelType w:val="hybridMultilevel"/>
    <w:tmpl w:val="4EF6862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1" w15:restartNumberingAfterBreak="0">
    <w:nsid w:val="46A02CBA"/>
    <w:multiLevelType w:val="hybridMultilevel"/>
    <w:tmpl w:val="8F66AC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15:restartNumberingAfterBreak="0">
    <w:nsid w:val="46A61014"/>
    <w:multiLevelType w:val="hybridMultilevel"/>
    <w:tmpl w:val="F5EAA3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3" w15:restartNumberingAfterBreak="0">
    <w:nsid w:val="474443D2"/>
    <w:multiLevelType w:val="hybridMultilevel"/>
    <w:tmpl w:val="FD88CE0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4" w15:restartNumberingAfterBreak="0">
    <w:nsid w:val="47CB7F3A"/>
    <w:multiLevelType w:val="hybridMultilevel"/>
    <w:tmpl w:val="54525116"/>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5" w15:restartNumberingAfterBreak="0">
    <w:nsid w:val="48385393"/>
    <w:multiLevelType w:val="hybridMultilevel"/>
    <w:tmpl w:val="FE6AC3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15:restartNumberingAfterBreak="0">
    <w:nsid w:val="48F34AD3"/>
    <w:multiLevelType w:val="hybridMultilevel"/>
    <w:tmpl w:val="677EAC56"/>
    <w:lvl w:ilvl="0" w:tplc="57605F1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7" w15:restartNumberingAfterBreak="0">
    <w:nsid w:val="48FC2739"/>
    <w:multiLevelType w:val="hybridMultilevel"/>
    <w:tmpl w:val="DBFA81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8" w15:restartNumberingAfterBreak="0">
    <w:nsid w:val="490D2AFE"/>
    <w:multiLevelType w:val="hybridMultilevel"/>
    <w:tmpl w:val="1B109E1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9" w15:restartNumberingAfterBreak="0">
    <w:nsid w:val="4A28347D"/>
    <w:multiLevelType w:val="hybridMultilevel"/>
    <w:tmpl w:val="A4CA518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0" w15:restartNumberingAfterBreak="0">
    <w:nsid w:val="4A6139D9"/>
    <w:multiLevelType w:val="hybridMultilevel"/>
    <w:tmpl w:val="F232FA08"/>
    <w:lvl w:ilvl="0" w:tplc="57605F12">
      <w:start w:val="1"/>
      <w:numFmt w:val="bullet"/>
      <w:lvlText w:val=""/>
      <w:lvlJc w:val="left"/>
      <w:pPr>
        <w:tabs>
          <w:tab w:val="num" w:pos="720"/>
        </w:tabs>
        <w:ind w:left="720" w:hanging="360"/>
      </w:pPr>
      <w:rPr>
        <w:rFonts w:ascii="Wingdings" w:hAnsi="Wingdings" w:hint="default"/>
      </w:rPr>
    </w:lvl>
    <w:lvl w:ilvl="1" w:tplc="90D6F69A" w:tentative="1">
      <w:start w:val="1"/>
      <w:numFmt w:val="bullet"/>
      <w:lvlText w:val="•"/>
      <w:lvlJc w:val="left"/>
      <w:pPr>
        <w:tabs>
          <w:tab w:val="num" w:pos="1440"/>
        </w:tabs>
        <w:ind w:left="1440" w:hanging="360"/>
      </w:pPr>
      <w:rPr>
        <w:rFonts w:ascii="Arial" w:hAnsi="Arial"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191" w15:restartNumberingAfterBreak="0">
    <w:nsid w:val="4ADA5D4D"/>
    <w:multiLevelType w:val="hybridMultilevel"/>
    <w:tmpl w:val="98C0A4F6"/>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2" w15:restartNumberingAfterBreak="0">
    <w:nsid w:val="4AE444F3"/>
    <w:multiLevelType w:val="hybridMultilevel"/>
    <w:tmpl w:val="D9B4847A"/>
    <w:lvl w:ilvl="0" w:tplc="040C000B">
      <w:start w:val="1"/>
      <w:numFmt w:val="bullet"/>
      <w:lvlText w:val=""/>
      <w:lvlJc w:val="left"/>
      <w:pPr>
        <w:ind w:left="766" w:hanging="360"/>
      </w:pPr>
      <w:rPr>
        <w:rFonts w:ascii="Wingdings" w:hAnsi="Wingdings"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93" w15:restartNumberingAfterBreak="0">
    <w:nsid w:val="4AF31025"/>
    <w:multiLevelType w:val="hybridMultilevel"/>
    <w:tmpl w:val="1F7AF55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4" w15:restartNumberingAfterBreak="0">
    <w:nsid w:val="4B467AEC"/>
    <w:multiLevelType w:val="hybridMultilevel"/>
    <w:tmpl w:val="2B20B7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5" w15:restartNumberingAfterBreak="0">
    <w:nsid w:val="4B5E11C3"/>
    <w:multiLevelType w:val="hybridMultilevel"/>
    <w:tmpl w:val="3DFEB3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6" w15:restartNumberingAfterBreak="0">
    <w:nsid w:val="4C4538C9"/>
    <w:multiLevelType w:val="hybridMultilevel"/>
    <w:tmpl w:val="7C6A644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7" w15:restartNumberingAfterBreak="0">
    <w:nsid w:val="4C953026"/>
    <w:multiLevelType w:val="hybridMultilevel"/>
    <w:tmpl w:val="CDE445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8" w15:restartNumberingAfterBreak="0">
    <w:nsid w:val="4D370C46"/>
    <w:multiLevelType w:val="hybridMultilevel"/>
    <w:tmpl w:val="33802C7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9" w15:restartNumberingAfterBreak="0">
    <w:nsid w:val="4D5A476A"/>
    <w:multiLevelType w:val="hybridMultilevel"/>
    <w:tmpl w:val="F58ECF2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0" w15:restartNumberingAfterBreak="0">
    <w:nsid w:val="4DC94D79"/>
    <w:multiLevelType w:val="hybridMultilevel"/>
    <w:tmpl w:val="752212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1" w15:restartNumberingAfterBreak="0">
    <w:nsid w:val="4E247DF4"/>
    <w:multiLevelType w:val="hybridMultilevel"/>
    <w:tmpl w:val="88BC2C2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2" w15:restartNumberingAfterBreak="0">
    <w:nsid w:val="4E974B44"/>
    <w:multiLevelType w:val="hybridMultilevel"/>
    <w:tmpl w:val="7046BE1C"/>
    <w:lvl w:ilvl="0" w:tplc="040C0005">
      <w:start w:val="1"/>
      <w:numFmt w:val="bullet"/>
      <w:lvlText w:val=""/>
      <w:lvlJc w:val="left"/>
      <w:pPr>
        <w:tabs>
          <w:tab w:val="num" w:pos="1068"/>
        </w:tabs>
        <w:ind w:left="1068" w:hanging="360"/>
      </w:pPr>
      <w:rPr>
        <w:rFonts w:ascii="Wingdings" w:hAnsi="Wingdings" w:hint="default"/>
      </w:rPr>
    </w:lvl>
    <w:lvl w:ilvl="1" w:tplc="90D6F69A" w:tentative="1">
      <w:start w:val="1"/>
      <w:numFmt w:val="bullet"/>
      <w:lvlText w:val="•"/>
      <w:lvlJc w:val="left"/>
      <w:pPr>
        <w:tabs>
          <w:tab w:val="num" w:pos="1788"/>
        </w:tabs>
        <w:ind w:left="1788" w:hanging="360"/>
      </w:pPr>
      <w:rPr>
        <w:rFonts w:ascii="Arial" w:hAnsi="Arial" w:hint="default"/>
      </w:rPr>
    </w:lvl>
    <w:lvl w:ilvl="2" w:tplc="FD94A09A" w:tentative="1">
      <w:start w:val="1"/>
      <w:numFmt w:val="bullet"/>
      <w:lvlText w:val="•"/>
      <w:lvlJc w:val="left"/>
      <w:pPr>
        <w:tabs>
          <w:tab w:val="num" w:pos="2508"/>
        </w:tabs>
        <w:ind w:left="2508" w:hanging="360"/>
      </w:pPr>
      <w:rPr>
        <w:rFonts w:ascii="Arial" w:hAnsi="Arial" w:hint="default"/>
      </w:rPr>
    </w:lvl>
    <w:lvl w:ilvl="3" w:tplc="C2E2D300" w:tentative="1">
      <w:start w:val="1"/>
      <w:numFmt w:val="bullet"/>
      <w:lvlText w:val="•"/>
      <w:lvlJc w:val="left"/>
      <w:pPr>
        <w:tabs>
          <w:tab w:val="num" w:pos="3228"/>
        </w:tabs>
        <w:ind w:left="3228" w:hanging="360"/>
      </w:pPr>
      <w:rPr>
        <w:rFonts w:ascii="Arial" w:hAnsi="Arial" w:hint="default"/>
      </w:rPr>
    </w:lvl>
    <w:lvl w:ilvl="4" w:tplc="6512EB4A" w:tentative="1">
      <w:start w:val="1"/>
      <w:numFmt w:val="bullet"/>
      <w:lvlText w:val="•"/>
      <w:lvlJc w:val="left"/>
      <w:pPr>
        <w:tabs>
          <w:tab w:val="num" w:pos="3948"/>
        </w:tabs>
        <w:ind w:left="3948" w:hanging="360"/>
      </w:pPr>
      <w:rPr>
        <w:rFonts w:ascii="Arial" w:hAnsi="Arial" w:hint="default"/>
      </w:rPr>
    </w:lvl>
    <w:lvl w:ilvl="5" w:tplc="0FFED512" w:tentative="1">
      <w:start w:val="1"/>
      <w:numFmt w:val="bullet"/>
      <w:lvlText w:val="•"/>
      <w:lvlJc w:val="left"/>
      <w:pPr>
        <w:tabs>
          <w:tab w:val="num" w:pos="4668"/>
        </w:tabs>
        <w:ind w:left="4668" w:hanging="360"/>
      </w:pPr>
      <w:rPr>
        <w:rFonts w:ascii="Arial" w:hAnsi="Arial" w:hint="default"/>
      </w:rPr>
    </w:lvl>
    <w:lvl w:ilvl="6" w:tplc="983247BC" w:tentative="1">
      <w:start w:val="1"/>
      <w:numFmt w:val="bullet"/>
      <w:lvlText w:val="•"/>
      <w:lvlJc w:val="left"/>
      <w:pPr>
        <w:tabs>
          <w:tab w:val="num" w:pos="5388"/>
        </w:tabs>
        <w:ind w:left="5388" w:hanging="360"/>
      </w:pPr>
      <w:rPr>
        <w:rFonts w:ascii="Arial" w:hAnsi="Arial" w:hint="default"/>
      </w:rPr>
    </w:lvl>
    <w:lvl w:ilvl="7" w:tplc="4434F9C6" w:tentative="1">
      <w:start w:val="1"/>
      <w:numFmt w:val="bullet"/>
      <w:lvlText w:val="•"/>
      <w:lvlJc w:val="left"/>
      <w:pPr>
        <w:tabs>
          <w:tab w:val="num" w:pos="6108"/>
        </w:tabs>
        <w:ind w:left="6108" w:hanging="360"/>
      </w:pPr>
      <w:rPr>
        <w:rFonts w:ascii="Arial" w:hAnsi="Arial" w:hint="default"/>
      </w:rPr>
    </w:lvl>
    <w:lvl w:ilvl="8" w:tplc="B7B40C56" w:tentative="1">
      <w:start w:val="1"/>
      <w:numFmt w:val="bullet"/>
      <w:lvlText w:val="•"/>
      <w:lvlJc w:val="left"/>
      <w:pPr>
        <w:tabs>
          <w:tab w:val="num" w:pos="6828"/>
        </w:tabs>
        <w:ind w:left="6828" w:hanging="360"/>
      </w:pPr>
      <w:rPr>
        <w:rFonts w:ascii="Arial" w:hAnsi="Arial" w:hint="default"/>
      </w:rPr>
    </w:lvl>
  </w:abstractNum>
  <w:abstractNum w:abstractNumId="203" w15:restartNumberingAfterBreak="0">
    <w:nsid w:val="4F083BAE"/>
    <w:multiLevelType w:val="hybridMultilevel"/>
    <w:tmpl w:val="A4B8A3E6"/>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4" w15:restartNumberingAfterBreak="0">
    <w:nsid w:val="4FE54385"/>
    <w:multiLevelType w:val="hybridMultilevel"/>
    <w:tmpl w:val="1EE482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15:restartNumberingAfterBreak="0">
    <w:nsid w:val="502F618C"/>
    <w:multiLevelType w:val="hybridMultilevel"/>
    <w:tmpl w:val="151E81B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6" w15:restartNumberingAfterBreak="0">
    <w:nsid w:val="509817A5"/>
    <w:multiLevelType w:val="hybridMultilevel"/>
    <w:tmpl w:val="DD14EC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7" w15:restartNumberingAfterBreak="0">
    <w:nsid w:val="524855C7"/>
    <w:multiLevelType w:val="hybridMultilevel"/>
    <w:tmpl w:val="135E43C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8" w15:restartNumberingAfterBreak="0">
    <w:nsid w:val="52857214"/>
    <w:multiLevelType w:val="hybridMultilevel"/>
    <w:tmpl w:val="D376D666"/>
    <w:lvl w:ilvl="0" w:tplc="57605F12">
      <w:start w:val="1"/>
      <w:numFmt w:val="bullet"/>
      <w:lvlText w:val=""/>
      <w:lvlJc w:val="left"/>
      <w:pPr>
        <w:tabs>
          <w:tab w:val="num" w:pos="720"/>
        </w:tabs>
        <w:ind w:left="720" w:hanging="360"/>
      </w:pPr>
      <w:rPr>
        <w:rFonts w:ascii="Wingdings" w:hAnsi="Wingdings" w:hint="default"/>
      </w:rPr>
    </w:lvl>
    <w:lvl w:ilvl="1" w:tplc="C70463C2">
      <w:numFmt w:val="bullet"/>
      <w:lvlText w:val="•"/>
      <w:lvlJc w:val="left"/>
      <w:pPr>
        <w:ind w:left="1785" w:hanging="705"/>
      </w:pPr>
      <w:rPr>
        <w:rFonts w:ascii="Calibri" w:eastAsiaTheme="minorEastAsia" w:hAnsi="Calibri" w:cs="Calibri"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209" w15:restartNumberingAfterBreak="0">
    <w:nsid w:val="528870AF"/>
    <w:multiLevelType w:val="hybridMultilevel"/>
    <w:tmpl w:val="803857F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0" w15:restartNumberingAfterBreak="0">
    <w:nsid w:val="53367719"/>
    <w:multiLevelType w:val="hybridMultilevel"/>
    <w:tmpl w:val="82022F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1" w15:restartNumberingAfterBreak="0">
    <w:nsid w:val="54701A91"/>
    <w:multiLevelType w:val="hybridMultilevel"/>
    <w:tmpl w:val="88D0329E"/>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2" w15:restartNumberingAfterBreak="0">
    <w:nsid w:val="54E40705"/>
    <w:multiLevelType w:val="hybridMultilevel"/>
    <w:tmpl w:val="FDDEF03C"/>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3" w15:restartNumberingAfterBreak="0">
    <w:nsid w:val="56193B83"/>
    <w:multiLevelType w:val="hybridMultilevel"/>
    <w:tmpl w:val="B936FB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4" w15:restartNumberingAfterBreak="0">
    <w:nsid w:val="5666511A"/>
    <w:multiLevelType w:val="hybridMultilevel"/>
    <w:tmpl w:val="9F5028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15:restartNumberingAfterBreak="0">
    <w:nsid w:val="57215F53"/>
    <w:multiLevelType w:val="hybridMultilevel"/>
    <w:tmpl w:val="7F5EA8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6" w15:restartNumberingAfterBreak="0">
    <w:nsid w:val="57B87683"/>
    <w:multiLevelType w:val="hybridMultilevel"/>
    <w:tmpl w:val="AD7AD2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7" w15:restartNumberingAfterBreak="0">
    <w:nsid w:val="58354181"/>
    <w:multiLevelType w:val="hybridMultilevel"/>
    <w:tmpl w:val="5E5697C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8" w15:restartNumberingAfterBreak="0">
    <w:nsid w:val="58446149"/>
    <w:multiLevelType w:val="hybridMultilevel"/>
    <w:tmpl w:val="67582F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9" w15:restartNumberingAfterBreak="0">
    <w:nsid w:val="588657BB"/>
    <w:multiLevelType w:val="hybridMultilevel"/>
    <w:tmpl w:val="45960A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0" w15:restartNumberingAfterBreak="0">
    <w:nsid w:val="58962902"/>
    <w:multiLevelType w:val="hybridMultilevel"/>
    <w:tmpl w:val="E76A81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15:restartNumberingAfterBreak="0">
    <w:nsid w:val="589F0713"/>
    <w:multiLevelType w:val="hybridMultilevel"/>
    <w:tmpl w:val="3E06DF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2" w15:restartNumberingAfterBreak="0">
    <w:nsid w:val="59265109"/>
    <w:multiLevelType w:val="hybridMultilevel"/>
    <w:tmpl w:val="17602C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3" w15:restartNumberingAfterBreak="0">
    <w:nsid w:val="596663D7"/>
    <w:multiLevelType w:val="hybridMultilevel"/>
    <w:tmpl w:val="6FBAA99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E7C86E02">
      <w:numFmt w:val="bullet"/>
      <w:lvlText w:val=""/>
      <w:lvlJc w:val="left"/>
      <w:pPr>
        <w:ind w:left="2505" w:hanging="705"/>
      </w:pPr>
      <w:rPr>
        <w:rFonts w:ascii="Symbol" w:eastAsiaTheme="minorEastAsia" w:hAnsi="Symbol"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4" w15:restartNumberingAfterBreak="0">
    <w:nsid w:val="59E31A96"/>
    <w:multiLevelType w:val="hybridMultilevel"/>
    <w:tmpl w:val="A47A65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5" w15:restartNumberingAfterBreak="0">
    <w:nsid w:val="59E8597B"/>
    <w:multiLevelType w:val="hybridMultilevel"/>
    <w:tmpl w:val="29BC9130"/>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6" w15:restartNumberingAfterBreak="0">
    <w:nsid w:val="59F43019"/>
    <w:multiLevelType w:val="hybridMultilevel"/>
    <w:tmpl w:val="CBB223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7" w15:restartNumberingAfterBreak="0">
    <w:nsid w:val="5A286995"/>
    <w:multiLevelType w:val="hybridMultilevel"/>
    <w:tmpl w:val="7E5C28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8" w15:restartNumberingAfterBreak="0">
    <w:nsid w:val="5A6806FF"/>
    <w:multiLevelType w:val="hybridMultilevel"/>
    <w:tmpl w:val="39FA80F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9" w15:restartNumberingAfterBreak="0">
    <w:nsid w:val="5A8A19B2"/>
    <w:multiLevelType w:val="hybridMultilevel"/>
    <w:tmpl w:val="F146CF00"/>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0" w15:restartNumberingAfterBreak="0">
    <w:nsid w:val="5AA545D3"/>
    <w:multiLevelType w:val="hybridMultilevel"/>
    <w:tmpl w:val="073255C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1" w15:restartNumberingAfterBreak="0">
    <w:nsid w:val="5AD27EC3"/>
    <w:multiLevelType w:val="hybridMultilevel"/>
    <w:tmpl w:val="C4463C6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2" w15:restartNumberingAfterBreak="0">
    <w:nsid w:val="5B592B49"/>
    <w:multiLevelType w:val="hybridMultilevel"/>
    <w:tmpl w:val="6EECE0D6"/>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3" w15:restartNumberingAfterBreak="0">
    <w:nsid w:val="5C600720"/>
    <w:multiLevelType w:val="hybridMultilevel"/>
    <w:tmpl w:val="23EA189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4" w15:restartNumberingAfterBreak="0">
    <w:nsid w:val="5D281424"/>
    <w:multiLevelType w:val="hybridMultilevel"/>
    <w:tmpl w:val="CCD21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5" w15:restartNumberingAfterBreak="0">
    <w:nsid w:val="5D3F7ADA"/>
    <w:multiLevelType w:val="hybridMultilevel"/>
    <w:tmpl w:val="BDBA3F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15:restartNumberingAfterBreak="0">
    <w:nsid w:val="5DA30073"/>
    <w:multiLevelType w:val="hybridMultilevel"/>
    <w:tmpl w:val="BD8C403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7" w15:restartNumberingAfterBreak="0">
    <w:nsid w:val="5DB771B0"/>
    <w:multiLevelType w:val="hybridMultilevel"/>
    <w:tmpl w:val="84CAB19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8" w15:restartNumberingAfterBreak="0">
    <w:nsid w:val="5DE55FB3"/>
    <w:multiLevelType w:val="hybridMultilevel"/>
    <w:tmpl w:val="377AA7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9" w15:restartNumberingAfterBreak="0">
    <w:nsid w:val="5E3E365F"/>
    <w:multiLevelType w:val="hybridMultilevel"/>
    <w:tmpl w:val="3908394A"/>
    <w:lvl w:ilvl="0" w:tplc="E8D267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15:restartNumberingAfterBreak="0">
    <w:nsid w:val="5E62234C"/>
    <w:multiLevelType w:val="hybridMultilevel"/>
    <w:tmpl w:val="A89A9B4E"/>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1" w15:restartNumberingAfterBreak="0">
    <w:nsid w:val="5E717285"/>
    <w:multiLevelType w:val="hybridMultilevel"/>
    <w:tmpl w:val="37647FE6"/>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2" w15:restartNumberingAfterBreak="0">
    <w:nsid w:val="5F297F68"/>
    <w:multiLevelType w:val="hybridMultilevel"/>
    <w:tmpl w:val="3920DDD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3" w15:restartNumberingAfterBreak="0">
    <w:nsid w:val="5F2A257B"/>
    <w:multiLevelType w:val="hybridMultilevel"/>
    <w:tmpl w:val="3B1AE4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4" w15:restartNumberingAfterBreak="0">
    <w:nsid w:val="5F2B37EB"/>
    <w:multiLevelType w:val="hybridMultilevel"/>
    <w:tmpl w:val="E26871C0"/>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5" w15:restartNumberingAfterBreak="0">
    <w:nsid w:val="5F6E46CF"/>
    <w:multiLevelType w:val="hybridMultilevel"/>
    <w:tmpl w:val="481A89F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6" w15:restartNumberingAfterBreak="0">
    <w:nsid w:val="5FDB1EBD"/>
    <w:multiLevelType w:val="hybridMultilevel"/>
    <w:tmpl w:val="D71E58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7" w15:restartNumberingAfterBreak="0">
    <w:nsid w:val="605B3F7F"/>
    <w:multiLevelType w:val="hybridMultilevel"/>
    <w:tmpl w:val="3BCA0E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8" w15:restartNumberingAfterBreak="0">
    <w:nsid w:val="606E3182"/>
    <w:multiLevelType w:val="hybridMultilevel"/>
    <w:tmpl w:val="F2A4FD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9" w15:restartNumberingAfterBreak="0">
    <w:nsid w:val="60C527DA"/>
    <w:multiLevelType w:val="hybridMultilevel"/>
    <w:tmpl w:val="DE66A54E"/>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0" w15:restartNumberingAfterBreak="0">
    <w:nsid w:val="6183180D"/>
    <w:multiLevelType w:val="hybridMultilevel"/>
    <w:tmpl w:val="BFA83E5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1" w15:restartNumberingAfterBreak="0">
    <w:nsid w:val="61B47065"/>
    <w:multiLevelType w:val="hybridMultilevel"/>
    <w:tmpl w:val="2C2E3D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15:restartNumberingAfterBreak="0">
    <w:nsid w:val="627569E3"/>
    <w:multiLevelType w:val="hybridMultilevel"/>
    <w:tmpl w:val="56D6A0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3" w15:restartNumberingAfterBreak="0">
    <w:nsid w:val="62787121"/>
    <w:multiLevelType w:val="hybridMultilevel"/>
    <w:tmpl w:val="12B04736"/>
    <w:lvl w:ilvl="0" w:tplc="57605F12">
      <w:start w:val="1"/>
      <w:numFmt w:val="bullet"/>
      <w:lvlText w:val=""/>
      <w:lvlJc w:val="left"/>
      <w:pPr>
        <w:tabs>
          <w:tab w:val="num" w:pos="720"/>
        </w:tabs>
        <w:ind w:left="720" w:hanging="360"/>
      </w:pPr>
      <w:rPr>
        <w:rFonts w:ascii="Wingdings" w:hAnsi="Wingdings" w:hint="default"/>
      </w:rPr>
    </w:lvl>
    <w:lvl w:ilvl="1" w:tplc="90D6F69A" w:tentative="1">
      <w:start w:val="1"/>
      <w:numFmt w:val="bullet"/>
      <w:lvlText w:val="•"/>
      <w:lvlJc w:val="left"/>
      <w:pPr>
        <w:tabs>
          <w:tab w:val="num" w:pos="1440"/>
        </w:tabs>
        <w:ind w:left="1440" w:hanging="360"/>
      </w:pPr>
      <w:rPr>
        <w:rFonts w:ascii="Arial" w:hAnsi="Arial"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254" w15:restartNumberingAfterBreak="0">
    <w:nsid w:val="62A34E64"/>
    <w:multiLevelType w:val="hybridMultilevel"/>
    <w:tmpl w:val="45F0614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5" w15:restartNumberingAfterBreak="0">
    <w:nsid w:val="62EF2896"/>
    <w:multiLevelType w:val="hybridMultilevel"/>
    <w:tmpl w:val="5A1C6F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6" w15:restartNumberingAfterBreak="0">
    <w:nsid w:val="63212BEC"/>
    <w:multiLevelType w:val="hybridMultilevel"/>
    <w:tmpl w:val="753AB5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7" w15:restartNumberingAfterBreak="0">
    <w:nsid w:val="634804EB"/>
    <w:multiLevelType w:val="hybridMultilevel"/>
    <w:tmpl w:val="B97A02D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8" w15:restartNumberingAfterBreak="0">
    <w:nsid w:val="63CF4836"/>
    <w:multiLevelType w:val="hybridMultilevel"/>
    <w:tmpl w:val="F54E41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15:restartNumberingAfterBreak="0">
    <w:nsid w:val="63D105CA"/>
    <w:multiLevelType w:val="hybridMultilevel"/>
    <w:tmpl w:val="9A2C0EF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0" w15:restartNumberingAfterBreak="0">
    <w:nsid w:val="64473F91"/>
    <w:multiLevelType w:val="hybridMultilevel"/>
    <w:tmpl w:val="6508497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61" w15:restartNumberingAfterBreak="0">
    <w:nsid w:val="64705CF6"/>
    <w:multiLevelType w:val="hybridMultilevel"/>
    <w:tmpl w:val="0BFAD96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2" w15:restartNumberingAfterBreak="0">
    <w:nsid w:val="6481750F"/>
    <w:multiLevelType w:val="hybridMultilevel"/>
    <w:tmpl w:val="4288EF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3" w15:restartNumberingAfterBreak="0">
    <w:nsid w:val="64997C2C"/>
    <w:multiLevelType w:val="hybridMultilevel"/>
    <w:tmpl w:val="636223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4" w15:restartNumberingAfterBreak="0">
    <w:nsid w:val="64B11FF8"/>
    <w:multiLevelType w:val="hybridMultilevel"/>
    <w:tmpl w:val="4508B8B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5" w15:restartNumberingAfterBreak="0">
    <w:nsid w:val="65856D0E"/>
    <w:multiLevelType w:val="hybridMultilevel"/>
    <w:tmpl w:val="270A282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6" w15:restartNumberingAfterBreak="0">
    <w:nsid w:val="6602145A"/>
    <w:multiLevelType w:val="hybridMultilevel"/>
    <w:tmpl w:val="05A273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7" w15:restartNumberingAfterBreak="0">
    <w:nsid w:val="66261018"/>
    <w:multiLevelType w:val="hybridMultilevel"/>
    <w:tmpl w:val="BF9AE9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8" w15:restartNumberingAfterBreak="0">
    <w:nsid w:val="66604F1B"/>
    <w:multiLevelType w:val="hybridMultilevel"/>
    <w:tmpl w:val="2682D4B8"/>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9" w15:restartNumberingAfterBreak="0">
    <w:nsid w:val="670B6555"/>
    <w:multiLevelType w:val="hybridMultilevel"/>
    <w:tmpl w:val="5B6A56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0" w15:restartNumberingAfterBreak="0">
    <w:nsid w:val="6710200B"/>
    <w:multiLevelType w:val="hybridMultilevel"/>
    <w:tmpl w:val="10DAD75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1" w15:restartNumberingAfterBreak="0">
    <w:nsid w:val="671C65A9"/>
    <w:multiLevelType w:val="hybridMultilevel"/>
    <w:tmpl w:val="8B5007C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2" w15:restartNumberingAfterBreak="0">
    <w:nsid w:val="68AE1B1D"/>
    <w:multiLevelType w:val="hybridMultilevel"/>
    <w:tmpl w:val="A0902A3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3" w15:restartNumberingAfterBreak="0">
    <w:nsid w:val="68BF2AFF"/>
    <w:multiLevelType w:val="hybridMultilevel"/>
    <w:tmpl w:val="4A68F60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4" w15:restartNumberingAfterBreak="0">
    <w:nsid w:val="69E4306F"/>
    <w:multiLevelType w:val="hybridMultilevel"/>
    <w:tmpl w:val="B3509E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5" w15:restartNumberingAfterBreak="0">
    <w:nsid w:val="6A21515F"/>
    <w:multiLevelType w:val="hybridMultilevel"/>
    <w:tmpl w:val="DE54EF30"/>
    <w:lvl w:ilvl="0" w:tplc="040C000B">
      <w:start w:val="1"/>
      <w:numFmt w:val="bullet"/>
      <w:lvlText w:val=""/>
      <w:lvlJc w:val="left"/>
      <w:pPr>
        <w:tabs>
          <w:tab w:val="num" w:pos="720"/>
        </w:tabs>
        <w:ind w:left="720" w:hanging="360"/>
      </w:pPr>
      <w:rPr>
        <w:rFonts w:ascii="Wingdings" w:hAnsi="Wingdings" w:hint="default"/>
        <w:sz w:val="22"/>
      </w:rPr>
    </w:lvl>
    <w:lvl w:ilvl="1" w:tplc="90D6F69A" w:tentative="1">
      <w:start w:val="1"/>
      <w:numFmt w:val="bullet"/>
      <w:lvlText w:val="•"/>
      <w:lvlJc w:val="left"/>
      <w:pPr>
        <w:tabs>
          <w:tab w:val="num" w:pos="1440"/>
        </w:tabs>
        <w:ind w:left="1440" w:hanging="360"/>
      </w:pPr>
      <w:rPr>
        <w:rFonts w:ascii="Arial" w:hAnsi="Arial"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276" w15:restartNumberingAfterBreak="0">
    <w:nsid w:val="6AD95ABE"/>
    <w:multiLevelType w:val="hybridMultilevel"/>
    <w:tmpl w:val="0F103E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7" w15:restartNumberingAfterBreak="0">
    <w:nsid w:val="6B0A19FC"/>
    <w:multiLevelType w:val="hybridMultilevel"/>
    <w:tmpl w:val="FC54A5E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8" w15:restartNumberingAfterBreak="0">
    <w:nsid w:val="6BB53AE0"/>
    <w:multiLevelType w:val="hybridMultilevel"/>
    <w:tmpl w:val="ACDCF74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9" w15:restartNumberingAfterBreak="0">
    <w:nsid w:val="6C3E6777"/>
    <w:multiLevelType w:val="hybridMultilevel"/>
    <w:tmpl w:val="551A255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0" w15:restartNumberingAfterBreak="0">
    <w:nsid w:val="6C955667"/>
    <w:multiLevelType w:val="hybridMultilevel"/>
    <w:tmpl w:val="D9B487E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1" w15:restartNumberingAfterBreak="0">
    <w:nsid w:val="6CA13673"/>
    <w:multiLevelType w:val="hybridMultilevel"/>
    <w:tmpl w:val="35045E4A"/>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2" w15:restartNumberingAfterBreak="0">
    <w:nsid w:val="6CA71001"/>
    <w:multiLevelType w:val="hybridMultilevel"/>
    <w:tmpl w:val="74D21E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3" w15:restartNumberingAfterBreak="0">
    <w:nsid w:val="6CB523B7"/>
    <w:multiLevelType w:val="hybridMultilevel"/>
    <w:tmpl w:val="AE068B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4" w15:restartNumberingAfterBreak="0">
    <w:nsid w:val="6DD5452E"/>
    <w:multiLevelType w:val="hybridMultilevel"/>
    <w:tmpl w:val="B016CC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5" w15:restartNumberingAfterBreak="0">
    <w:nsid w:val="6E6620CF"/>
    <w:multiLevelType w:val="hybridMultilevel"/>
    <w:tmpl w:val="C8227B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6" w15:restartNumberingAfterBreak="0">
    <w:nsid w:val="6E917BB0"/>
    <w:multiLevelType w:val="hybridMultilevel"/>
    <w:tmpl w:val="C5BAF5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7" w15:restartNumberingAfterBreak="0">
    <w:nsid w:val="6F067DEB"/>
    <w:multiLevelType w:val="hybridMultilevel"/>
    <w:tmpl w:val="0A328DF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8" w15:restartNumberingAfterBreak="0">
    <w:nsid w:val="6FB240CF"/>
    <w:multiLevelType w:val="hybridMultilevel"/>
    <w:tmpl w:val="BDD8BDD8"/>
    <w:lvl w:ilvl="0" w:tplc="9B18716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15:restartNumberingAfterBreak="0">
    <w:nsid w:val="6FBD6844"/>
    <w:multiLevelType w:val="hybridMultilevel"/>
    <w:tmpl w:val="7C6CC1A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0" w15:restartNumberingAfterBreak="0">
    <w:nsid w:val="6FF423EB"/>
    <w:multiLevelType w:val="hybridMultilevel"/>
    <w:tmpl w:val="4012876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1" w15:restartNumberingAfterBreak="0">
    <w:nsid w:val="709D095B"/>
    <w:multiLevelType w:val="hybridMultilevel"/>
    <w:tmpl w:val="463E49F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2" w15:restartNumberingAfterBreak="0">
    <w:nsid w:val="70B64876"/>
    <w:multiLevelType w:val="hybridMultilevel"/>
    <w:tmpl w:val="4B4E6E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3" w15:restartNumberingAfterBreak="0">
    <w:nsid w:val="719A6C6C"/>
    <w:multiLevelType w:val="hybridMultilevel"/>
    <w:tmpl w:val="816EF4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4" w15:restartNumberingAfterBreak="0">
    <w:nsid w:val="72B60485"/>
    <w:multiLevelType w:val="hybridMultilevel"/>
    <w:tmpl w:val="098466E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5" w15:restartNumberingAfterBreak="0">
    <w:nsid w:val="7339125C"/>
    <w:multiLevelType w:val="hybridMultilevel"/>
    <w:tmpl w:val="D5D28E4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6" w15:restartNumberingAfterBreak="0">
    <w:nsid w:val="7350038C"/>
    <w:multiLevelType w:val="hybridMultilevel"/>
    <w:tmpl w:val="90E8851E"/>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7" w15:restartNumberingAfterBreak="0">
    <w:nsid w:val="73D87FE3"/>
    <w:multiLevelType w:val="hybridMultilevel"/>
    <w:tmpl w:val="EE3AD2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4077676"/>
    <w:multiLevelType w:val="hybridMultilevel"/>
    <w:tmpl w:val="B250261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9" w15:restartNumberingAfterBreak="0">
    <w:nsid w:val="74A70901"/>
    <w:multiLevelType w:val="hybridMultilevel"/>
    <w:tmpl w:val="4F22261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0" w15:restartNumberingAfterBreak="0">
    <w:nsid w:val="74E3051A"/>
    <w:multiLevelType w:val="hybridMultilevel"/>
    <w:tmpl w:val="D1786AD0"/>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15:restartNumberingAfterBreak="0">
    <w:nsid w:val="74F77008"/>
    <w:multiLevelType w:val="hybridMultilevel"/>
    <w:tmpl w:val="4582E1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2" w15:restartNumberingAfterBreak="0">
    <w:nsid w:val="75342910"/>
    <w:multiLevelType w:val="hybridMultilevel"/>
    <w:tmpl w:val="04F697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15:restartNumberingAfterBreak="0">
    <w:nsid w:val="762700D4"/>
    <w:multiLevelType w:val="hybridMultilevel"/>
    <w:tmpl w:val="F848AF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4" w15:restartNumberingAfterBreak="0">
    <w:nsid w:val="76852E0C"/>
    <w:multiLevelType w:val="hybridMultilevel"/>
    <w:tmpl w:val="9814A5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5" w15:restartNumberingAfterBreak="0">
    <w:nsid w:val="76E210CE"/>
    <w:multiLevelType w:val="hybridMultilevel"/>
    <w:tmpl w:val="B5DAF55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6" w15:restartNumberingAfterBreak="0">
    <w:nsid w:val="77455FC6"/>
    <w:multiLevelType w:val="hybridMultilevel"/>
    <w:tmpl w:val="D64EF9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7" w15:restartNumberingAfterBreak="0">
    <w:nsid w:val="776F1D78"/>
    <w:multiLevelType w:val="hybridMultilevel"/>
    <w:tmpl w:val="D6262C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8" w15:restartNumberingAfterBreak="0">
    <w:nsid w:val="77997ABF"/>
    <w:multiLevelType w:val="hybridMultilevel"/>
    <w:tmpl w:val="8FB8FE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9" w15:restartNumberingAfterBreak="0">
    <w:nsid w:val="782A3ADC"/>
    <w:multiLevelType w:val="hybridMultilevel"/>
    <w:tmpl w:val="8B70C9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0" w15:restartNumberingAfterBreak="0">
    <w:nsid w:val="785E0C64"/>
    <w:multiLevelType w:val="hybridMultilevel"/>
    <w:tmpl w:val="2F6CCF40"/>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1" w15:restartNumberingAfterBreak="0">
    <w:nsid w:val="78FF0F41"/>
    <w:multiLevelType w:val="hybridMultilevel"/>
    <w:tmpl w:val="E1283C8E"/>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2" w15:restartNumberingAfterBreak="0">
    <w:nsid w:val="793D73CE"/>
    <w:multiLevelType w:val="hybridMultilevel"/>
    <w:tmpl w:val="FDEE1F3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3" w15:restartNumberingAfterBreak="0">
    <w:nsid w:val="79532F51"/>
    <w:multiLevelType w:val="hybridMultilevel"/>
    <w:tmpl w:val="FF3C61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15:restartNumberingAfterBreak="0">
    <w:nsid w:val="795B73FA"/>
    <w:multiLevelType w:val="hybridMultilevel"/>
    <w:tmpl w:val="137A98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5" w15:restartNumberingAfterBreak="0">
    <w:nsid w:val="796A328E"/>
    <w:multiLevelType w:val="hybridMultilevel"/>
    <w:tmpl w:val="3C4EE98E"/>
    <w:lvl w:ilvl="0" w:tplc="040C0005">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15:restartNumberingAfterBreak="0">
    <w:nsid w:val="79F17034"/>
    <w:multiLevelType w:val="hybridMultilevel"/>
    <w:tmpl w:val="A32EC1C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7" w15:restartNumberingAfterBreak="0">
    <w:nsid w:val="7A85195E"/>
    <w:multiLevelType w:val="hybridMultilevel"/>
    <w:tmpl w:val="DDB88A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8" w15:restartNumberingAfterBreak="0">
    <w:nsid w:val="7A87652E"/>
    <w:multiLevelType w:val="hybridMultilevel"/>
    <w:tmpl w:val="BFB622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9" w15:restartNumberingAfterBreak="0">
    <w:nsid w:val="7BB108CC"/>
    <w:multiLevelType w:val="hybridMultilevel"/>
    <w:tmpl w:val="631A3EE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0" w15:restartNumberingAfterBreak="0">
    <w:nsid w:val="7C855862"/>
    <w:multiLevelType w:val="hybridMultilevel"/>
    <w:tmpl w:val="E54876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1" w15:restartNumberingAfterBreak="0">
    <w:nsid w:val="7CA172A2"/>
    <w:multiLevelType w:val="hybridMultilevel"/>
    <w:tmpl w:val="4630F4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2" w15:restartNumberingAfterBreak="0">
    <w:nsid w:val="7CAA5151"/>
    <w:multiLevelType w:val="hybridMultilevel"/>
    <w:tmpl w:val="B64E5C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3" w15:restartNumberingAfterBreak="0">
    <w:nsid w:val="7CC318AF"/>
    <w:multiLevelType w:val="hybridMultilevel"/>
    <w:tmpl w:val="4704DAD0"/>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4" w15:restartNumberingAfterBreak="0">
    <w:nsid w:val="7D32369F"/>
    <w:multiLevelType w:val="hybridMultilevel"/>
    <w:tmpl w:val="60922C0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5" w15:restartNumberingAfterBreak="0">
    <w:nsid w:val="7D6152E6"/>
    <w:multiLevelType w:val="hybridMultilevel"/>
    <w:tmpl w:val="CE3C4DD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6" w15:restartNumberingAfterBreak="0">
    <w:nsid w:val="7D67377A"/>
    <w:multiLevelType w:val="hybridMultilevel"/>
    <w:tmpl w:val="EA16EEA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7" w15:restartNumberingAfterBreak="0">
    <w:nsid w:val="7DD81C6B"/>
    <w:multiLevelType w:val="hybridMultilevel"/>
    <w:tmpl w:val="B6AEC8DA"/>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8" w15:restartNumberingAfterBreak="0">
    <w:nsid w:val="7DE62E71"/>
    <w:multiLevelType w:val="hybridMultilevel"/>
    <w:tmpl w:val="AB60FE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9" w15:restartNumberingAfterBreak="0">
    <w:nsid w:val="7E08560D"/>
    <w:multiLevelType w:val="hybridMultilevel"/>
    <w:tmpl w:val="F00A749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0" w15:restartNumberingAfterBreak="0">
    <w:nsid w:val="7E4036BE"/>
    <w:multiLevelType w:val="hybridMultilevel"/>
    <w:tmpl w:val="B3705F7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1" w15:restartNumberingAfterBreak="0">
    <w:nsid w:val="7EBF2F37"/>
    <w:multiLevelType w:val="hybridMultilevel"/>
    <w:tmpl w:val="FD00B7A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2" w15:restartNumberingAfterBreak="0">
    <w:nsid w:val="7F7C1E62"/>
    <w:multiLevelType w:val="hybridMultilevel"/>
    <w:tmpl w:val="B94ABD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3" w15:restartNumberingAfterBreak="0">
    <w:nsid w:val="7F8B55B8"/>
    <w:multiLevelType w:val="hybridMultilevel"/>
    <w:tmpl w:val="7D2804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5"/>
  </w:num>
  <w:num w:numId="2">
    <w:abstractNumId w:val="190"/>
  </w:num>
  <w:num w:numId="3">
    <w:abstractNumId w:val="208"/>
  </w:num>
  <w:num w:numId="4">
    <w:abstractNumId w:val="92"/>
  </w:num>
  <w:num w:numId="5">
    <w:abstractNumId w:val="142"/>
  </w:num>
  <w:num w:numId="6">
    <w:abstractNumId w:val="223"/>
  </w:num>
  <w:num w:numId="7">
    <w:abstractNumId w:val="245"/>
  </w:num>
  <w:num w:numId="8">
    <w:abstractNumId w:val="25"/>
  </w:num>
  <w:num w:numId="9">
    <w:abstractNumId w:val="253"/>
  </w:num>
  <w:num w:numId="10">
    <w:abstractNumId w:val="202"/>
  </w:num>
  <w:num w:numId="11">
    <w:abstractNumId w:val="3"/>
  </w:num>
  <w:num w:numId="12">
    <w:abstractNumId w:val="54"/>
  </w:num>
  <w:num w:numId="13">
    <w:abstractNumId w:val="33"/>
  </w:num>
  <w:num w:numId="14">
    <w:abstractNumId w:val="154"/>
  </w:num>
  <w:num w:numId="15">
    <w:abstractNumId w:val="143"/>
  </w:num>
  <w:num w:numId="16">
    <w:abstractNumId w:val="140"/>
  </w:num>
  <w:num w:numId="17">
    <w:abstractNumId w:val="218"/>
  </w:num>
  <w:num w:numId="18">
    <w:abstractNumId w:val="238"/>
  </w:num>
  <w:num w:numId="19">
    <w:abstractNumId w:val="151"/>
  </w:num>
  <w:num w:numId="20">
    <w:abstractNumId w:val="40"/>
  </w:num>
  <w:num w:numId="21">
    <w:abstractNumId w:val="183"/>
  </w:num>
  <w:num w:numId="22">
    <w:abstractNumId w:val="233"/>
  </w:num>
  <w:num w:numId="23">
    <w:abstractNumId w:val="13"/>
  </w:num>
  <w:num w:numId="24">
    <w:abstractNumId w:val="225"/>
  </w:num>
  <w:num w:numId="25">
    <w:abstractNumId w:val="5"/>
  </w:num>
  <w:num w:numId="26">
    <w:abstractNumId w:val="284"/>
  </w:num>
  <w:num w:numId="27">
    <w:abstractNumId w:val="287"/>
  </w:num>
  <w:num w:numId="28">
    <w:abstractNumId w:val="294"/>
  </w:num>
  <w:num w:numId="29">
    <w:abstractNumId w:val="37"/>
  </w:num>
  <w:num w:numId="30">
    <w:abstractNumId w:val="14"/>
  </w:num>
  <w:num w:numId="31">
    <w:abstractNumId w:val="135"/>
  </w:num>
  <w:num w:numId="32">
    <w:abstractNumId w:val="102"/>
  </w:num>
  <w:num w:numId="33">
    <w:abstractNumId w:val="6"/>
  </w:num>
  <w:num w:numId="34">
    <w:abstractNumId w:val="196"/>
  </w:num>
  <w:num w:numId="35">
    <w:abstractNumId w:val="144"/>
  </w:num>
  <w:num w:numId="36">
    <w:abstractNumId w:val="251"/>
  </w:num>
  <w:num w:numId="37">
    <w:abstractNumId w:val="21"/>
  </w:num>
  <w:num w:numId="38">
    <w:abstractNumId w:val="293"/>
  </w:num>
  <w:num w:numId="39">
    <w:abstractNumId w:val="159"/>
  </w:num>
  <w:num w:numId="40">
    <w:abstractNumId w:val="277"/>
  </w:num>
  <w:num w:numId="41">
    <w:abstractNumId w:val="278"/>
  </w:num>
  <w:num w:numId="42">
    <w:abstractNumId w:val="106"/>
  </w:num>
  <w:num w:numId="43">
    <w:abstractNumId w:val="158"/>
  </w:num>
  <w:num w:numId="44">
    <w:abstractNumId w:val="88"/>
  </w:num>
  <w:num w:numId="45">
    <w:abstractNumId w:val="300"/>
  </w:num>
  <w:num w:numId="46">
    <w:abstractNumId w:val="112"/>
  </w:num>
  <w:num w:numId="47">
    <w:abstractNumId w:val="193"/>
  </w:num>
  <w:num w:numId="48">
    <w:abstractNumId w:val="290"/>
  </w:num>
  <w:num w:numId="49">
    <w:abstractNumId w:val="207"/>
  </w:num>
  <w:num w:numId="50">
    <w:abstractNumId w:val="205"/>
  </w:num>
  <w:num w:numId="51">
    <w:abstractNumId w:val="230"/>
  </w:num>
  <w:num w:numId="52">
    <w:abstractNumId w:val="124"/>
  </w:num>
  <w:num w:numId="53">
    <w:abstractNumId w:val="119"/>
  </w:num>
  <w:num w:numId="54">
    <w:abstractNumId w:val="304"/>
  </w:num>
  <w:num w:numId="55">
    <w:abstractNumId w:val="182"/>
  </w:num>
  <w:num w:numId="56">
    <w:abstractNumId w:val="137"/>
  </w:num>
  <w:num w:numId="57">
    <w:abstractNumId w:val="41"/>
  </w:num>
  <w:num w:numId="58">
    <w:abstractNumId w:val="145"/>
  </w:num>
  <w:num w:numId="59">
    <w:abstractNumId w:val="314"/>
  </w:num>
  <w:num w:numId="60">
    <w:abstractNumId w:val="38"/>
  </w:num>
  <w:num w:numId="61">
    <w:abstractNumId w:val="94"/>
  </w:num>
  <w:num w:numId="62">
    <w:abstractNumId w:val="210"/>
  </w:num>
  <w:num w:numId="63">
    <w:abstractNumId w:val="187"/>
  </w:num>
  <w:num w:numId="64">
    <w:abstractNumId w:val="100"/>
  </w:num>
  <w:num w:numId="65">
    <w:abstractNumId w:val="109"/>
  </w:num>
  <w:num w:numId="66">
    <w:abstractNumId w:val="318"/>
  </w:num>
  <w:num w:numId="67">
    <w:abstractNumId w:val="264"/>
  </w:num>
  <w:num w:numId="68">
    <w:abstractNumId w:val="134"/>
  </w:num>
  <w:num w:numId="69">
    <w:abstractNumId w:val="323"/>
  </w:num>
  <w:num w:numId="70">
    <w:abstractNumId w:val="134"/>
  </w:num>
  <w:num w:numId="71">
    <w:abstractNumId w:val="323"/>
  </w:num>
  <w:num w:numId="72">
    <w:abstractNumId w:val="146"/>
  </w:num>
  <w:num w:numId="73">
    <w:abstractNumId w:val="44"/>
  </w:num>
  <w:num w:numId="74">
    <w:abstractNumId w:val="243"/>
  </w:num>
  <w:num w:numId="75">
    <w:abstractNumId w:val="164"/>
  </w:num>
  <w:num w:numId="76">
    <w:abstractNumId w:val="312"/>
  </w:num>
  <w:num w:numId="77">
    <w:abstractNumId w:val="75"/>
  </w:num>
  <w:num w:numId="78">
    <w:abstractNumId w:val="179"/>
  </w:num>
  <w:num w:numId="79">
    <w:abstractNumId w:val="26"/>
  </w:num>
  <w:num w:numId="80">
    <w:abstractNumId w:val="24"/>
  </w:num>
  <w:num w:numId="81">
    <w:abstractNumId w:val="231"/>
  </w:num>
  <w:num w:numId="82">
    <w:abstractNumId w:val="320"/>
  </w:num>
  <w:num w:numId="83">
    <w:abstractNumId w:val="333"/>
  </w:num>
  <w:num w:numId="84">
    <w:abstractNumId w:val="173"/>
  </w:num>
  <w:num w:numId="85">
    <w:abstractNumId w:val="167"/>
  </w:num>
  <w:num w:numId="86">
    <w:abstractNumId w:val="203"/>
  </w:num>
  <w:num w:numId="87">
    <w:abstractNumId w:val="229"/>
  </w:num>
  <w:num w:numId="88">
    <w:abstractNumId w:val="91"/>
  </w:num>
  <w:num w:numId="89">
    <w:abstractNumId w:val="296"/>
  </w:num>
  <w:num w:numId="90">
    <w:abstractNumId w:val="257"/>
  </w:num>
  <w:num w:numId="91">
    <w:abstractNumId w:val="165"/>
  </w:num>
  <w:num w:numId="92">
    <w:abstractNumId w:val="10"/>
  </w:num>
  <w:num w:numId="93">
    <w:abstractNumId w:val="23"/>
  </w:num>
  <w:num w:numId="94">
    <w:abstractNumId w:val="64"/>
  </w:num>
  <w:num w:numId="95">
    <w:abstractNumId w:val="89"/>
  </w:num>
  <w:num w:numId="96">
    <w:abstractNumId w:val="9"/>
  </w:num>
  <w:num w:numId="97">
    <w:abstractNumId w:val="192"/>
  </w:num>
  <w:num w:numId="98">
    <w:abstractNumId w:val="270"/>
  </w:num>
  <w:num w:numId="99">
    <w:abstractNumId w:val="45"/>
  </w:num>
  <w:num w:numId="100">
    <w:abstractNumId w:val="161"/>
  </w:num>
  <w:num w:numId="101">
    <w:abstractNumId w:val="291"/>
  </w:num>
  <w:num w:numId="102">
    <w:abstractNumId w:val="47"/>
  </w:num>
  <w:num w:numId="103">
    <w:abstractNumId w:val="35"/>
  </w:num>
  <w:num w:numId="104">
    <w:abstractNumId w:val="139"/>
  </w:num>
  <w:num w:numId="105">
    <w:abstractNumId w:val="330"/>
  </w:num>
  <w:num w:numId="106">
    <w:abstractNumId w:val="82"/>
  </w:num>
  <w:num w:numId="107">
    <w:abstractNumId w:val="0"/>
  </w:num>
  <w:num w:numId="108">
    <w:abstractNumId w:val="105"/>
  </w:num>
  <w:num w:numId="109">
    <w:abstractNumId w:val="79"/>
  </w:num>
  <w:num w:numId="110">
    <w:abstractNumId w:val="17"/>
  </w:num>
  <w:num w:numId="111">
    <w:abstractNumId w:val="327"/>
  </w:num>
  <w:num w:numId="112">
    <w:abstractNumId w:val="85"/>
  </w:num>
  <w:num w:numId="113">
    <w:abstractNumId w:val="148"/>
  </w:num>
  <w:num w:numId="114">
    <w:abstractNumId w:val="127"/>
  </w:num>
  <w:num w:numId="115">
    <w:abstractNumId w:val="77"/>
  </w:num>
  <w:num w:numId="116">
    <w:abstractNumId w:val="80"/>
  </w:num>
  <w:num w:numId="117">
    <w:abstractNumId w:val="132"/>
  </w:num>
  <w:num w:numId="118">
    <w:abstractNumId w:val="86"/>
  </w:num>
  <w:num w:numId="119">
    <w:abstractNumId w:val="302"/>
  </w:num>
  <w:num w:numId="120">
    <w:abstractNumId w:val="244"/>
  </w:num>
  <w:num w:numId="121">
    <w:abstractNumId w:val="263"/>
  </w:num>
  <w:num w:numId="122">
    <w:abstractNumId w:val="322"/>
  </w:num>
  <w:num w:numId="123">
    <w:abstractNumId w:val="274"/>
  </w:num>
  <w:num w:numId="124">
    <w:abstractNumId w:val="62"/>
  </w:num>
  <w:num w:numId="125">
    <w:abstractNumId w:val="113"/>
  </w:num>
  <w:num w:numId="126">
    <w:abstractNumId w:val="133"/>
  </w:num>
  <w:num w:numId="127">
    <w:abstractNumId w:val="169"/>
  </w:num>
  <w:num w:numId="128">
    <w:abstractNumId w:val="117"/>
  </w:num>
  <w:num w:numId="129">
    <w:abstractNumId w:val="147"/>
  </w:num>
  <w:num w:numId="130">
    <w:abstractNumId w:val="2"/>
  </w:num>
  <w:num w:numId="131">
    <w:abstractNumId w:val="73"/>
  </w:num>
  <w:num w:numId="132">
    <w:abstractNumId w:val="98"/>
  </w:num>
  <w:num w:numId="133">
    <w:abstractNumId w:val="63"/>
  </w:num>
  <w:num w:numId="134">
    <w:abstractNumId w:val="200"/>
  </w:num>
  <w:num w:numId="135">
    <w:abstractNumId w:val="248"/>
  </w:num>
  <w:num w:numId="136">
    <w:abstractNumId w:val="67"/>
  </w:num>
  <w:num w:numId="137">
    <w:abstractNumId w:val="65"/>
  </w:num>
  <w:num w:numId="138">
    <w:abstractNumId w:val="177"/>
  </w:num>
  <w:num w:numId="139">
    <w:abstractNumId w:val="181"/>
  </w:num>
  <w:num w:numId="140">
    <w:abstractNumId w:val="206"/>
  </w:num>
  <w:num w:numId="141">
    <w:abstractNumId w:val="267"/>
  </w:num>
  <w:num w:numId="142">
    <w:abstractNumId w:val="199"/>
  </w:num>
  <w:num w:numId="143">
    <w:abstractNumId w:val="99"/>
  </w:num>
  <w:num w:numId="144">
    <w:abstractNumId w:val="331"/>
  </w:num>
  <w:num w:numId="145">
    <w:abstractNumId w:val="72"/>
  </w:num>
  <w:num w:numId="146">
    <w:abstractNumId w:val="184"/>
  </w:num>
  <w:num w:numId="147">
    <w:abstractNumId w:val="123"/>
  </w:num>
  <w:num w:numId="148">
    <w:abstractNumId w:val="283"/>
  </w:num>
  <w:num w:numId="149">
    <w:abstractNumId w:val="58"/>
  </w:num>
  <w:num w:numId="150">
    <w:abstractNumId w:val="276"/>
  </w:num>
  <w:num w:numId="151">
    <w:abstractNumId w:val="120"/>
  </w:num>
  <w:num w:numId="152">
    <w:abstractNumId w:val="170"/>
  </w:num>
  <w:num w:numId="153">
    <w:abstractNumId w:val="22"/>
  </w:num>
  <w:num w:numId="154">
    <w:abstractNumId w:val="252"/>
  </w:num>
  <w:num w:numId="155">
    <w:abstractNumId w:val="155"/>
  </w:num>
  <w:num w:numId="156">
    <w:abstractNumId w:val="31"/>
  </w:num>
  <w:num w:numId="157">
    <w:abstractNumId w:val="250"/>
  </w:num>
  <w:num w:numId="158">
    <w:abstractNumId w:val="34"/>
  </w:num>
  <w:num w:numId="159">
    <w:abstractNumId w:val="90"/>
  </w:num>
  <w:num w:numId="160">
    <w:abstractNumId w:val="74"/>
  </w:num>
  <w:num w:numId="161">
    <w:abstractNumId w:val="36"/>
  </w:num>
  <w:num w:numId="162">
    <w:abstractNumId w:val="152"/>
  </w:num>
  <w:num w:numId="163">
    <w:abstractNumId w:val="97"/>
  </w:num>
  <w:num w:numId="164">
    <w:abstractNumId w:val="15"/>
  </w:num>
  <w:num w:numId="165">
    <w:abstractNumId w:val="110"/>
  </w:num>
  <w:num w:numId="166">
    <w:abstractNumId w:val="162"/>
  </w:num>
  <w:num w:numId="167">
    <w:abstractNumId w:val="265"/>
  </w:num>
  <w:num w:numId="168">
    <w:abstractNumId w:val="279"/>
  </w:num>
  <w:num w:numId="169">
    <w:abstractNumId w:val="125"/>
  </w:num>
  <w:num w:numId="170">
    <w:abstractNumId w:val="299"/>
  </w:num>
  <w:num w:numId="171">
    <w:abstractNumId w:val="178"/>
  </w:num>
  <w:num w:numId="172">
    <w:abstractNumId w:val="69"/>
  </w:num>
  <w:num w:numId="173">
    <w:abstractNumId w:val="126"/>
  </w:num>
  <w:num w:numId="174">
    <w:abstractNumId w:val="103"/>
  </w:num>
  <w:num w:numId="175">
    <w:abstractNumId w:val="7"/>
  </w:num>
  <w:num w:numId="176">
    <w:abstractNumId w:val="111"/>
  </w:num>
  <w:num w:numId="177">
    <w:abstractNumId w:val="219"/>
  </w:num>
  <w:num w:numId="178">
    <w:abstractNumId w:val="297"/>
  </w:num>
  <w:num w:numId="179">
    <w:abstractNumId w:val="114"/>
  </w:num>
  <w:num w:numId="180">
    <w:abstractNumId w:val="61"/>
  </w:num>
  <w:num w:numId="181">
    <w:abstractNumId w:val="316"/>
  </w:num>
  <w:num w:numId="182">
    <w:abstractNumId w:val="280"/>
  </w:num>
  <w:num w:numId="183">
    <w:abstractNumId w:val="149"/>
  </w:num>
  <w:num w:numId="184">
    <w:abstractNumId w:val="39"/>
  </w:num>
  <w:num w:numId="185">
    <w:abstractNumId w:val="87"/>
  </w:num>
  <w:num w:numId="186">
    <w:abstractNumId w:val="254"/>
  </w:num>
  <w:num w:numId="187">
    <w:abstractNumId w:val="246"/>
  </w:num>
  <w:num w:numId="188">
    <w:abstractNumId w:val="55"/>
  </w:num>
  <w:num w:numId="189">
    <w:abstractNumId w:val="104"/>
  </w:num>
  <w:num w:numId="190">
    <w:abstractNumId w:val="188"/>
  </w:num>
  <w:num w:numId="191">
    <w:abstractNumId w:val="272"/>
  </w:num>
  <w:num w:numId="192">
    <w:abstractNumId w:val="249"/>
  </w:num>
  <w:num w:numId="193">
    <w:abstractNumId w:val="221"/>
  </w:num>
  <w:num w:numId="194">
    <w:abstractNumId w:val="247"/>
  </w:num>
  <w:num w:numId="195">
    <w:abstractNumId w:val="271"/>
  </w:num>
  <w:num w:numId="196">
    <w:abstractNumId w:val="216"/>
  </w:num>
  <w:num w:numId="197">
    <w:abstractNumId w:val="12"/>
  </w:num>
  <w:num w:numId="198">
    <w:abstractNumId w:val="136"/>
  </w:num>
  <w:num w:numId="199">
    <w:abstractNumId w:val="234"/>
  </w:num>
  <w:num w:numId="200">
    <w:abstractNumId w:val="118"/>
  </w:num>
  <w:num w:numId="201">
    <w:abstractNumId w:val="157"/>
  </w:num>
  <w:num w:numId="202">
    <w:abstractNumId w:val="321"/>
  </w:num>
  <w:num w:numId="203">
    <w:abstractNumId w:val="292"/>
  </w:num>
  <w:num w:numId="204">
    <w:abstractNumId w:val="84"/>
  </w:num>
  <w:num w:numId="205">
    <w:abstractNumId w:val="285"/>
  </w:num>
  <w:num w:numId="206">
    <w:abstractNumId w:val="138"/>
  </w:num>
  <w:num w:numId="207">
    <w:abstractNumId w:val="163"/>
  </w:num>
  <w:num w:numId="208">
    <w:abstractNumId w:val="76"/>
  </w:num>
  <w:num w:numId="209">
    <w:abstractNumId w:val="324"/>
  </w:num>
  <w:num w:numId="210">
    <w:abstractNumId w:val="310"/>
  </w:num>
  <w:num w:numId="211">
    <w:abstractNumId w:val="191"/>
  </w:num>
  <w:num w:numId="212">
    <w:abstractNumId w:val="131"/>
  </w:num>
  <w:num w:numId="213">
    <w:abstractNumId w:val="16"/>
  </w:num>
  <w:num w:numId="214">
    <w:abstractNumId w:val="242"/>
  </w:num>
  <w:num w:numId="215">
    <w:abstractNumId w:val="273"/>
  </w:num>
  <w:num w:numId="216">
    <w:abstractNumId w:val="175"/>
  </w:num>
  <w:num w:numId="217">
    <w:abstractNumId w:val="209"/>
  </w:num>
  <w:num w:numId="218">
    <w:abstractNumId w:val="319"/>
  </w:num>
  <w:num w:numId="219">
    <w:abstractNumId w:val="51"/>
  </w:num>
  <w:num w:numId="220">
    <w:abstractNumId w:val="281"/>
  </w:num>
  <w:num w:numId="221">
    <w:abstractNumId w:val="286"/>
  </w:num>
  <w:num w:numId="222">
    <w:abstractNumId w:val="141"/>
  </w:num>
  <w:num w:numId="223">
    <w:abstractNumId w:val="217"/>
  </w:num>
  <w:num w:numId="224">
    <w:abstractNumId w:val="156"/>
  </w:num>
  <w:num w:numId="225">
    <w:abstractNumId w:val="174"/>
  </w:num>
  <w:num w:numId="226">
    <w:abstractNumId w:val="220"/>
  </w:num>
  <w:num w:numId="227">
    <w:abstractNumId w:val="308"/>
  </w:num>
  <w:num w:numId="228">
    <w:abstractNumId w:val="19"/>
  </w:num>
  <w:num w:numId="229">
    <w:abstractNumId w:val="81"/>
  </w:num>
  <w:num w:numId="230">
    <w:abstractNumId w:val="42"/>
  </w:num>
  <w:num w:numId="231">
    <w:abstractNumId w:val="306"/>
  </w:num>
  <w:num w:numId="232">
    <w:abstractNumId w:val="289"/>
  </w:num>
  <w:num w:numId="233">
    <w:abstractNumId w:val="60"/>
  </w:num>
  <w:num w:numId="234">
    <w:abstractNumId w:val="129"/>
  </w:num>
  <w:num w:numId="235">
    <w:abstractNumId w:val="204"/>
  </w:num>
  <w:num w:numId="236">
    <w:abstractNumId w:val="66"/>
  </w:num>
  <w:num w:numId="237">
    <w:abstractNumId w:val="150"/>
  </w:num>
  <w:num w:numId="238">
    <w:abstractNumId w:val="261"/>
  </w:num>
  <w:num w:numId="239">
    <w:abstractNumId w:val="226"/>
  </w:num>
  <w:num w:numId="240">
    <w:abstractNumId w:val="227"/>
  </w:num>
  <w:num w:numId="241">
    <w:abstractNumId w:val="258"/>
  </w:num>
  <w:num w:numId="242">
    <w:abstractNumId w:val="195"/>
  </w:num>
  <w:num w:numId="243">
    <w:abstractNumId w:val="43"/>
  </w:num>
  <w:num w:numId="244">
    <w:abstractNumId w:val="222"/>
  </w:num>
  <w:num w:numId="245">
    <w:abstractNumId w:val="48"/>
  </w:num>
  <w:num w:numId="246">
    <w:abstractNumId w:val="214"/>
  </w:num>
  <w:num w:numId="247">
    <w:abstractNumId w:val="213"/>
  </w:num>
  <w:num w:numId="248">
    <w:abstractNumId w:val="176"/>
  </w:num>
  <w:num w:numId="249">
    <w:abstractNumId w:val="255"/>
  </w:num>
  <w:num w:numId="250">
    <w:abstractNumId w:val="266"/>
  </w:num>
  <w:num w:numId="251">
    <w:abstractNumId w:val="49"/>
  </w:num>
  <w:num w:numId="252">
    <w:abstractNumId w:val="332"/>
  </w:num>
  <w:num w:numId="253">
    <w:abstractNumId w:val="50"/>
  </w:num>
  <w:num w:numId="254">
    <w:abstractNumId w:val="160"/>
  </w:num>
  <w:num w:numId="255">
    <w:abstractNumId w:val="235"/>
  </w:num>
  <w:num w:numId="256">
    <w:abstractNumId w:val="11"/>
  </w:num>
  <w:num w:numId="257">
    <w:abstractNumId w:val="168"/>
  </w:num>
  <w:num w:numId="258">
    <w:abstractNumId w:val="93"/>
  </w:num>
  <w:num w:numId="259">
    <w:abstractNumId w:val="325"/>
  </w:num>
  <w:num w:numId="260">
    <w:abstractNumId w:val="329"/>
  </w:num>
  <w:num w:numId="261">
    <w:abstractNumId w:val="96"/>
  </w:num>
  <w:num w:numId="262">
    <w:abstractNumId w:val="4"/>
  </w:num>
  <w:num w:numId="263">
    <w:abstractNumId w:val="305"/>
  </w:num>
  <w:num w:numId="264">
    <w:abstractNumId w:val="317"/>
  </w:num>
  <w:num w:numId="265">
    <w:abstractNumId w:val="166"/>
  </w:num>
  <w:num w:numId="266">
    <w:abstractNumId w:val="153"/>
  </w:num>
  <w:num w:numId="267">
    <w:abstractNumId w:val="262"/>
  </w:num>
  <w:num w:numId="268">
    <w:abstractNumId w:val="303"/>
  </w:num>
  <w:num w:numId="269">
    <w:abstractNumId w:val="95"/>
  </w:num>
  <w:num w:numId="270">
    <w:abstractNumId w:val="295"/>
  </w:num>
  <w:num w:numId="271">
    <w:abstractNumId w:val="224"/>
  </w:num>
  <w:num w:numId="272">
    <w:abstractNumId w:val="307"/>
  </w:num>
  <w:num w:numId="273">
    <w:abstractNumId w:val="198"/>
  </w:num>
  <w:num w:numId="274">
    <w:abstractNumId w:val="237"/>
  </w:num>
  <w:num w:numId="275">
    <w:abstractNumId w:val="53"/>
  </w:num>
  <w:num w:numId="276">
    <w:abstractNumId w:val="240"/>
  </w:num>
  <w:num w:numId="277">
    <w:abstractNumId w:val="59"/>
  </w:num>
  <w:num w:numId="278">
    <w:abstractNumId w:val="259"/>
  </w:num>
  <w:num w:numId="279">
    <w:abstractNumId w:val="298"/>
  </w:num>
  <w:num w:numId="280">
    <w:abstractNumId w:val="32"/>
  </w:num>
  <w:num w:numId="281">
    <w:abstractNumId w:val="288"/>
  </w:num>
  <w:num w:numId="282">
    <w:abstractNumId w:val="30"/>
  </w:num>
  <w:num w:numId="283">
    <w:abstractNumId w:val="301"/>
  </w:num>
  <w:num w:numId="284">
    <w:abstractNumId w:val="78"/>
  </w:num>
  <w:num w:numId="285">
    <w:abstractNumId w:val="241"/>
  </w:num>
  <w:num w:numId="286">
    <w:abstractNumId w:val="189"/>
  </w:num>
  <w:num w:numId="287">
    <w:abstractNumId w:val="236"/>
  </w:num>
  <w:num w:numId="288">
    <w:abstractNumId w:val="228"/>
  </w:num>
  <w:num w:numId="289">
    <w:abstractNumId w:val="71"/>
  </w:num>
  <w:num w:numId="290">
    <w:abstractNumId w:val="311"/>
  </w:num>
  <w:num w:numId="291">
    <w:abstractNumId w:val="128"/>
  </w:num>
  <w:num w:numId="292">
    <w:abstractNumId w:val="130"/>
  </w:num>
  <w:num w:numId="293">
    <w:abstractNumId w:val="20"/>
  </w:num>
  <w:num w:numId="294">
    <w:abstractNumId w:val="18"/>
  </w:num>
  <w:num w:numId="295">
    <w:abstractNumId w:val="28"/>
  </w:num>
  <w:num w:numId="296">
    <w:abstractNumId w:val="260"/>
  </w:num>
  <w:num w:numId="297">
    <w:abstractNumId w:val="326"/>
  </w:num>
  <w:num w:numId="298">
    <w:abstractNumId w:val="172"/>
  </w:num>
  <w:num w:numId="299">
    <w:abstractNumId w:val="212"/>
  </w:num>
  <w:num w:numId="300">
    <w:abstractNumId w:val="239"/>
  </w:num>
  <w:num w:numId="301">
    <w:abstractNumId w:val="108"/>
  </w:num>
  <w:num w:numId="302">
    <w:abstractNumId w:val="268"/>
  </w:num>
  <w:num w:numId="303">
    <w:abstractNumId w:val="315"/>
  </w:num>
  <w:num w:numId="304">
    <w:abstractNumId w:val="83"/>
  </w:num>
  <w:num w:numId="305">
    <w:abstractNumId w:val="68"/>
  </w:num>
  <w:num w:numId="306">
    <w:abstractNumId w:val="269"/>
  </w:num>
  <w:num w:numId="307">
    <w:abstractNumId w:val="328"/>
  </w:num>
  <w:num w:numId="308">
    <w:abstractNumId w:val="186"/>
  </w:num>
  <w:num w:numId="309">
    <w:abstractNumId w:val="52"/>
  </w:num>
  <w:num w:numId="310">
    <w:abstractNumId w:val="101"/>
  </w:num>
  <w:num w:numId="311">
    <w:abstractNumId w:val="29"/>
  </w:num>
  <w:num w:numId="312">
    <w:abstractNumId w:val="194"/>
  </w:num>
  <w:num w:numId="313">
    <w:abstractNumId w:val="309"/>
  </w:num>
  <w:num w:numId="314">
    <w:abstractNumId w:val="46"/>
  </w:num>
  <w:num w:numId="315">
    <w:abstractNumId w:val="313"/>
  </w:num>
  <w:num w:numId="316">
    <w:abstractNumId w:val="121"/>
  </w:num>
  <w:num w:numId="317">
    <w:abstractNumId w:val="171"/>
  </w:num>
  <w:num w:numId="318">
    <w:abstractNumId w:val="211"/>
  </w:num>
  <w:num w:numId="319">
    <w:abstractNumId w:val="56"/>
  </w:num>
  <w:num w:numId="320">
    <w:abstractNumId w:val="232"/>
  </w:num>
  <w:num w:numId="321">
    <w:abstractNumId w:val="70"/>
  </w:num>
  <w:num w:numId="322">
    <w:abstractNumId w:val="201"/>
  </w:num>
  <w:num w:numId="323">
    <w:abstractNumId w:val="57"/>
  </w:num>
  <w:num w:numId="324">
    <w:abstractNumId w:val="282"/>
  </w:num>
  <w:num w:numId="325">
    <w:abstractNumId w:val="107"/>
  </w:num>
  <w:num w:numId="326">
    <w:abstractNumId w:val="215"/>
  </w:num>
  <w:num w:numId="327">
    <w:abstractNumId w:val="256"/>
  </w:num>
  <w:num w:numId="328">
    <w:abstractNumId w:val="197"/>
  </w:num>
  <w:num w:numId="329">
    <w:abstractNumId w:val="27"/>
  </w:num>
  <w:num w:numId="330">
    <w:abstractNumId w:val="115"/>
  </w:num>
  <w:num w:numId="331">
    <w:abstractNumId w:val="180"/>
  </w:num>
  <w:num w:numId="332">
    <w:abstractNumId w:val="1"/>
  </w:num>
  <w:num w:numId="333">
    <w:abstractNumId w:val="116"/>
  </w:num>
  <w:num w:numId="334">
    <w:abstractNumId w:val="8"/>
  </w:num>
  <w:num w:numId="335">
    <w:abstractNumId w:val="122"/>
  </w:num>
  <w:num w:numId="336">
    <w:abstractNumId w:val="185"/>
  </w:num>
  <w:numIdMacAtCleanup w:val="3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B86"/>
    <w:rsid w:val="00000162"/>
    <w:rsid w:val="0000060C"/>
    <w:rsid w:val="000006B2"/>
    <w:rsid w:val="0000086B"/>
    <w:rsid w:val="00000F92"/>
    <w:rsid w:val="00001043"/>
    <w:rsid w:val="00001917"/>
    <w:rsid w:val="00001A86"/>
    <w:rsid w:val="00001BF5"/>
    <w:rsid w:val="000026F1"/>
    <w:rsid w:val="000028E2"/>
    <w:rsid w:val="00002E1D"/>
    <w:rsid w:val="000031BD"/>
    <w:rsid w:val="00003352"/>
    <w:rsid w:val="00003598"/>
    <w:rsid w:val="00003854"/>
    <w:rsid w:val="000038E0"/>
    <w:rsid w:val="000039BA"/>
    <w:rsid w:val="000042D4"/>
    <w:rsid w:val="000043BA"/>
    <w:rsid w:val="00004DB3"/>
    <w:rsid w:val="0000505C"/>
    <w:rsid w:val="0000576E"/>
    <w:rsid w:val="000057A2"/>
    <w:rsid w:val="00005891"/>
    <w:rsid w:val="00005993"/>
    <w:rsid w:val="00006022"/>
    <w:rsid w:val="00006162"/>
    <w:rsid w:val="0000621C"/>
    <w:rsid w:val="0000643D"/>
    <w:rsid w:val="00007495"/>
    <w:rsid w:val="000077EE"/>
    <w:rsid w:val="00010101"/>
    <w:rsid w:val="0001016A"/>
    <w:rsid w:val="0001080C"/>
    <w:rsid w:val="00010F81"/>
    <w:rsid w:val="000112E4"/>
    <w:rsid w:val="0001146D"/>
    <w:rsid w:val="000119B2"/>
    <w:rsid w:val="00011BCC"/>
    <w:rsid w:val="00011C31"/>
    <w:rsid w:val="00011E37"/>
    <w:rsid w:val="0001262E"/>
    <w:rsid w:val="0001300B"/>
    <w:rsid w:val="000132DE"/>
    <w:rsid w:val="000134D8"/>
    <w:rsid w:val="00013893"/>
    <w:rsid w:val="000140C4"/>
    <w:rsid w:val="0001426E"/>
    <w:rsid w:val="000145C9"/>
    <w:rsid w:val="00014BF3"/>
    <w:rsid w:val="00014C15"/>
    <w:rsid w:val="00015538"/>
    <w:rsid w:val="00015EAC"/>
    <w:rsid w:val="00015EE0"/>
    <w:rsid w:val="00015F2B"/>
    <w:rsid w:val="000160C7"/>
    <w:rsid w:val="00016512"/>
    <w:rsid w:val="000174CF"/>
    <w:rsid w:val="000174FA"/>
    <w:rsid w:val="00017832"/>
    <w:rsid w:val="000178B8"/>
    <w:rsid w:val="00017AA4"/>
    <w:rsid w:val="00017AE6"/>
    <w:rsid w:val="00017CE8"/>
    <w:rsid w:val="00017E8D"/>
    <w:rsid w:val="00017ED7"/>
    <w:rsid w:val="0002025A"/>
    <w:rsid w:val="00020B6A"/>
    <w:rsid w:val="00020F95"/>
    <w:rsid w:val="000211D3"/>
    <w:rsid w:val="000215CD"/>
    <w:rsid w:val="0002189C"/>
    <w:rsid w:val="000218AF"/>
    <w:rsid w:val="00021AB3"/>
    <w:rsid w:val="00021B8E"/>
    <w:rsid w:val="00021CF3"/>
    <w:rsid w:val="0002272D"/>
    <w:rsid w:val="00022944"/>
    <w:rsid w:val="00022BB2"/>
    <w:rsid w:val="00022E88"/>
    <w:rsid w:val="00022FB9"/>
    <w:rsid w:val="00023436"/>
    <w:rsid w:val="000234BB"/>
    <w:rsid w:val="00023519"/>
    <w:rsid w:val="00023FAD"/>
    <w:rsid w:val="00023FDF"/>
    <w:rsid w:val="00024752"/>
    <w:rsid w:val="0002498E"/>
    <w:rsid w:val="0002534B"/>
    <w:rsid w:val="00025862"/>
    <w:rsid w:val="00025C97"/>
    <w:rsid w:val="000260AE"/>
    <w:rsid w:val="00026177"/>
    <w:rsid w:val="000268AD"/>
    <w:rsid w:val="00026D49"/>
    <w:rsid w:val="00026E69"/>
    <w:rsid w:val="00026F28"/>
    <w:rsid w:val="00026F65"/>
    <w:rsid w:val="0002716D"/>
    <w:rsid w:val="000272D1"/>
    <w:rsid w:val="00027937"/>
    <w:rsid w:val="00027A96"/>
    <w:rsid w:val="00027CC9"/>
    <w:rsid w:val="00027E1D"/>
    <w:rsid w:val="0003051B"/>
    <w:rsid w:val="00032312"/>
    <w:rsid w:val="00032BAD"/>
    <w:rsid w:val="00032C66"/>
    <w:rsid w:val="000336E7"/>
    <w:rsid w:val="00033F46"/>
    <w:rsid w:val="00034EBD"/>
    <w:rsid w:val="00034FD3"/>
    <w:rsid w:val="0003521C"/>
    <w:rsid w:val="0003593D"/>
    <w:rsid w:val="0003595A"/>
    <w:rsid w:val="00035B40"/>
    <w:rsid w:val="00035E18"/>
    <w:rsid w:val="000369BE"/>
    <w:rsid w:val="00036AE7"/>
    <w:rsid w:val="00037619"/>
    <w:rsid w:val="000376A9"/>
    <w:rsid w:val="000379A3"/>
    <w:rsid w:val="00037AB5"/>
    <w:rsid w:val="00037FEC"/>
    <w:rsid w:val="0004010F"/>
    <w:rsid w:val="00040220"/>
    <w:rsid w:val="0004044F"/>
    <w:rsid w:val="0004048F"/>
    <w:rsid w:val="00040828"/>
    <w:rsid w:val="00040BAD"/>
    <w:rsid w:val="0004102E"/>
    <w:rsid w:val="000411C4"/>
    <w:rsid w:val="00041D74"/>
    <w:rsid w:val="000421F1"/>
    <w:rsid w:val="00042255"/>
    <w:rsid w:val="00042A69"/>
    <w:rsid w:val="00042CE8"/>
    <w:rsid w:val="00042E1A"/>
    <w:rsid w:val="00043353"/>
    <w:rsid w:val="00043C2E"/>
    <w:rsid w:val="00043C6A"/>
    <w:rsid w:val="00043F34"/>
    <w:rsid w:val="000442ED"/>
    <w:rsid w:val="00044998"/>
    <w:rsid w:val="00044AE4"/>
    <w:rsid w:val="00044DE6"/>
    <w:rsid w:val="0004530F"/>
    <w:rsid w:val="00045653"/>
    <w:rsid w:val="00045E78"/>
    <w:rsid w:val="00045EBC"/>
    <w:rsid w:val="00045FDE"/>
    <w:rsid w:val="0004601C"/>
    <w:rsid w:val="000466EF"/>
    <w:rsid w:val="00046C10"/>
    <w:rsid w:val="00046CA0"/>
    <w:rsid w:val="00046EEE"/>
    <w:rsid w:val="000470F0"/>
    <w:rsid w:val="00047354"/>
    <w:rsid w:val="000473E6"/>
    <w:rsid w:val="00047529"/>
    <w:rsid w:val="000475F6"/>
    <w:rsid w:val="00047776"/>
    <w:rsid w:val="0004787B"/>
    <w:rsid w:val="00047D4E"/>
    <w:rsid w:val="00047E35"/>
    <w:rsid w:val="000500BF"/>
    <w:rsid w:val="000503C4"/>
    <w:rsid w:val="00050928"/>
    <w:rsid w:val="00050A57"/>
    <w:rsid w:val="00050A87"/>
    <w:rsid w:val="00050BDB"/>
    <w:rsid w:val="00052A83"/>
    <w:rsid w:val="00052BB0"/>
    <w:rsid w:val="00052D19"/>
    <w:rsid w:val="00053397"/>
    <w:rsid w:val="000537B9"/>
    <w:rsid w:val="00053BC3"/>
    <w:rsid w:val="00053D1F"/>
    <w:rsid w:val="000547A7"/>
    <w:rsid w:val="00054BFD"/>
    <w:rsid w:val="00054DC2"/>
    <w:rsid w:val="00054F68"/>
    <w:rsid w:val="000558DB"/>
    <w:rsid w:val="0005598A"/>
    <w:rsid w:val="00055D3D"/>
    <w:rsid w:val="000563AE"/>
    <w:rsid w:val="000564A3"/>
    <w:rsid w:val="00056803"/>
    <w:rsid w:val="000568D3"/>
    <w:rsid w:val="00057059"/>
    <w:rsid w:val="000574ED"/>
    <w:rsid w:val="00057FBA"/>
    <w:rsid w:val="000602B0"/>
    <w:rsid w:val="0006057D"/>
    <w:rsid w:val="00060816"/>
    <w:rsid w:val="00060AEB"/>
    <w:rsid w:val="00060FFB"/>
    <w:rsid w:val="000610C8"/>
    <w:rsid w:val="0006129A"/>
    <w:rsid w:val="00061528"/>
    <w:rsid w:val="00062A16"/>
    <w:rsid w:val="00062BB6"/>
    <w:rsid w:val="00063C0A"/>
    <w:rsid w:val="0006434D"/>
    <w:rsid w:val="00064476"/>
    <w:rsid w:val="00064553"/>
    <w:rsid w:val="000645F4"/>
    <w:rsid w:val="00064782"/>
    <w:rsid w:val="00064971"/>
    <w:rsid w:val="00064D34"/>
    <w:rsid w:val="00064FE0"/>
    <w:rsid w:val="000651FD"/>
    <w:rsid w:val="00065A36"/>
    <w:rsid w:val="00066154"/>
    <w:rsid w:val="00066812"/>
    <w:rsid w:val="00066C47"/>
    <w:rsid w:val="00066D15"/>
    <w:rsid w:val="0006752A"/>
    <w:rsid w:val="00067954"/>
    <w:rsid w:val="00067A71"/>
    <w:rsid w:val="00070404"/>
    <w:rsid w:val="00070556"/>
    <w:rsid w:val="00070AE4"/>
    <w:rsid w:val="00071736"/>
    <w:rsid w:val="00071A3A"/>
    <w:rsid w:val="00071C33"/>
    <w:rsid w:val="00071E21"/>
    <w:rsid w:val="00072175"/>
    <w:rsid w:val="000725F7"/>
    <w:rsid w:val="00072870"/>
    <w:rsid w:val="00072E05"/>
    <w:rsid w:val="000733DE"/>
    <w:rsid w:val="000734F4"/>
    <w:rsid w:val="0007351E"/>
    <w:rsid w:val="000735B2"/>
    <w:rsid w:val="000737F3"/>
    <w:rsid w:val="0007393C"/>
    <w:rsid w:val="00073B42"/>
    <w:rsid w:val="00073C1F"/>
    <w:rsid w:val="00073CC3"/>
    <w:rsid w:val="00073E0F"/>
    <w:rsid w:val="00073F61"/>
    <w:rsid w:val="00073FD2"/>
    <w:rsid w:val="00074153"/>
    <w:rsid w:val="0007444F"/>
    <w:rsid w:val="00074CF4"/>
    <w:rsid w:val="000750E4"/>
    <w:rsid w:val="00075D9F"/>
    <w:rsid w:val="00076D71"/>
    <w:rsid w:val="000774A8"/>
    <w:rsid w:val="0007781F"/>
    <w:rsid w:val="00077DA9"/>
    <w:rsid w:val="000800A2"/>
    <w:rsid w:val="0008066F"/>
    <w:rsid w:val="0008096D"/>
    <w:rsid w:val="000809D9"/>
    <w:rsid w:val="00081112"/>
    <w:rsid w:val="000811C5"/>
    <w:rsid w:val="00081857"/>
    <w:rsid w:val="00081E6B"/>
    <w:rsid w:val="000821D0"/>
    <w:rsid w:val="0008275F"/>
    <w:rsid w:val="00082BF6"/>
    <w:rsid w:val="00082EDD"/>
    <w:rsid w:val="0008333C"/>
    <w:rsid w:val="00083434"/>
    <w:rsid w:val="00083660"/>
    <w:rsid w:val="000838ED"/>
    <w:rsid w:val="00083A7B"/>
    <w:rsid w:val="0008429D"/>
    <w:rsid w:val="00084B9A"/>
    <w:rsid w:val="00086596"/>
    <w:rsid w:val="00087009"/>
    <w:rsid w:val="000875BA"/>
    <w:rsid w:val="00087609"/>
    <w:rsid w:val="000876FD"/>
    <w:rsid w:val="000879F1"/>
    <w:rsid w:val="00087AE7"/>
    <w:rsid w:val="00087DBA"/>
    <w:rsid w:val="00087F1D"/>
    <w:rsid w:val="000907D7"/>
    <w:rsid w:val="00090CE2"/>
    <w:rsid w:val="00090FB3"/>
    <w:rsid w:val="000910E7"/>
    <w:rsid w:val="00091161"/>
    <w:rsid w:val="0009129D"/>
    <w:rsid w:val="000918D0"/>
    <w:rsid w:val="00092413"/>
    <w:rsid w:val="00092C5F"/>
    <w:rsid w:val="0009384A"/>
    <w:rsid w:val="00093B61"/>
    <w:rsid w:val="00093BD1"/>
    <w:rsid w:val="0009403C"/>
    <w:rsid w:val="00094537"/>
    <w:rsid w:val="000945C4"/>
    <w:rsid w:val="000945CD"/>
    <w:rsid w:val="00094B83"/>
    <w:rsid w:val="00095052"/>
    <w:rsid w:val="00095361"/>
    <w:rsid w:val="00095D83"/>
    <w:rsid w:val="00095DC9"/>
    <w:rsid w:val="00095E85"/>
    <w:rsid w:val="00095F99"/>
    <w:rsid w:val="00095FB5"/>
    <w:rsid w:val="000962D8"/>
    <w:rsid w:val="00096362"/>
    <w:rsid w:val="000966EA"/>
    <w:rsid w:val="00097660"/>
    <w:rsid w:val="00097824"/>
    <w:rsid w:val="0009787B"/>
    <w:rsid w:val="00097DED"/>
    <w:rsid w:val="00097E83"/>
    <w:rsid w:val="00097F4F"/>
    <w:rsid w:val="00097F7D"/>
    <w:rsid w:val="000A07A8"/>
    <w:rsid w:val="000A0866"/>
    <w:rsid w:val="000A089C"/>
    <w:rsid w:val="000A0E96"/>
    <w:rsid w:val="000A1139"/>
    <w:rsid w:val="000A158E"/>
    <w:rsid w:val="000A15CA"/>
    <w:rsid w:val="000A1778"/>
    <w:rsid w:val="000A1933"/>
    <w:rsid w:val="000A23A7"/>
    <w:rsid w:val="000A288E"/>
    <w:rsid w:val="000A2946"/>
    <w:rsid w:val="000A2B54"/>
    <w:rsid w:val="000A3A91"/>
    <w:rsid w:val="000A4233"/>
    <w:rsid w:val="000A441D"/>
    <w:rsid w:val="000A4618"/>
    <w:rsid w:val="000A467E"/>
    <w:rsid w:val="000A4F89"/>
    <w:rsid w:val="000A507F"/>
    <w:rsid w:val="000A50D3"/>
    <w:rsid w:val="000A557B"/>
    <w:rsid w:val="000A5FD0"/>
    <w:rsid w:val="000A6D74"/>
    <w:rsid w:val="000A71DF"/>
    <w:rsid w:val="000A727E"/>
    <w:rsid w:val="000A7302"/>
    <w:rsid w:val="000A747D"/>
    <w:rsid w:val="000A7913"/>
    <w:rsid w:val="000B010F"/>
    <w:rsid w:val="000B082D"/>
    <w:rsid w:val="000B08E9"/>
    <w:rsid w:val="000B09FB"/>
    <w:rsid w:val="000B137F"/>
    <w:rsid w:val="000B18B6"/>
    <w:rsid w:val="000B220F"/>
    <w:rsid w:val="000B2423"/>
    <w:rsid w:val="000B257C"/>
    <w:rsid w:val="000B25EB"/>
    <w:rsid w:val="000B2620"/>
    <w:rsid w:val="000B26D5"/>
    <w:rsid w:val="000B2AED"/>
    <w:rsid w:val="000B2C6F"/>
    <w:rsid w:val="000B2DD4"/>
    <w:rsid w:val="000B31AD"/>
    <w:rsid w:val="000B32A9"/>
    <w:rsid w:val="000B3A0E"/>
    <w:rsid w:val="000B3E71"/>
    <w:rsid w:val="000B4037"/>
    <w:rsid w:val="000B42D9"/>
    <w:rsid w:val="000B44E1"/>
    <w:rsid w:val="000B457C"/>
    <w:rsid w:val="000B46B5"/>
    <w:rsid w:val="000B47AE"/>
    <w:rsid w:val="000B4A07"/>
    <w:rsid w:val="000B4F99"/>
    <w:rsid w:val="000B60B0"/>
    <w:rsid w:val="000B6BA6"/>
    <w:rsid w:val="000B6EE9"/>
    <w:rsid w:val="000B70AF"/>
    <w:rsid w:val="000B7414"/>
    <w:rsid w:val="000B7EBE"/>
    <w:rsid w:val="000C0625"/>
    <w:rsid w:val="000C081D"/>
    <w:rsid w:val="000C12BB"/>
    <w:rsid w:val="000C13E6"/>
    <w:rsid w:val="000C14F6"/>
    <w:rsid w:val="000C188D"/>
    <w:rsid w:val="000C1D19"/>
    <w:rsid w:val="000C1E9A"/>
    <w:rsid w:val="000C1FDD"/>
    <w:rsid w:val="000C2651"/>
    <w:rsid w:val="000C292E"/>
    <w:rsid w:val="000C2EF5"/>
    <w:rsid w:val="000C3603"/>
    <w:rsid w:val="000C3989"/>
    <w:rsid w:val="000C4044"/>
    <w:rsid w:val="000C5149"/>
    <w:rsid w:val="000C520E"/>
    <w:rsid w:val="000C52B4"/>
    <w:rsid w:val="000C575C"/>
    <w:rsid w:val="000C577E"/>
    <w:rsid w:val="000C588D"/>
    <w:rsid w:val="000C5AC9"/>
    <w:rsid w:val="000C5CD7"/>
    <w:rsid w:val="000C5E9F"/>
    <w:rsid w:val="000C5F62"/>
    <w:rsid w:val="000C606E"/>
    <w:rsid w:val="000C60E6"/>
    <w:rsid w:val="000C6354"/>
    <w:rsid w:val="000C668C"/>
    <w:rsid w:val="000C6B1D"/>
    <w:rsid w:val="000C6B52"/>
    <w:rsid w:val="000C6D50"/>
    <w:rsid w:val="000C70C2"/>
    <w:rsid w:val="000C710E"/>
    <w:rsid w:val="000C7272"/>
    <w:rsid w:val="000C7422"/>
    <w:rsid w:val="000C7426"/>
    <w:rsid w:val="000C76F5"/>
    <w:rsid w:val="000C7746"/>
    <w:rsid w:val="000C77F1"/>
    <w:rsid w:val="000C7B49"/>
    <w:rsid w:val="000C7BA9"/>
    <w:rsid w:val="000D0228"/>
    <w:rsid w:val="000D068A"/>
    <w:rsid w:val="000D0841"/>
    <w:rsid w:val="000D086F"/>
    <w:rsid w:val="000D0FA6"/>
    <w:rsid w:val="000D132D"/>
    <w:rsid w:val="000D140B"/>
    <w:rsid w:val="000D1A57"/>
    <w:rsid w:val="000D1EAD"/>
    <w:rsid w:val="000D2062"/>
    <w:rsid w:val="000D302E"/>
    <w:rsid w:val="000D31EC"/>
    <w:rsid w:val="000D35CE"/>
    <w:rsid w:val="000D3ABE"/>
    <w:rsid w:val="000D3C3E"/>
    <w:rsid w:val="000D3F6C"/>
    <w:rsid w:val="000D42FC"/>
    <w:rsid w:val="000D4330"/>
    <w:rsid w:val="000D483B"/>
    <w:rsid w:val="000D4A25"/>
    <w:rsid w:val="000D4CEF"/>
    <w:rsid w:val="000D4E34"/>
    <w:rsid w:val="000D5C32"/>
    <w:rsid w:val="000D5D49"/>
    <w:rsid w:val="000D6005"/>
    <w:rsid w:val="000D61B0"/>
    <w:rsid w:val="000D683F"/>
    <w:rsid w:val="000D6AA7"/>
    <w:rsid w:val="000D7012"/>
    <w:rsid w:val="000D705F"/>
    <w:rsid w:val="000D70E7"/>
    <w:rsid w:val="000D7A31"/>
    <w:rsid w:val="000D7DA3"/>
    <w:rsid w:val="000D7F97"/>
    <w:rsid w:val="000E0347"/>
    <w:rsid w:val="000E0A0D"/>
    <w:rsid w:val="000E0BEC"/>
    <w:rsid w:val="000E0FC4"/>
    <w:rsid w:val="000E137A"/>
    <w:rsid w:val="000E164C"/>
    <w:rsid w:val="000E17E9"/>
    <w:rsid w:val="000E1B97"/>
    <w:rsid w:val="000E1C99"/>
    <w:rsid w:val="000E1E7A"/>
    <w:rsid w:val="000E2032"/>
    <w:rsid w:val="000E231D"/>
    <w:rsid w:val="000E262A"/>
    <w:rsid w:val="000E2850"/>
    <w:rsid w:val="000E2964"/>
    <w:rsid w:val="000E2E22"/>
    <w:rsid w:val="000E3CEE"/>
    <w:rsid w:val="000E4645"/>
    <w:rsid w:val="000E4CE3"/>
    <w:rsid w:val="000E4D41"/>
    <w:rsid w:val="000E52EC"/>
    <w:rsid w:val="000E53C4"/>
    <w:rsid w:val="000E585E"/>
    <w:rsid w:val="000E5AE9"/>
    <w:rsid w:val="000E5B4E"/>
    <w:rsid w:val="000E5BB9"/>
    <w:rsid w:val="000E5C60"/>
    <w:rsid w:val="000E6070"/>
    <w:rsid w:val="000E6348"/>
    <w:rsid w:val="000E6798"/>
    <w:rsid w:val="000E76F1"/>
    <w:rsid w:val="000E799C"/>
    <w:rsid w:val="000E7A2A"/>
    <w:rsid w:val="000F0013"/>
    <w:rsid w:val="000F0578"/>
    <w:rsid w:val="000F0E9B"/>
    <w:rsid w:val="000F0EE3"/>
    <w:rsid w:val="000F15BC"/>
    <w:rsid w:val="000F1CE4"/>
    <w:rsid w:val="000F252D"/>
    <w:rsid w:val="000F2755"/>
    <w:rsid w:val="000F2983"/>
    <w:rsid w:val="000F2A3A"/>
    <w:rsid w:val="000F2DB1"/>
    <w:rsid w:val="000F31CE"/>
    <w:rsid w:val="000F32F6"/>
    <w:rsid w:val="000F33F7"/>
    <w:rsid w:val="000F38CE"/>
    <w:rsid w:val="000F3D4B"/>
    <w:rsid w:val="000F40C8"/>
    <w:rsid w:val="000F412D"/>
    <w:rsid w:val="000F41AF"/>
    <w:rsid w:val="000F4244"/>
    <w:rsid w:val="000F4551"/>
    <w:rsid w:val="000F48AE"/>
    <w:rsid w:val="000F498D"/>
    <w:rsid w:val="000F4CEA"/>
    <w:rsid w:val="000F5947"/>
    <w:rsid w:val="000F5AA6"/>
    <w:rsid w:val="000F5B24"/>
    <w:rsid w:val="000F5F4E"/>
    <w:rsid w:val="000F619E"/>
    <w:rsid w:val="000F6319"/>
    <w:rsid w:val="000F65BC"/>
    <w:rsid w:val="000F6937"/>
    <w:rsid w:val="000F6BF4"/>
    <w:rsid w:val="000F78F0"/>
    <w:rsid w:val="000F7AF6"/>
    <w:rsid w:val="00100118"/>
    <w:rsid w:val="00100405"/>
    <w:rsid w:val="00100625"/>
    <w:rsid w:val="001009AC"/>
    <w:rsid w:val="00100EFD"/>
    <w:rsid w:val="001010B9"/>
    <w:rsid w:val="00101349"/>
    <w:rsid w:val="00101528"/>
    <w:rsid w:val="0010158F"/>
    <w:rsid w:val="001015AF"/>
    <w:rsid w:val="00101D2C"/>
    <w:rsid w:val="00102202"/>
    <w:rsid w:val="001028B1"/>
    <w:rsid w:val="00102BF8"/>
    <w:rsid w:val="00103071"/>
    <w:rsid w:val="00103259"/>
    <w:rsid w:val="00103364"/>
    <w:rsid w:val="00103477"/>
    <w:rsid w:val="00103CD4"/>
    <w:rsid w:val="00103F91"/>
    <w:rsid w:val="001044F4"/>
    <w:rsid w:val="001049B6"/>
    <w:rsid w:val="00104D02"/>
    <w:rsid w:val="00105B2C"/>
    <w:rsid w:val="00105BF4"/>
    <w:rsid w:val="00105E60"/>
    <w:rsid w:val="0010613F"/>
    <w:rsid w:val="001061A1"/>
    <w:rsid w:val="001065CD"/>
    <w:rsid w:val="00106E76"/>
    <w:rsid w:val="001072E2"/>
    <w:rsid w:val="00110143"/>
    <w:rsid w:val="001102CA"/>
    <w:rsid w:val="0011066B"/>
    <w:rsid w:val="00110767"/>
    <w:rsid w:val="00110C6B"/>
    <w:rsid w:val="001118B6"/>
    <w:rsid w:val="00111D1E"/>
    <w:rsid w:val="00112BBD"/>
    <w:rsid w:val="00112E37"/>
    <w:rsid w:val="00113104"/>
    <w:rsid w:val="00113411"/>
    <w:rsid w:val="001134D1"/>
    <w:rsid w:val="00113701"/>
    <w:rsid w:val="001148C9"/>
    <w:rsid w:val="001151B4"/>
    <w:rsid w:val="00115311"/>
    <w:rsid w:val="00115F08"/>
    <w:rsid w:val="00116069"/>
    <w:rsid w:val="00116127"/>
    <w:rsid w:val="001162FA"/>
    <w:rsid w:val="0011654E"/>
    <w:rsid w:val="0011689E"/>
    <w:rsid w:val="00116B6C"/>
    <w:rsid w:val="00116D4E"/>
    <w:rsid w:val="00116E17"/>
    <w:rsid w:val="00117196"/>
    <w:rsid w:val="00117F3E"/>
    <w:rsid w:val="0012010A"/>
    <w:rsid w:val="001207D9"/>
    <w:rsid w:val="00120A96"/>
    <w:rsid w:val="00120AD7"/>
    <w:rsid w:val="00120BD4"/>
    <w:rsid w:val="00120F81"/>
    <w:rsid w:val="00121110"/>
    <w:rsid w:val="0012299E"/>
    <w:rsid w:val="00122BD0"/>
    <w:rsid w:val="00122BF8"/>
    <w:rsid w:val="00122C1C"/>
    <w:rsid w:val="00122DEB"/>
    <w:rsid w:val="00123501"/>
    <w:rsid w:val="001235B1"/>
    <w:rsid w:val="00123AAD"/>
    <w:rsid w:val="00123C97"/>
    <w:rsid w:val="001240F7"/>
    <w:rsid w:val="00124219"/>
    <w:rsid w:val="00124299"/>
    <w:rsid w:val="0012483E"/>
    <w:rsid w:val="00124895"/>
    <w:rsid w:val="0012510E"/>
    <w:rsid w:val="00125497"/>
    <w:rsid w:val="00125533"/>
    <w:rsid w:val="00125900"/>
    <w:rsid w:val="00125CC0"/>
    <w:rsid w:val="00125DDE"/>
    <w:rsid w:val="00126259"/>
    <w:rsid w:val="0012633A"/>
    <w:rsid w:val="00126A30"/>
    <w:rsid w:val="001270B4"/>
    <w:rsid w:val="001273DF"/>
    <w:rsid w:val="00127CF9"/>
    <w:rsid w:val="0013047D"/>
    <w:rsid w:val="00130A8A"/>
    <w:rsid w:val="00130F60"/>
    <w:rsid w:val="001315D1"/>
    <w:rsid w:val="00131868"/>
    <w:rsid w:val="00131B1A"/>
    <w:rsid w:val="00131CCE"/>
    <w:rsid w:val="00132131"/>
    <w:rsid w:val="00132FB9"/>
    <w:rsid w:val="00132FBA"/>
    <w:rsid w:val="001337FC"/>
    <w:rsid w:val="00133AFD"/>
    <w:rsid w:val="00133FAA"/>
    <w:rsid w:val="001340C6"/>
    <w:rsid w:val="001340F2"/>
    <w:rsid w:val="0013452A"/>
    <w:rsid w:val="00134A57"/>
    <w:rsid w:val="00134D82"/>
    <w:rsid w:val="00134DBE"/>
    <w:rsid w:val="00134E2F"/>
    <w:rsid w:val="001350FE"/>
    <w:rsid w:val="0013570C"/>
    <w:rsid w:val="00135909"/>
    <w:rsid w:val="00136081"/>
    <w:rsid w:val="00136304"/>
    <w:rsid w:val="0013658A"/>
    <w:rsid w:val="00136734"/>
    <w:rsid w:val="00136935"/>
    <w:rsid w:val="00137310"/>
    <w:rsid w:val="0013737E"/>
    <w:rsid w:val="00137951"/>
    <w:rsid w:val="00137F56"/>
    <w:rsid w:val="00140989"/>
    <w:rsid w:val="00140B05"/>
    <w:rsid w:val="00141F0E"/>
    <w:rsid w:val="001420F6"/>
    <w:rsid w:val="0014282F"/>
    <w:rsid w:val="00142866"/>
    <w:rsid w:val="00142B98"/>
    <w:rsid w:val="00143185"/>
    <w:rsid w:val="001435AE"/>
    <w:rsid w:val="001435DC"/>
    <w:rsid w:val="00143B22"/>
    <w:rsid w:val="00143E65"/>
    <w:rsid w:val="00144575"/>
    <w:rsid w:val="001446F4"/>
    <w:rsid w:val="00145054"/>
    <w:rsid w:val="001451A4"/>
    <w:rsid w:val="00145592"/>
    <w:rsid w:val="00146553"/>
    <w:rsid w:val="001465CA"/>
    <w:rsid w:val="00146C72"/>
    <w:rsid w:val="00146F91"/>
    <w:rsid w:val="00147263"/>
    <w:rsid w:val="00147770"/>
    <w:rsid w:val="00147CAA"/>
    <w:rsid w:val="001509BD"/>
    <w:rsid w:val="00150CA8"/>
    <w:rsid w:val="001518E9"/>
    <w:rsid w:val="001519EB"/>
    <w:rsid w:val="00151FA3"/>
    <w:rsid w:val="00152316"/>
    <w:rsid w:val="00152791"/>
    <w:rsid w:val="001527B7"/>
    <w:rsid w:val="001527FF"/>
    <w:rsid w:val="00152827"/>
    <w:rsid w:val="001528A6"/>
    <w:rsid w:val="00153193"/>
    <w:rsid w:val="00153334"/>
    <w:rsid w:val="0015382D"/>
    <w:rsid w:val="0015384C"/>
    <w:rsid w:val="001538ED"/>
    <w:rsid w:val="001539C2"/>
    <w:rsid w:val="00153A21"/>
    <w:rsid w:val="00153EB9"/>
    <w:rsid w:val="00154713"/>
    <w:rsid w:val="00154F01"/>
    <w:rsid w:val="00155109"/>
    <w:rsid w:val="001552B8"/>
    <w:rsid w:val="00155307"/>
    <w:rsid w:val="0015567C"/>
    <w:rsid w:val="00156182"/>
    <w:rsid w:val="0015658A"/>
    <w:rsid w:val="00157450"/>
    <w:rsid w:val="00157717"/>
    <w:rsid w:val="00157FA1"/>
    <w:rsid w:val="00160226"/>
    <w:rsid w:val="001606BE"/>
    <w:rsid w:val="00160EC7"/>
    <w:rsid w:val="00161270"/>
    <w:rsid w:val="001613B0"/>
    <w:rsid w:val="00161493"/>
    <w:rsid w:val="00161539"/>
    <w:rsid w:val="001617E5"/>
    <w:rsid w:val="001619A5"/>
    <w:rsid w:val="00161D39"/>
    <w:rsid w:val="00162263"/>
    <w:rsid w:val="00162C8A"/>
    <w:rsid w:val="00162CCC"/>
    <w:rsid w:val="00162E2E"/>
    <w:rsid w:val="001632C6"/>
    <w:rsid w:val="00163492"/>
    <w:rsid w:val="001635F2"/>
    <w:rsid w:val="00163727"/>
    <w:rsid w:val="00163AD7"/>
    <w:rsid w:val="00163F28"/>
    <w:rsid w:val="001641CE"/>
    <w:rsid w:val="00164294"/>
    <w:rsid w:val="00164C90"/>
    <w:rsid w:val="001650B2"/>
    <w:rsid w:val="00165A69"/>
    <w:rsid w:val="00165BE0"/>
    <w:rsid w:val="00166159"/>
    <w:rsid w:val="001662D5"/>
    <w:rsid w:val="0016662A"/>
    <w:rsid w:val="001669AB"/>
    <w:rsid w:val="00166C22"/>
    <w:rsid w:val="00166D8A"/>
    <w:rsid w:val="00166FDD"/>
    <w:rsid w:val="0016774B"/>
    <w:rsid w:val="001678E1"/>
    <w:rsid w:val="00167B83"/>
    <w:rsid w:val="00167DAA"/>
    <w:rsid w:val="00170FDE"/>
    <w:rsid w:val="001710F9"/>
    <w:rsid w:val="0017119C"/>
    <w:rsid w:val="00171598"/>
    <w:rsid w:val="001718D1"/>
    <w:rsid w:val="00171A31"/>
    <w:rsid w:val="001722E0"/>
    <w:rsid w:val="001723C1"/>
    <w:rsid w:val="001723EB"/>
    <w:rsid w:val="001727A8"/>
    <w:rsid w:val="00172C1F"/>
    <w:rsid w:val="00172F43"/>
    <w:rsid w:val="00173032"/>
    <w:rsid w:val="001734BD"/>
    <w:rsid w:val="00173FE6"/>
    <w:rsid w:val="00174115"/>
    <w:rsid w:val="00174167"/>
    <w:rsid w:val="001746A9"/>
    <w:rsid w:val="0017485C"/>
    <w:rsid w:val="00174911"/>
    <w:rsid w:val="001749EB"/>
    <w:rsid w:val="001749F5"/>
    <w:rsid w:val="00174B95"/>
    <w:rsid w:val="0017563C"/>
    <w:rsid w:val="00175A1F"/>
    <w:rsid w:val="00175C41"/>
    <w:rsid w:val="00175C55"/>
    <w:rsid w:val="00175F5B"/>
    <w:rsid w:val="001762BC"/>
    <w:rsid w:val="0017662D"/>
    <w:rsid w:val="0017685E"/>
    <w:rsid w:val="00176A0C"/>
    <w:rsid w:val="00177BA6"/>
    <w:rsid w:val="00177CCE"/>
    <w:rsid w:val="00177F16"/>
    <w:rsid w:val="00177F67"/>
    <w:rsid w:val="00180109"/>
    <w:rsid w:val="001801D4"/>
    <w:rsid w:val="00180652"/>
    <w:rsid w:val="001806F4"/>
    <w:rsid w:val="00180A25"/>
    <w:rsid w:val="00180F2E"/>
    <w:rsid w:val="00180FB6"/>
    <w:rsid w:val="00181477"/>
    <w:rsid w:val="00182181"/>
    <w:rsid w:val="0018255D"/>
    <w:rsid w:val="00182747"/>
    <w:rsid w:val="0018279A"/>
    <w:rsid w:val="001829C4"/>
    <w:rsid w:val="00182AE0"/>
    <w:rsid w:val="00182CAB"/>
    <w:rsid w:val="00183079"/>
    <w:rsid w:val="0018389F"/>
    <w:rsid w:val="001838EF"/>
    <w:rsid w:val="00183DA0"/>
    <w:rsid w:val="00183EF9"/>
    <w:rsid w:val="00184813"/>
    <w:rsid w:val="00184930"/>
    <w:rsid w:val="00184987"/>
    <w:rsid w:val="00184B36"/>
    <w:rsid w:val="00184F5C"/>
    <w:rsid w:val="001851B3"/>
    <w:rsid w:val="001853E4"/>
    <w:rsid w:val="00185A51"/>
    <w:rsid w:val="00185AE0"/>
    <w:rsid w:val="001869F5"/>
    <w:rsid w:val="0018708D"/>
    <w:rsid w:val="0018747E"/>
    <w:rsid w:val="00190B80"/>
    <w:rsid w:val="00191242"/>
    <w:rsid w:val="0019143D"/>
    <w:rsid w:val="0019151E"/>
    <w:rsid w:val="00191DB1"/>
    <w:rsid w:val="001920C9"/>
    <w:rsid w:val="0019225D"/>
    <w:rsid w:val="0019225E"/>
    <w:rsid w:val="00193B09"/>
    <w:rsid w:val="00193BAC"/>
    <w:rsid w:val="0019405F"/>
    <w:rsid w:val="0019414E"/>
    <w:rsid w:val="001941B0"/>
    <w:rsid w:val="0019438C"/>
    <w:rsid w:val="0019482B"/>
    <w:rsid w:val="0019488D"/>
    <w:rsid w:val="00194BD3"/>
    <w:rsid w:val="00194D97"/>
    <w:rsid w:val="00195175"/>
    <w:rsid w:val="00195531"/>
    <w:rsid w:val="00196175"/>
    <w:rsid w:val="00196443"/>
    <w:rsid w:val="0019687D"/>
    <w:rsid w:val="00196932"/>
    <w:rsid w:val="00196DF7"/>
    <w:rsid w:val="00196E05"/>
    <w:rsid w:val="00196F70"/>
    <w:rsid w:val="0019727A"/>
    <w:rsid w:val="001972F7"/>
    <w:rsid w:val="001974A8"/>
    <w:rsid w:val="0019768F"/>
    <w:rsid w:val="001A005E"/>
    <w:rsid w:val="001A017B"/>
    <w:rsid w:val="001A0546"/>
    <w:rsid w:val="001A0CAA"/>
    <w:rsid w:val="001A0DF3"/>
    <w:rsid w:val="001A11D4"/>
    <w:rsid w:val="001A1601"/>
    <w:rsid w:val="001A16C5"/>
    <w:rsid w:val="001A1A0B"/>
    <w:rsid w:val="001A1D51"/>
    <w:rsid w:val="001A1DFE"/>
    <w:rsid w:val="001A1F6E"/>
    <w:rsid w:val="001A2922"/>
    <w:rsid w:val="001A2E15"/>
    <w:rsid w:val="001A2E78"/>
    <w:rsid w:val="001A311B"/>
    <w:rsid w:val="001A3172"/>
    <w:rsid w:val="001A324F"/>
    <w:rsid w:val="001A35C4"/>
    <w:rsid w:val="001A39E7"/>
    <w:rsid w:val="001A3CC3"/>
    <w:rsid w:val="001A424C"/>
    <w:rsid w:val="001A43B8"/>
    <w:rsid w:val="001A4660"/>
    <w:rsid w:val="001A4942"/>
    <w:rsid w:val="001A51FA"/>
    <w:rsid w:val="001A5B81"/>
    <w:rsid w:val="001A5BBE"/>
    <w:rsid w:val="001A609A"/>
    <w:rsid w:val="001A61EA"/>
    <w:rsid w:val="001A691A"/>
    <w:rsid w:val="001A6C82"/>
    <w:rsid w:val="001A6D5F"/>
    <w:rsid w:val="001A7146"/>
    <w:rsid w:val="001A7788"/>
    <w:rsid w:val="001A7A43"/>
    <w:rsid w:val="001A7BEA"/>
    <w:rsid w:val="001A7E8A"/>
    <w:rsid w:val="001A7ED8"/>
    <w:rsid w:val="001A7F65"/>
    <w:rsid w:val="001B0073"/>
    <w:rsid w:val="001B0210"/>
    <w:rsid w:val="001B03E6"/>
    <w:rsid w:val="001B080F"/>
    <w:rsid w:val="001B0AD5"/>
    <w:rsid w:val="001B0B54"/>
    <w:rsid w:val="001B0CEA"/>
    <w:rsid w:val="001B0F8A"/>
    <w:rsid w:val="001B1263"/>
    <w:rsid w:val="001B16C1"/>
    <w:rsid w:val="001B183A"/>
    <w:rsid w:val="001B1CE0"/>
    <w:rsid w:val="001B2253"/>
    <w:rsid w:val="001B22EA"/>
    <w:rsid w:val="001B25AE"/>
    <w:rsid w:val="001B25FD"/>
    <w:rsid w:val="001B2600"/>
    <w:rsid w:val="001B2A11"/>
    <w:rsid w:val="001B366B"/>
    <w:rsid w:val="001B3BFF"/>
    <w:rsid w:val="001B3CE2"/>
    <w:rsid w:val="001B416F"/>
    <w:rsid w:val="001B41A7"/>
    <w:rsid w:val="001B4D5A"/>
    <w:rsid w:val="001B4FF7"/>
    <w:rsid w:val="001B539A"/>
    <w:rsid w:val="001B5D23"/>
    <w:rsid w:val="001B62D1"/>
    <w:rsid w:val="001B656C"/>
    <w:rsid w:val="001B661D"/>
    <w:rsid w:val="001B68B3"/>
    <w:rsid w:val="001B6A9F"/>
    <w:rsid w:val="001B6B86"/>
    <w:rsid w:val="001B7223"/>
    <w:rsid w:val="001B743D"/>
    <w:rsid w:val="001B7782"/>
    <w:rsid w:val="001B7A86"/>
    <w:rsid w:val="001C0009"/>
    <w:rsid w:val="001C062D"/>
    <w:rsid w:val="001C06D4"/>
    <w:rsid w:val="001C09F4"/>
    <w:rsid w:val="001C0DD5"/>
    <w:rsid w:val="001C142A"/>
    <w:rsid w:val="001C14A6"/>
    <w:rsid w:val="001C1B58"/>
    <w:rsid w:val="001C1DAD"/>
    <w:rsid w:val="001C2716"/>
    <w:rsid w:val="001C2A8B"/>
    <w:rsid w:val="001C2E9E"/>
    <w:rsid w:val="001C30A7"/>
    <w:rsid w:val="001C3660"/>
    <w:rsid w:val="001C369A"/>
    <w:rsid w:val="001C3B00"/>
    <w:rsid w:val="001C3D82"/>
    <w:rsid w:val="001C3DD9"/>
    <w:rsid w:val="001C3F6F"/>
    <w:rsid w:val="001C4200"/>
    <w:rsid w:val="001C4621"/>
    <w:rsid w:val="001C4C09"/>
    <w:rsid w:val="001C5177"/>
    <w:rsid w:val="001C5328"/>
    <w:rsid w:val="001C5734"/>
    <w:rsid w:val="001C583E"/>
    <w:rsid w:val="001C5AF6"/>
    <w:rsid w:val="001C66DB"/>
    <w:rsid w:val="001C6793"/>
    <w:rsid w:val="001C6A83"/>
    <w:rsid w:val="001C6C93"/>
    <w:rsid w:val="001C6D4A"/>
    <w:rsid w:val="001C6E2C"/>
    <w:rsid w:val="001C6F5B"/>
    <w:rsid w:val="001C74CF"/>
    <w:rsid w:val="001C7698"/>
    <w:rsid w:val="001C7768"/>
    <w:rsid w:val="001C7F4F"/>
    <w:rsid w:val="001D0017"/>
    <w:rsid w:val="001D01C2"/>
    <w:rsid w:val="001D01E4"/>
    <w:rsid w:val="001D02E9"/>
    <w:rsid w:val="001D05AF"/>
    <w:rsid w:val="001D0A86"/>
    <w:rsid w:val="001D0C79"/>
    <w:rsid w:val="001D19E6"/>
    <w:rsid w:val="001D1D1D"/>
    <w:rsid w:val="001D2200"/>
    <w:rsid w:val="001D39A6"/>
    <w:rsid w:val="001D3A1F"/>
    <w:rsid w:val="001D4984"/>
    <w:rsid w:val="001D4FB2"/>
    <w:rsid w:val="001D5215"/>
    <w:rsid w:val="001D53D3"/>
    <w:rsid w:val="001D53E2"/>
    <w:rsid w:val="001D54CF"/>
    <w:rsid w:val="001D56B6"/>
    <w:rsid w:val="001D5702"/>
    <w:rsid w:val="001D5B51"/>
    <w:rsid w:val="001D6201"/>
    <w:rsid w:val="001D6227"/>
    <w:rsid w:val="001D667C"/>
    <w:rsid w:val="001D6DF3"/>
    <w:rsid w:val="001D7222"/>
    <w:rsid w:val="001D757F"/>
    <w:rsid w:val="001D79C2"/>
    <w:rsid w:val="001D7F1A"/>
    <w:rsid w:val="001E04FC"/>
    <w:rsid w:val="001E16A4"/>
    <w:rsid w:val="001E18F9"/>
    <w:rsid w:val="001E1AAD"/>
    <w:rsid w:val="001E1B44"/>
    <w:rsid w:val="001E1E3B"/>
    <w:rsid w:val="001E1FE6"/>
    <w:rsid w:val="001E22CA"/>
    <w:rsid w:val="001E25ED"/>
    <w:rsid w:val="001E2854"/>
    <w:rsid w:val="001E329F"/>
    <w:rsid w:val="001E33B0"/>
    <w:rsid w:val="001E4153"/>
    <w:rsid w:val="001E41A9"/>
    <w:rsid w:val="001E4469"/>
    <w:rsid w:val="001E44F3"/>
    <w:rsid w:val="001E45DE"/>
    <w:rsid w:val="001E471F"/>
    <w:rsid w:val="001E4723"/>
    <w:rsid w:val="001E4E8A"/>
    <w:rsid w:val="001E54B2"/>
    <w:rsid w:val="001E5839"/>
    <w:rsid w:val="001E586D"/>
    <w:rsid w:val="001E6009"/>
    <w:rsid w:val="001E6213"/>
    <w:rsid w:val="001E6BB2"/>
    <w:rsid w:val="001E6DE7"/>
    <w:rsid w:val="001E6F4B"/>
    <w:rsid w:val="001E700B"/>
    <w:rsid w:val="001E7116"/>
    <w:rsid w:val="001E71FF"/>
    <w:rsid w:val="001E7598"/>
    <w:rsid w:val="001E7844"/>
    <w:rsid w:val="001F07AD"/>
    <w:rsid w:val="001F0B88"/>
    <w:rsid w:val="001F1016"/>
    <w:rsid w:val="001F110C"/>
    <w:rsid w:val="001F115B"/>
    <w:rsid w:val="001F1288"/>
    <w:rsid w:val="001F1325"/>
    <w:rsid w:val="001F15FF"/>
    <w:rsid w:val="001F1716"/>
    <w:rsid w:val="001F2516"/>
    <w:rsid w:val="001F3380"/>
    <w:rsid w:val="001F39CB"/>
    <w:rsid w:val="001F3DC3"/>
    <w:rsid w:val="001F3EBF"/>
    <w:rsid w:val="001F43C4"/>
    <w:rsid w:val="001F471A"/>
    <w:rsid w:val="001F4758"/>
    <w:rsid w:val="001F4FA1"/>
    <w:rsid w:val="001F516F"/>
    <w:rsid w:val="001F5406"/>
    <w:rsid w:val="001F55F6"/>
    <w:rsid w:val="001F5F86"/>
    <w:rsid w:val="001F62F2"/>
    <w:rsid w:val="001F6624"/>
    <w:rsid w:val="001F6BBD"/>
    <w:rsid w:val="001F743B"/>
    <w:rsid w:val="001F769D"/>
    <w:rsid w:val="001F77EF"/>
    <w:rsid w:val="0020069C"/>
    <w:rsid w:val="002009F4"/>
    <w:rsid w:val="00200B10"/>
    <w:rsid w:val="00200E06"/>
    <w:rsid w:val="00201440"/>
    <w:rsid w:val="00201595"/>
    <w:rsid w:val="00201A37"/>
    <w:rsid w:val="00201C01"/>
    <w:rsid w:val="00201F63"/>
    <w:rsid w:val="0020266C"/>
    <w:rsid w:val="00202867"/>
    <w:rsid w:val="002029AA"/>
    <w:rsid w:val="00202D1B"/>
    <w:rsid w:val="00202F26"/>
    <w:rsid w:val="00202FBC"/>
    <w:rsid w:val="002030A3"/>
    <w:rsid w:val="002032B5"/>
    <w:rsid w:val="00203319"/>
    <w:rsid w:val="00203435"/>
    <w:rsid w:val="00203AEF"/>
    <w:rsid w:val="00203B02"/>
    <w:rsid w:val="00203FD7"/>
    <w:rsid w:val="002045B8"/>
    <w:rsid w:val="002046D3"/>
    <w:rsid w:val="00204A74"/>
    <w:rsid w:val="00205246"/>
    <w:rsid w:val="002052C2"/>
    <w:rsid w:val="00205371"/>
    <w:rsid w:val="00205408"/>
    <w:rsid w:val="0020541A"/>
    <w:rsid w:val="002062C5"/>
    <w:rsid w:val="00206AF4"/>
    <w:rsid w:val="00206B0F"/>
    <w:rsid w:val="00206B69"/>
    <w:rsid w:val="00206D14"/>
    <w:rsid w:val="0020700F"/>
    <w:rsid w:val="002071E1"/>
    <w:rsid w:val="00207249"/>
    <w:rsid w:val="00207777"/>
    <w:rsid w:val="00207B7B"/>
    <w:rsid w:val="00210647"/>
    <w:rsid w:val="00210A5B"/>
    <w:rsid w:val="00210BC3"/>
    <w:rsid w:val="00210C74"/>
    <w:rsid w:val="00211104"/>
    <w:rsid w:val="00211710"/>
    <w:rsid w:val="00211797"/>
    <w:rsid w:val="00211EFD"/>
    <w:rsid w:val="00212495"/>
    <w:rsid w:val="002127E2"/>
    <w:rsid w:val="00213177"/>
    <w:rsid w:val="0021346E"/>
    <w:rsid w:val="0021364B"/>
    <w:rsid w:val="00213A7D"/>
    <w:rsid w:val="00213F34"/>
    <w:rsid w:val="002143BF"/>
    <w:rsid w:val="0021490C"/>
    <w:rsid w:val="002153C6"/>
    <w:rsid w:val="002156F7"/>
    <w:rsid w:val="0021587C"/>
    <w:rsid w:val="00215B5E"/>
    <w:rsid w:val="00215B73"/>
    <w:rsid w:val="00215C6A"/>
    <w:rsid w:val="00215C7F"/>
    <w:rsid w:val="0021609F"/>
    <w:rsid w:val="002160AD"/>
    <w:rsid w:val="002161A7"/>
    <w:rsid w:val="00216445"/>
    <w:rsid w:val="002167C4"/>
    <w:rsid w:val="00216A38"/>
    <w:rsid w:val="00216E07"/>
    <w:rsid w:val="00216EEE"/>
    <w:rsid w:val="0021709A"/>
    <w:rsid w:val="00217C39"/>
    <w:rsid w:val="00217C46"/>
    <w:rsid w:val="00217E72"/>
    <w:rsid w:val="0022020C"/>
    <w:rsid w:val="00220A81"/>
    <w:rsid w:val="00220C62"/>
    <w:rsid w:val="00220FA1"/>
    <w:rsid w:val="00221071"/>
    <w:rsid w:val="002213D7"/>
    <w:rsid w:val="0022173F"/>
    <w:rsid w:val="00221E42"/>
    <w:rsid w:val="0022239A"/>
    <w:rsid w:val="00222DA7"/>
    <w:rsid w:val="00222FA3"/>
    <w:rsid w:val="002239C8"/>
    <w:rsid w:val="00223EC5"/>
    <w:rsid w:val="00223FC1"/>
    <w:rsid w:val="00224BF6"/>
    <w:rsid w:val="00224C0F"/>
    <w:rsid w:val="00224E3A"/>
    <w:rsid w:val="0022560C"/>
    <w:rsid w:val="002256AD"/>
    <w:rsid w:val="002257A2"/>
    <w:rsid w:val="00225C16"/>
    <w:rsid w:val="00225EE7"/>
    <w:rsid w:val="00226461"/>
    <w:rsid w:val="0022678D"/>
    <w:rsid w:val="0022690D"/>
    <w:rsid w:val="00226B13"/>
    <w:rsid w:val="00226EB1"/>
    <w:rsid w:val="00226EDA"/>
    <w:rsid w:val="00227289"/>
    <w:rsid w:val="00227308"/>
    <w:rsid w:val="00227EAF"/>
    <w:rsid w:val="00230312"/>
    <w:rsid w:val="0023038B"/>
    <w:rsid w:val="0023076A"/>
    <w:rsid w:val="002308FD"/>
    <w:rsid w:val="00230C89"/>
    <w:rsid w:val="00230CDD"/>
    <w:rsid w:val="002312A5"/>
    <w:rsid w:val="00231722"/>
    <w:rsid w:val="00231BC0"/>
    <w:rsid w:val="00231FCC"/>
    <w:rsid w:val="002321DE"/>
    <w:rsid w:val="002325CB"/>
    <w:rsid w:val="002327A3"/>
    <w:rsid w:val="0023287E"/>
    <w:rsid w:val="002328D2"/>
    <w:rsid w:val="00232CCE"/>
    <w:rsid w:val="00232E1B"/>
    <w:rsid w:val="0023300C"/>
    <w:rsid w:val="00233D0B"/>
    <w:rsid w:val="0023414C"/>
    <w:rsid w:val="0023426F"/>
    <w:rsid w:val="002346E5"/>
    <w:rsid w:val="00234800"/>
    <w:rsid w:val="00234D56"/>
    <w:rsid w:val="0023509F"/>
    <w:rsid w:val="00235617"/>
    <w:rsid w:val="00235B73"/>
    <w:rsid w:val="00235CD0"/>
    <w:rsid w:val="00235F3C"/>
    <w:rsid w:val="002360FC"/>
    <w:rsid w:val="002368CC"/>
    <w:rsid w:val="00236956"/>
    <w:rsid w:val="00236B81"/>
    <w:rsid w:val="00236C85"/>
    <w:rsid w:val="00236E64"/>
    <w:rsid w:val="00236FAF"/>
    <w:rsid w:val="00237173"/>
    <w:rsid w:val="00237666"/>
    <w:rsid w:val="00237871"/>
    <w:rsid w:val="00237A25"/>
    <w:rsid w:val="00237A5A"/>
    <w:rsid w:val="00237D4A"/>
    <w:rsid w:val="00237E19"/>
    <w:rsid w:val="00237E1F"/>
    <w:rsid w:val="002402A1"/>
    <w:rsid w:val="00240413"/>
    <w:rsid w:val="002404F2"/>
    <w:rsid w:val="00240504"/>
    <w:rsid w:val="002405A7"/>
    <w:rsid w:val="002405BD"/>
    <w:rsid w:val="002407B1"/>
    <w:rsid w:val="00240E7B"/>
    <w:rsid w:val="00241072"/>
    <w:rsid w:val="002410E0"/>
    <w:rsid w:val="00241211"/>
    <w:rsid w:val="00241634"/>
    <w:rsid w:val="00241B43"/>
    <w:rsid w:val="00241CEC"/>
    <w:rsid w:val="0024233F"/>
    <w:rsid w:val="002425E9"/>
    <w:rsid w:val="0024270C"/>
    <w:rsid w:val="002429CD"/>
    <w:rsid w:val="00242AA4"/>
    <w:rsid w:val="00242D31"/>
    <w:rsid w:val="00242D7E"/>
    <w:rsid w:val="00243031"/>
    <w:rsid w:val="002434D0"/>
    <w:rsid w:val="00243544"/>
    <w:rsid w:val="002437BB"/>
    <w:rsid w:val="002438A0"/>
    <w:rsid w:val="00243FA8"/>
    <w:rsid w:val="00244329"/>
    <w:rsid w:val="0024448F"/>
    <w:rsid w:val="00244896"/>
    <w:rsid w:val="00244BE0"/>
    <w:rsid w:val="00244C1F"/>
    <w:rsid w:val="00244D64"/>
    <w:rsid w:val="00244FFA"/>
    <w:rsid w:val="0024509D"/>
    <w:rsid w:val="00245272"/>
    <w:rsid w:val="002452CB"/>
    <w:rsid w:val="002463A8"/>
    <w:rsid w:val="002463E7"/>
    <w:rsid w:val="00246A1A"/>
    <w:rsid w:val="00246A23"/>
    <w:rsid w:val="00246DB4"/>
    <w:rsid w:val="00246FDD"/>
    <w:rsid w:val="002471B7"/>
    <w:rsid w:val="002479A9"/>
    <w:rsid w:val="00251060"/>
    <w:rsid w:val="00251558"/>
    <w:rsid w:val="00251661"/>
    <w:rsid w:val="0025198B"/>
    <w:rsid w:val="00251D0C"/>
    <w:rsid w:val="00252900"/>
    <w:rsid w:val="00252FBC"/>
    <w:rsid w:val="00253C5B"/>
    <w:rsid w:val="00253E09"/>
    <w:rsid w:val="00253E41"/>
    <w:rsid w:val="00254704"/>
    <w:rsid w:val="002547CF"/>
    <w:rsid w:val="00254838"/>
    <w:rsid w:val="002548DA"/>
    <w:rsid w:val="00254A11"/>
    <w:rsid w:val="00254DF7"/>
    <w:rsid w:val="00255666"/>
    <w:rsid w:val="002559C4"/>
    <w:rsid w:val="00255DFC"/>
    <w:rsid w:val="002563F7"/>
    <w:rsid w:val="00257A19"/>
    <w:rsid w:val="00257C58"/>
    <w:rsid w:val="002604F8"/>
    <w:rsid w:val="00260686"/>
    <w:rsid w:val="002606DE"/>
    <w:rsid w:val="00260793"/>
    <w:rsid w:val="00260DE9"/>
    <w:rsid w:val="002611C7"/>
    <w:rsid w:val="002613DA"/>
    <w:rsid w:val="0026183F"/>
    <w:rsid w:val="00262842"/>
    <w:rsid w:val="002628D9"/>
    <w:rsid w:val="0026298A"/>
    <w:rsid w:val="002629CD"/>
    <w:rsid w:val="00262B43"/>
    <w:rsid w:val="00262D65"/>
    <w:rsid w:val="002631A0"/>
    <w:rsid w:val="0026393E"/>
    <w:rsid w:val="00263CEE"/>
    <w:rsid w:val="00263DAB"/>
    <w:rsid w:val="0026424B"/>
    <w:rsid w:val="002646B1"/>
    <w:rsid w:val="00264737"/>
    <w:rsid w:val="0026523A"/>
    <w:rsid w:val="00265AF9"/>
    <w:rsid w:val="00265B92"/>
    <w:rsid w:val="0026630D"/>
    <w:rsid w:val="0026695C"/>
    <w:rsid w:val="00266988"/>
    <w:rsid w:val="0026713A"/>
    <w:rsid w:val="002675BF"/>
    <w:rsid w:val="00267721"/>
    <w:rsid w:val="00267785"/>
    <w:rsid w:val="00267B16"/>
    <w:rsid w:val="00270135"/>
    <w:rsid w:val="002703E0"/>
    <w:rsid w:val="00270A54"/>
    <w:rsid w:val="00270C7E"/>
    <w:rsid w:val="00270C8F"/>
    <w:rsid w:val="00270CE5"/>
    <w:rsid w:val="00270F9A"/>
    <w:rsid w:val="0027117F"/>
    <w:rsid w:val="002712D6"/>
    <w:rsid w:val="00271333"/>
    <w:rsid w:val="00271495"/>
    <w:rsid w:val="00271C57"/>
    <w:rsid w:val="002722F4"/>
    <w:rsid w:val="00272447"/>
    <w:rsid w:val="00272A8A"/>
    <w:rsid w:val="00272BA8"/>
    <w:rsid w:val="00272E54"/>
    <w:rsid w:val="00273175"/>
    <w:rsid w:val="00273274"/>
    <w:rsid w:val="0027377D"/>
    <w:rsid w:val="00273B04"/>
    <w:rsid w:val="00273D2B"/>
    <w:rsid w:val="00273DDB"/>
    <w:rsid w:val="00273F00"/>
    <w:rsid w:val="0027416F"/>
    <w:rsid w:val="00274193"/>
    <w:rsid w:val="0027448D"/>
    <w:rsid w:val="00274664"/>
    <w:rsid w:val="00274AC2"/>
    <w:rsid w:val="00274BB1"/>
    <w:rsid w:val="00275222"/>
    <w:rsid w:val="00275A8E"/>
    <w:rsid w:val="002768CD"/>
    <w:rsid w:val="00276DDD"/>
    <w:rsid w:val="00276E81"/>
    <w:rsid w:val="002772EF"/>
    <w:rsid w:val="00277377"/>
    <w:rsid w:val="002773D3"/>
    <w:rsid w:val="00277A73"/>
    <w:rsid w:val="00277CC8"/>
    <w:rsid w:val="00280A67"/>
    <w:rsid w:val="00280A96"/>
    <w:rsid w:val="00280D34"/>
    <w:rsid w:val="002810FB"/>
    <w:rsid w:val="00281DED"/>
    <w:rsid w:val="00282149"/>
    <w:rsid w:val="0028232D"/>
    <w:rsid w:val="00282A68"/>
    <w:rsid w:val="00282B03"/>
    <w:rsid w:val="00282C25"/>
    <w:rsid w:val="00282E9B"/>
    <w:rsid w:val="00283084"/>
    <w:rsid w:val="0028333B"/>
    <w:rsid w:val="0028398F"/>
    <w:rsid w:val="002839AD"/>
    <w:rsid w:val="00283F78"/>
    <w:rsid w:val="0028429B"/>
    <w:rsid w:val="0028497B"/>
    <w:rsid w:val="00285416"/>
    <w:rsid w:val="00285584"/>
    <w:rsid w:val="002856E5"/>
    <w:rsid w:val="00285DB5"/>
    <w:rsid w:val="00285E4C"/>
    <w:rsid w:val="00285F62"/>
    <w:rsid w:val="00285FE9"/>
    <w:rsid w:val="0028641D"/>
    <w:rsid w:val="002864A1"/>
    <w:rsid w:val="002865CB"/>
    <w:rsid w:val="00286C58"/>
    <w:rsid w:val="00286C70"/>
    <w:rsid w:val="00286FE2"/>
    <w:rsid w:val="00287044"/>
    <w:rsid w:val="00287243"/>
    <w:rsid w:val="00287AFA"/>
    <w:rsid w:val="00287D74"/>
    <w:rsid w:val="00290324"/>
    <w:rsid w:val="0029067C"/>
    <w:rsid w:val="00290860"/>
    <w:rsid w:val="00290D2E"/>
    <w:rsid w:val="00291C57"/>
    <w:rsid w:val="00292F58"/>
    <w:rsid w:val="00293290"/>
    <w:rsid w:val="00293494"/>
    <w:rsid w:val="00293AAB"/>
    <w:rsid w:val="00293C25"/>
    <w:rsid w:val="0029413F"/>
    <w:rsid w:val="0029473D"/>
    <w:rsid w:val="00294762"/>
    <w:rsid w:val="00294E95"/>
    <w:rsid w:val="00294F65"/>
    <w:rsid w:val="00295072"/>
    <w:rsid w:val="00295249"/>
    <w:rsid w:val="00295667"/>
    <w:rsid w:val="00295787"/>
    <w:rsid w:val="002958E2"/>
    <w:rsid w:val="00295AEB"/>
    <w:rsid w:val="00296A9B"/>
    <w:rsid w:val="00296DA7"/>
    <w:rsid w:val="00296F06"/>
    <w:rsid w:val="00297F51"/>
    <w:rsid w:val="00297F5B"/>
    <w:rsid w:val="002A05C0"/>
    <w:rsid w:val="002A0C81"/>
    <w:rsid w:val="002A10D1"/>
    <w:rsid w:val="002A1560"/>
    <w:rsid w:val="002A19A5"/>
    <w:rsid w:val="002A1AC1"/>
    <w:rsid w:val="002A1E1F"/>
    <w:rsid w:val="002A1F16"/>
    <w:rsid w:val="002A1F63"/>
    <w:rsid w:val="002A2242"/>
    <w:rsid w:val="002A2C5A"/>
    <w:rsid w:val="002A2F17"/>
    <w:rsid w:val="002A3007"/>
    <w:rsid w:val="002A3518"/>
    <w:rsid w:val="002A384A"/>
    <w:rsid w:val="002A3CC2"/>
    <w:rsid w:val="002A49ED"/>
    <w:rsid w:val="002A4E43"/>
    <w:rsid w:val="002A51E3"/>
    <w:rsid w:val="002A549D"/>
    <w:rsid w:val="002A5B8F"/>
    <w:rsid w:val="002A614F"/>
    <w:rsid w:val="002A6862"/>
    <w:rsid w:val="002A686D"/>
    <w:rsid w:val="002A6C37"/>
    <w:rsid w:val="002A6FD0"/>
    <w:rsid w:val="002A783A"/>
    <w:rsid w:val="002A78BC"/>
    <w:rsid w:val="002A7C58"/>
    <w:rsid w:val="002A7E27"/>
    <w:rsid w:val="002B02CB"/>
    <w:rsid w:val="002B0BE7"/>
    <w:rsid w:val="002B119E"/>
    <w:rsid w:val="002B14C7"/>
    <w:rsid w:val="002B1855"/>
    <w:rsid w:val="002B18CC"/>
    <w:rsid w:val="002B21B9"/>
    <w:rsid w:val="002B23AF"/>
    <w:rsid w:val="002B24D2"/>
    <w:rsid w:val="002B282E"/>
    <w:rsid w:val="002B2CBC"/>
    <w:rsid w:val="002B341B"/>
    <w:rsid w:val="002B4075"/>
    <w:rsid w:val="002B4DF5"/>
    <w:rsid w:val="002B527F"/>
    <w:rsid w:val="002B5976"/>
    <w:rsid w:val="002B5C9B"/>
    <w:rsid w:val="002B5FDC"/>
    <w:rsid w:val="002B60A7"/>
    <w:rsid w:val="002B61AE"/>
    <w:rsid w:val="002B6283"/>
    <w:rsid w:val="002B649C"/>
    <w:rsid w:val="002B6A31"/>
    <w:rsid w:val="002B6C3C"/>
    <w:rsid w:val="002B7A56"/>
    <w:rsid w:val="002B7BDC"/>
    <w:rsid w:val="002B7DC4"/>
    <w:rsid w:val="002C0003"/>
    <w:rsid w:val="002C01D4"/>
    <w:rsid w:val="002C0545"/>
    <w:rsid w:val="002C0633"/>
    <w:rsid w:val="002C063B"/>
    <w:rsid w:val="002C071F"/>
    <w:rsid w:val="002C0919"/>
    <w:rsid w:val="002C0DB0"/>
    <w:rsid w:val="002C1026"/>
    <w:rsid w:val="002C24EC"/>
    <w:rsid w:val="002C2CDA"/>
    <w:rsid w:val="002C2D66"/>
    <w:rsid w:val="002C2D91"/>
    <w:rsid w:val="002C32D7"/>
    <w:rsid w:val="002C3686"/>
    <w:rsid w:val="002C449C"/>
    <w:rsid w:val="002C44A5"/>
    <w:rsid w:val="002C45AF"/>
    <w:rsid w:val="002C4668"/>
    <w:rsid w:val="002C494D"/>
    <w:rsid w:val="002C4A12"/>
    <w:rsid w:val="002C4BC3"/>
    <w:rsid w:val="002C5004"/>
    <w:rsid w:val="002C50EB"/>
    <w:rsid w:val="002C531B"/>
    <w:rsid w:val="002C5639"/>
    <w:rsid w:val="002C56D0"/>
    <w:rsid w:val="002C59DE"/>
    <w:rsid w:val="002C5C69"/>
    <w:rsid w:val="002C611B"/>
    <w:rsid w:val="002C6E67"/>
    <w:rsid w:val="002C7029"/>
    <w:rsid w:val="002C7157"/>
    <w:rsid w:val="002C7455"/>
    <w:rsid w:val="002C76A4"/>
    <w:rsid w:val="002C798A"/>
    <w:rsid w:val="002C7B91"/>
    <w:rsid w:val="002C7E53"/>
    <w:rsid w:val="002D03A3"/>
    <w:rsid w:val="002D06B3"/>
    <w:rsid w:val="002D12FD"/>
    <w:rsid w:val="002D134E"/>
    <w:rsid w:val="002D195A"/>
    <w:rsid w:val="002D1C88"/>
    <w:rsid w:val="002D1EFE"/>
    <w:rsid w:val="002D2480"/>
    <w:rsid w:val="002D2714"/>
    <w:rsid w:val="002D28B3"/>
    <w:rsid w:val="002D2E2A"/>
    <w:rsid w:val="002D2EAA"/>
    <w:rsid w:val="002D2F03"/>
    <w:rsid w:val="002D37F3"/>
    <w:rsid w:val="002D39A3"/>
    <w:rsid w:val="002D422E"/>
    <w:rsid w:val="002D5521"/>
    <w:rsid w:val="002D5C5C"/>
    <w:rsid w:val="002D6427"/>
    <w:rsid w:val="002D6E0D"/>
    <w:rsid w:val="002D6FD1"/>
    <w:rsid w:val="002D7528"/>
    <w:rsid w:val="002D76E9"/>
    <w:rsid w:val="002D7E37"/>
    <w:rsid w:val="002D7FF2"/>
    <w:rsid w:val="002E0789"/>
    <w:rsid w:val="002E0A8A"/>
    <w:rsid w:val="002E106D"/>
    <w:rsid w:val="002E1256"/>
    <w:rsid w:val="002E13B1"/>
    <w:rsid w:val="002E16B1"/>
    <w:rsid w:val="002E16C3"/>
    <w:rsid w:val="002E1D21"/>
    <w:rsid w:val="002E1F38"/>
    <w:rsid w:val="002E225D"/>
    <w:rsid w:val="002E30F0"/>
    <w:rsid w:val="002E33F5"/>
    <w:rsid w:val="002E3D1A"/>
    <w:rsid w:val="002E4240"/>
    <w:rsid w:val="002E46EE"/>
    <w:rsid w:val="002E4AFC"/>
    <w:rsid w:val="002E4CF7"/>
    <w:rsid w:val="002E5B33"/>
    <w:rsid w:val="002E5CAF"/>
    <w:rsid w:val="002E5E21"/>
    <w:rsid w:val="002E6437"/>
    <w:rsid w:val="002E64E5"/>
    <w:rsid w:val="002E68EF"/>
    <w:rsid w:val="002E6C40"/>
    <w:rsid w:val="002E6CB1"/>
    <w:rsid w:val="002E6FE5"/>
    <w:rsid w:val="002E72EA"/>
    <w:rsid w:val="002E74D2"/>
    <w:rsid w:val="002E7C9B"/>
    <w:rsid w:val="002E7CFC"/>
    <w:rsid w:val="002E7E2C"/>
    <w:rsid w:val="002F07A4"/>
    <w:rsid w:val="002F082A"/>
    <w:rsid w:val="002F0A7B"/>
    <w:rsid w:val="002F12B1"/>
    <w:rsid w:val="002F132A"/>
    <w:rsid w:val="002F1D6F"/>
    <w:rsid w:val="002F258B"/>
    <w:rsid w:val="002F2B87"/>
    <w:rsid w:val="002F2E30"/>
    <w:rsid w:val="002F36FE"/>
    <w:rsid w:val="002F3B6C"/>
    <w:rsid w:val="002F3F12"/>
    <w:rsid w:val="002F4806"/>
    <w:rsid w:val="002F4B7F"/>
    <w:rsid w:val="002F4CF4"/>
    <w:rsid w:val="002F5522"/>
    <w:rsid w:val="002F59EB"/>
    <w:rsid w:val="002F5E0C"/>
    <w:rsid w:val="002F6501"/>
    <w:rsid w:val="002F6504"/>
    <w:rsid w:val="002F65EF"/>
    <w:rsid w:val="002F6619"/>
    <w:rsid w:val="002F72A1"/>
    <w:rsid w:val="002F7B8F"/>
    <w:rsid w:val="002F7BAC"/>
    <w:rsid w:val="00300084"/>
    <w:rsid w:val="00300320"/>
    <w:rsid w:val="00300C3A"/>
    <w:rsid w:val="00300D67"/>
    <w:rsid w:val="003010F1"/>
    <w:rsid w:val="003019AB"/>
    <w:rsid w:val="00301B87"/>
    <w:rsid w:val="00301CBF"/>
    <w:rsid w:val="00301E97"/>
    <w:rsid w:val="00301FBE"/>
    <w:rsid w:val="0030233A"/>
    <w:rsid w:val="003023DB"/>
    <w:rsid w:val="00302BBD"/>
    <w:rsid w:val="00302BE8"/>
    <w:rsid w:val="00302C80"/>
    <w:rsid w:val="003032F5"/>
    <w:rsid w:val="003033F1"/>
    <w:rsid w:val="00303674"/>
    <w:rsid w:val="003037FA"/>
    <w:rsid w:val="00304015"/>
    <w:rsid w:val="003041E6"/>
    <w:rsid w:val="0030459F"/>
    <w:rsid w:val="0030489F"/>
    <w:rsid w:val="0030553F"/>
    <w:rsid w:val="0030566D"/>
    <w:rsid w:val="00305693"/>
    <w:rsid w:val="00305A2C"/>
    <w:rsid w:val="00305D0D"/>
    <w:rsid w:val="00305D53"/>
    <w:rsid w:val="00305D86"/>
    <w:rsid w:val="0030653D"/>
    <w:rsid w:val="003065B1"/>
    <w:rsid w:val="00306E25"/>
    <w:rsid w:val="00306F67"/>
    <w:rsid w:val="003070A9"/>
    <w:rsid w:val="003074E4"/>
    <w:rsid w:val="00307925"/>
    <w:rsid w:val="00307A51"/>
    <w:rsid w:val="00307B13"/>
    <w:rsid w:val="00307EF8"/>
    <w:rsid w:val="00310453"/>
    <w:rsid w:val="00310933"/>
    <w:rsid w:val="00310BB0"/>
    <w:rsid w:val="003115D7"/>
    <w:rsid w:val="003116BC"/>
    <w:rsid w:val="0031172A"/>
    <w:rsid w:val="00311A7D"/>
    <w:rsid w:val="00311D06"/>
    <w:rsid w:val="0031279F"/>
    <w:rsid w:val="00312AC2"/>
    <w:rsid w:val="00312EEF"/>
    <w:rsid w:val="00313136"/>
    <w:rsid w:val="003131DA"/>
    <w:rsid w:val="00313B76"/>
    <w:rsid w:val="00313E4A"/>
    <w:rsid w:val="00313FCF"/>
    <w:rsid w:val="00314278"/>
    <w:rsid w:val="003144AF"/>
    <w:rsid w:val="003145B3"/>
    <w:rsid w:val="003146CD"/>
    <w:rsid w:val="00314AA0"/>
    <w:rsid w:val="00314DB1"/>
    <w:rsid w:val="00314EC3"/>
    <w:rsid w:val="00315010"/>
    <w:rsid w:val="003152F9"/>
    <w:rsid w:val="003153A0"/>
    <w:rsid w:val="003155E1"/>
    <w:rsid w:val="003157AE"/>
    <w:rsid w:val="0031588A"/>
    <w:rsid w:val="00315910"/>
    <w:rsid w:val="00315A25"/>
    <w:rsid w:val="00315BFE"/>
    <w:rsid w:val="00315D7D"/>
    <w:rsid w:val="00315E97"/>
    <w:rsid w:val="00315F09"/>
    <w:rsid w:val="00316023"/>
    <w:rsid w:val="003164BD"/>
    <w:rsid w:val="0031658F"/>
    <w:rsid w:val="003166AE"/>
    <w:rsid w:val="0031683E"/>
    <w:rsid w:val="00317654"/>
    <w:rsid w:val="00320211"/>
    <w:rsid w:val="0032051F"/>
    <w:rsid w:val="00320869"/>
    <w:rsid w:val="003223D3"/>
    <w:rsid w:val="00323106"/>
    <w:rsid w:val="003232B2"/>
    <w:rsid w:val="003232E6"/>
    <w:rsid w:val="00323C83"/>
    <w:rsid w:val="00323DBB"/>
    <w:rsid w:val="00323E40"/>
    <w:rsid w:val="003241D6"/>
    <w:rsid w:val="003245B9"/>
    <w:rsid w:val="00324A10"/>
    <w:rsid w:val="00324A65"/>
    <w:rsid w:val="00324D9A"/>
    <w:rsid w:val="00324DF6"/>
    <w:rsid w:val="00324E6C"/>
    <w:rsid w:val="00324EE6"/>
    <w:rsid w:val="003253C5"/>
    <w:rsid w:val="003259BC"/>
    <w:rsid w:val="00325FC9"/>
    <w:rsid w:val="0032638E"/>
    <w:rsid w:val="00326465"/>
    <w:rsid w:val="00326FC3"/>
    <w:rsid w:val="003277BF"/>
    <w:rsid w:val="00327B52"/>
    <w:rsid w:val="00327BC8"/>
    <w:rsid w:val="00330964"/>
    <w:rsid w:val="00330BB5"/>
    <w:rsid w:val="00330DA9"/>
    <w:rsid w:val="003314CB"/>
    <w:rsid w:val="00331E26"/>
    <w:rsid w:val="00332835"/>
    <w:rsid w:val="003329FF"/>
    <w:rsid w:val="00333A9B"/>
    <w:rsid w:val="00333EB2"/>
    <w:rsid w:val="0033448D"/>
    <w:rsid w:val="003347E5"/>
    <w:rsid w:val="0033482C"/>
    <w:rsid w:val="0033487A"/>
    <w:rsid w:val="00334892"/>
    <w:rsid w:val="003349CC"/>
    <w:rsid w:val="00334E3F"/>
    <w:rsid w:val="00334ED9"/>
    <w:rsid w:val="00335223"/>
    <w:rsid w:val="00335583"/>
    <w:rsid w:val="00335643"/>
    <w:rsid w:val="0033573F"/>
    <w:rsid w:val="0033593F"/>
    <w:rsid w:val="00335AEA"/>
    <w:rsid w:val="00335F89"/>
    <w:rsid w:val="0033602A"/>
    <w:rsid w:val="003363FF"/>
    <w:rsid w:val="00336458"/>
    <w:rsid w:val="003368E2"/>
    <w:rsid w:val="00336E4A"/>
    <w:rsid w:val="00336F8D"/>
    <w:rsid w:val="003370BE"/>
    <w:rsid w:val="003374EB"/>
    <w:rsid w:val="003378CD"/>
    <w:rsid w:val="00337B4D"/>
    <w:rsid w:val="0034070C"/>
    <w:rsid w:val="0034076C"/>
    <w:rsid w:val="003409AF"/>
    <w:rsid w:val="00340D01"/>
    <w:rsid w:val="003414DF"/>
    <w:rsid w:val="003418D0"/>
    <w:rsid w:val="003418EF"/>
    <w:rsid w:val="00341BBA"/>
    <w:rsid w:val="00341BEF"/>
    <w:rsid w:val="0034203E"/>
    <w:rsid w:val="00342769"/>
    <w:rsid w:val="003429AA"/>
    <w:rsid w:val="00342A45"/>
    <w:rsid w:val="00342BC5"/>
    <w:rsid w:val="00342E46"/>
    <w:rsid w:val="00343406"/>
    <w:rsid w:val="0034352D"/>
    <w:rsid w:val="003438C0"/>
    <w:rsid w:val="00343BE3"/>
    <w:rsid w:val="00343CE7"/>
    <w:rsid w:val="00343DBB"/>
    <w:rsid w:val="00343DC8"/>
    <w:rsid w:val="0034473E"/>
    <w:rsid w:val="00344E13"/>
    <w:rsid w:val="00344FFD"/>
    <w:rsid w:val="00345551"/>
    <w:rsid w:val="00345940"/>
    <w:rsid w:val="00345EE3"/>
    <w:rsid w:val="0034604F"/>
    <w:rsid w:val="00346577"/>
    <w:rsid w:val="003466F0"/>
    <w:rsid w:val="00346AAC"/>
    <w:rsid w:val="00346E41"/>
    <w:rsid w:val="00347761"/>
    <w:rsid w:val="003477C2"/>
    <w:rsid w:val="003478E3"/>
    <w:rsid w:val="00347AD4"/>
    <w:rsid w:val="00347E83"/>
    <w:rsid w:val="00350121"/>
    <w:rsid w:val="0035120F"/>
    <w:rsid w:val="0035155C"/>
    <w:rsid w:val="003516B7"/>
    <w:rsid w:val="00351998"/>
    <w:rsid w:val="00351C4F"/>
    <w:rsid w:val="00351C82"/>
    <w:rsid w:val="00352040"/>
    <w:rsid w:val="003521A9"/>
    <w:rsid w:val="003521D4"/>
    <w:rsid w:val="0035261F"/>
    <w:rsid w:val="00352E81"/>
    <w:rsid w:val="00352F96"/>
    <w:rsid w:val="0035331C"/>
    <w:rsid w:val="00353938"/>
    <w:rsid w:val="0035402D"/>
    <w:rsid w:val="00354E13"/>
    <w:rsid w:val="00354F54"/>
    <w:rsid w:val="003552B9"/>
    <w:rsid w:val="00355745"/>
    <w:rsid w:val="003562A5"/>
    <w:rsid w:val="00356AF6"/>
    <w:rsid w:val="0035716B"/>
    <w:rsid w:val="00357396"/>
    <w:rsid w:val="00357634"/>
    <w:rsid w:val="00357856"/>
    <w:rsid w:val="00357932"/>
    <w:rsid w:val="00357BF9"/>
    <w:rsid w:val="003606E7"/>
    <w:rsid w:val="00360956"/>
    <w:rsid w:val="00360959"/>
    <w:rsid w:val="003611E5"/>
    <w:rsid w:val="00361A7A"/>
    <w:rsid w:val="00361F2C"/>
    <w:rsid w:val="00361FF9"/>
    <w:rsid w:val="00362093"/>
    <w:rsid w:val="00362839"/>
    <w:rsid w:val="003631AF"/>
    <w:rsid w:val="003631C8"/>
    <w:rsid w:val="0036321C"/>
    <w:rsid w:val="003632AA"/>
    <w:rsid w:val="00363449"/>
    <w:rsid w:val="003635C0"/>
    <w:rsid w:val="003637F4"/>
    <w:rsid w:val="003638EA"/>
    <w:rsid w:val="00363C6E"/>
    <w:rsid w:val="00363FF8"/>
    <w:rsid w:val="00364A8E"/>
    <w:rsid w:val="00364D2B"/>
    <w:rsid w:val="00364EB4"/>
    <w:rsid w:val="00364EE5"/>
    <w:rsid w:val="00364F7D"/>
    <w:rsid w:val="00365013"/>
    <w:rsid w:val="0036509D"/>
    <w:rsid w:val="00365A48"/>
    <w:rsid w:val="00365BDC"/>
    <w:rsid w:val="00366621"/>
    <w:rsid w:val="0036679A"/>
    <w:rsid w:val="00366835"/>
    <w:rsid w:val="00366969"/>
    <w:rsid w:val="003669F2"/>
    <w:rsid w:val="00366CC1"/>
    <w:rsid w:val="00366D15"/>
    <w:rsid w:val="00366DE8"/>
    <w:rsid w:val="00366E73"/>
    <w:rsid w:val="003670C9"/>
    <w:rsid w:val="003675C1"/>
    <w:rsid w:val="00370250"/>
    <w:rsid w:val="003704CB"/>
    <w:rsid w:val="003709A5"/>
    <w:rsid w:val="003709F0"/>
    <w:rsid w:val="00370C2D"/>
    <w:rsid w:val="003714AF"/>
    <w:rsid w:val="0037196D"/>
    <w:rsid w:val="00371A84"/>
    <w:rsid w:val="00371FB8"/>
    <w:rsid w:val="0037257B"/>
    <w:rsid w:val="003725E8"/>
    <w:rsid w:val="003727F9"/>
    <w:rsid w:val="0037349A"/>
    <w:rsid w:val="00373619"/>
    <w:rsid w:val="00373BBF"/>
    <w:rsid w:val="003745A4"/>
    <w:rsid w:val="00374AC6"/>
    <w:rsid w:val="00374C21"/>
    <w:rsid w:val="00374E27"/>
    <w:rsid w:val="00374F7E"/>
    <w:rsid w:val="00374FA0"/>
    <w:rsid w:val="00375728"/>
    <w:rsid w:val="003758B0"/>
    <w:rsid w:val="00375EE2"/>
    <w:rsid w:val="0037614E"/>
    <w:rsid w:val="00376306"/>
    <w:rsid w:val="003763A2"/>
    <w:rsid w:val="00376501"/>
    <w:rsid w:val="0037676F"/>
    <w:rsid w:val="0037697A"/>
    <w:rsid w:val="00377152"/>
    <w:rsid w:val="0037739F"/>
    <w:rsid w:val="003776AD"/>
    <w:rsid w:val="00377935"/>
    <w:rsid w:val="00380133"/>
    <w:rsid w:val="00380895"/>
    <w:rsid w:val="00380AC8"/>
    <w:rsid w:val="00380B77"/>
    <w:rsid w:val="003815F5"/>
    <w:rsid w:val="00381ECB"/>
    <w:rsid w:val="003824A4"/>
    <w:rsid w:val="003826AC"/>
    <w:rsid w:val="0038347E"/>
    <w:rsid w:val="003838DB"/>
    <w:rsid w:val="00383CE7"/>
    <w:rsid w:val="003841CC"/>
    <w:rsid w:val="003842F4"/>
    <w:rsid w:val="003845D5"/>
    <w:rsid w:val="0038480F"/>
    <w:rsid w:val="00384CD9"/>
    <w:rsid w:val="00384DCA"/>
    <w:rsid w:val="003858F4"/>
    <w:rsid w:val="00385BB9"/>
    <w:rsid w:val="0038620F"/>
    <w:rsid w:val="00386501"/>
    <w:rsid w:val="00386750"/>
    <w:rsid w:val="00386B8A"/>
    <w:rsid w:val="00386CCB"/>
    <w:rsid w:val="003872CA"/>
    <w:rsid w:val="003876A7"/>
    <w:rsid w:val="00387771"/>
    <w:rsid w:val="003877A3"/>
    <w:rsid w:val="003878B5"/>
    <w:rsid w:val="003878F6"/>
    <w:rsid w:val="00387BDE"/>
    <w:rsid w:val="00387DDC"/>
    <w:rsid w:val="0039006E"/>
    <w:rsid w:val="00390149"/>
    <w:rsid w:val="0039039B"/>
    <w:rsid w:val="00390906"/>
    <w:rsid w:val="0039098B"/>
    <w:rsid w:val="00390AA6"/>
    <w:rsid w:val="00390F27"/>
    <w:rsid w:val="0039100C"/>
    <w:rsid w:val="003914ED"/>
    <w:rsid w:val="00391A7A"/>
    <w:rsid w:val="00391D55"/>
    <w:rsid w:val="00392ABE"/>
    <w:rsid w:val="00392D0C"/>
    <w:rsid w:val="00393120"/>
    <w:rsid w:val="00393157"/>
    <w:rsid w:val="003931C7"/>
    <w:rsid w:val="003934E8"/>
    <w:rsid w:val="00394732"/>
    <w:rsid w:val="00394844"/>
    <w:rsid w:val="00394A15"/>
    <w:rsid w:val="00395079"/>
    <w:rsid w:val="00395376"/>
    <w:rsid w:val="00395643"/>
    <w:rsid w:val="00395A96"/>
    <w:rsid w:val="00396CCD"/>
    <w:rsid w:val="00396E40"/>
    <w:rsid w:val="00396FBC"/>
    <w:rsid w:val="00397312"/>
    <w:rsid w:val="00397539"/>
    <w:rsid w:val="00397EAD"/>
    <w:rsid w:val="003A0126"/>
    <w:rsid w:val="003A0D2A"/>
    <w:rsid w:val="003A1AFC"/>
    <w:rsid w:val="003A2073"/>
    <w:rsid w:val="003A22CD"/>
    <w:rsid w:val="003A25B0"/>
    <w:rsid w:val="003A2788"/>
    <w:rsid w:val="003A28E7"/>
    <w:rsid w:val="003A3015"/>
    <w:rsid w:val="003A3C8B"/>
    <w:rsid w:val="003A4A73"/>
    <w:rsid w:val="003A534F"/>
    <w:rsid w:val="003A58FE"/>
    <w:rsid w:val="003A5AC2"/>
    <w:rsid w:val="003A5BE8"/>
    <w:rsid w:val="003A5DCD"/>
    <w:rsid w:val="003A5E30"/>
    <w:rsid w:val="003A66A5"/>
    <w:rsid w:val="003A6FD8"/>
    <w:rsid w:val="003A7941"/>
    <w:rsid w:val="003A7D22"/>
    <w:rsid w:val="003A7D7E"/>
    <w:rsid w:val="003B081B"/>
    <w:rsid w:val="003B0C46"/>
    <w:rsid w:val="003B0F28"/>
    <w:rsid w:val="003B100C"/>
    <w:rsid w:val="003B121D"/>
    <w:rsid w:val="003B1656"/>
    <w:rsid w:val="003B183C"/>
    <w:rsid w:val="003B1A56"/>
    <w:rsid w:val="003B1C47"/>
    <w:rsid w:val="003B26FC"/>
    <w:rsid w:val="003B2705"/>
    <w:rsid w:val="003B2A0C"/>
    <w:rsid w:val="003B2E08"/>
    <w:rsid w:val="003B3219"/>
    <w:rsid w:val="003B35FD"/>
    <w:rsid w:val="003B3E68"/>
    <w:rsid w:val="003B3F2F"/>
    <w:rsid w:val="003B40C9"/>
    <w:rsid w:val="003B41D5"/>
    <w:rsid w:val="003B442B"/>
    <w:rsid w:val="003B45B6"/>
    <w:rsid w:val="003B45CC"/>
    <w:rsid w:val="003B479F"/>
    <w:rsid w:val="003B4C8C"/>
    <w:rsid w:val="003B5586"/>
    <w:rsid w:val="003B56B5"/>
    <w:rsid w:val="003B5703"/>
    <w:rsid w:val="003B5BD7"/>
    <w:rsid w:val="003B5BF8"/>
    <w:rsid w:val="003B5E21"/>
    <w:rsid w:val="003B6607"/>
    <w:rsid w:val="003B663F"/>
    <w:rsid w:val="003B6862"/>
    <w:rsid w:val="003B691C"/>
    <w:rsid w:val="003B6A2F"/>
    <w:rsid w:val="003B6B7B"/>
    <w:rsid w:val="003B722D"/>
    <w:rsid w:val="003B75D5"/>
    <w:rsid w:val="003B75E5"/>
    <w:rsid w:val="003B77EE"/>
    <w:rsid w:val="003B7E4C"/>
    <w:rsid w:val="003C0083"/>
    <w:rsid w:val="003C0EBE"/>
    <w:rsid w:val="003C14B9"/>
    <w:rsid w:val="003C18A1"/>
    <w:rsid w:val="003C1C33"/>
    <w:rsid w:val="003C24ED"/>
    <w:rsid w:val="003C2D51"/>
    <w:rsid w:val="003C34B4"/>
    <w:rsid w:val="003C3C0B"/>
    <w:rsid w:val="003C3DC2"/>
    <w:rsid w:val="003C3EA8"/>
    <w:rsid w:val="003C40C6"/>
    <w:rsid w:val="003C439A"/>
    <w:rsid w:val="003C51E0"/>
    <w:rsid w:val="003C5BA6"/>
    <w:rsid w:val="003C5C47"/>
    <w:rsid w:val="003C606D"/>
    <w:rsid w:val="003C64CA"/>
    <w:rsid w:val="003C6682"/>
    <w:rsid w:val="003C6964"/>
    <w:rsid w:val="003C6B84"/>
    <w:rsid w:val="003C76E1"/>
    <w:rsid w:val="003C77B7"/>
    <w:rsid w:val="003D062C"/>
    <w:rsid w:val="003D104C"/>
    <w:rsid w:val="003D15CC"/>
    <w:rsid w:val="003D1A6D"/>
    <w:rsid w:val="003D1E22"/>
    <w:rsid w:val="003D2076"/>
    <w:rsid w:val="003D215C"/>
    <w:rsid w:val="003D2455"/>
    <w:rsid w:val="003D2702"/>
    <w:rsid w:val="003D2A5A"/>
    <w:rsid w:val="003D2B72"/>
    <w:rsid w:val="003D2EAF"/>
    <w:rsid w:val="003D3035"/>
    <w:rsid w:val="003D322E"/>
    <w:rsid w:val="003D350E"/>
    <w:rsid w:val="003D3556"/>
    <w:rsid w:val="003D35AB"/>
    <w:rsid w:val="003D3A91"/>
    <w:rsid w:val="003D3D97"/>
    <w:rsid w:val="003D41D3"/>
    <w:rsid w:val="003D47EA"/>
    <w:rsid w:val="003D4CFA"/>
    <w:rsid w:val="003D503D"/>
    <w:rsid w:val="003D5189"/>
    <w:rsid w:val="003D5230"/>
    <w:rsid w:val="003D6169"/>
    <w:rsid w:val="003D656A"/>
    <w:rsid w:val="003D66B1"/>
    <w:rsid w:val="003D6999"/>
    <w:rsid w:val="003D6E4F"/>
    <w:rsid w:val="003D7CB4"/>
    <w:rsid w:val="003E09E3"/>
    <w:rsid w:val="003E0B20"/>
    <w:rsid w:val="003E0D23"/>
    <w:rsid w:val="003E0E90"/>
    <w:rsid w:val="003E1502"/>
    <w:rsid w:val="003E17C7"/>
    <w:rsid w:val="003E1A2A"/>
    <w:rsid w:val="003E1BD8"/>
    <w:rsid w:val="003E1FD3"/>
    <w:rsid w:val="003E21F4"/>
    <w:rsid w:val="003E25F4"/>
    <w:rsid w:val="003E2600"/>
    <w:rsid w:val="003E265F"/>
    <w:rsid w:val="003E2846"/>
    <w:rsid w:val="003E2D7D"/>
    <w:rsid w:val="003E354B"/>
    <w:rsid w:val="003E3D78"/>
    <w:rsid w:val="003E48C8"/>
    <w:rsid w:val="003E4B3A"/>
    <w:rsid w:val="003E51A7"/>
    <w:rsid w:val="003E5220"/>
    <w:rsid w:val="003E542C"/>
    <w:rsid w:val="003E57E9"/>
    <w:rsid w:val="003E5973"/>
    <w:rsid w:val="003E5B13"/>
    <w:rsid w:val="003E670A"/>
    <w:rsid w:val="003E670D"/>
    <w:rsid w:val="003E6D77"/>
    <w:rsid w:val="003E6E72"/>
    <w:rsid w:val="003E6F0E"/>
    <w:rsid w:val="003E77CB"/>
    <w:rsid w:val="003E7A60"/>
    <w:rsid w:val="003F02AB"/>
    <w:rsid w:val="003F02E2"/>
    <w:rsid w:val="003F0751"/>
    <w:rsid w:val="003F0D80"/>
    <w:rsid w:val="003F0F8E"/>
    <w:rsid w:val="003F1146"/>
    <w:rsid w:val="003F19DF"/>
    <w:rsid w:val="003F1F86"/>
    <w:rsid w:val="003F2033"/>
    <w:rsid w:val="003F230E"/>
    <w:rsid w:val="003F2A1C"/>
    <w:rsid w:val="003F2D7E"/>
    <w:rsid w:val="003F35E8"/>
    <w:rsid w:val="003F361E"/>
    <w:rsid w:val="003F3CC3"/>
    <w:rsid w:val="003F45F3"/>
    <w:rsid w:val="003F47C1"/>
    <w:rsid w:val="003F485A"/>
    <w:rsid w:val="003F4ADD"/>
    <w:rsid w:val="003F4CCD"/>
    <w:rsid w:val="003F4F3E"/>
    <w:rsid w:val="003F4FB9"/>
    <w:rsid w:val="003F5107"/>
    <w:rsid w:val="003F548E"/>
    <w:rsid w:val="003F5865"/>
    <w:rsid w:val="003F5924"/>
    <w:rsid w:val="003F5C73"/>
    <w:rsid w:val="003F6017"/>
    <w:rsid w:val="003F69A4"/>
    <w:rsid w:val="003F6AEB"/>
    <w:rsid w:val="003F6D2B"/>
    <w:rsid w:val="003F7233"/>
    <w:rsid w:val="003F7D12"/>
    <w:rsid w:val="004001E1"/>
    <w:rsid w:val="00400433"/>
    <w:rsid w:val="00400551"/>
    <w:rsid w:val="0040055E"/>
    <w:rsid w:val="00400809"/>
    <w:rsid w:val="00400CA7"/>
    <w:rsid w:val="004011EB"/>
    <w:rsid w:val="004015AE"/>
    <w:rsid w:val="004016F5"/>
    <w:rsid w:val="00401B65"/>
    <w:rsid w:val="00401CCB"/>
    <w:rsid w:val="00401D96"/>
    <w:rsid w:val="00401E8B"/>
    <w:rsid w:val="00401FEF"/>
    <w:rsid w:val="00402726"/>
    <w:rsid w:val="00402D73"/>
    <w:rsid w:val="00402DF5"/>
    <w:rsid w:val="00403133"/>
    <w:rsid w:val="004033D9"/>
    <w:rsid w:val="00403424"/>
    <w:rsid w:val="00403615"/>
    <w:rsid w:val="004037FE"/>
    <w:rsid w:val="00403822"/>
    <w:rsid w:val="00403CB8"/>
    <w:rsid w:val="00403CF8"/>
    <w:rsid w:val="00403DB5"/>
    <w:rsid w:val="00403EDE"/>
    <w:rsid w:val="00404693"/>
    <w:rsid w:val="00404CC9"/>
    <w:rsid w:val="00404F02"/>
    <w:rsid w:val="00405466"/>
    <w:rsid w:val="004055BE"/>
    <w:rsid w:val="004056B3"/>
    <w:rsid w:val="00405F34"/>
    <w:rsid w:val="00405F5E"/>
    <w:rsid w:val="004065AE"/>
    <w:rsid w:val="00406B31"/>
    <w:rsid w:val="00407494"/>
    <w:rsid w:val="004078E3"/>
    <w:rsid w:val="00407E65"/>
    <w:rsid w:val="00407E86"/>
    <w:rsid w:val="00407FF9"/>
    <w:rsid w:val="00410085"/>
    <w:rsid w:val="0041037B"/>
    <w:rsid w:val="004105E4"/>
    <w:rsid w:val="00410E6D"/>
    <w:rsid w:val="0041135A"/>
    <w:rsid w:val="00411BB5"/>
    <w:rsid w:val="00411E9D"/>
    <w:rsid w:val="00412034"/>
    <w:rsid w:val="00412273"/>
    <w:rsid w:val="00412690"/>
    <w:rsid w:val="00412B96"/>
    <w:rsid w:val="00412BD0"/>
    <w:rsid w:val="00412D24"/>
    <w:rsid w:val="00412F2D"/>
    <w:rsid w:val="004131D5"/>
    <w:rsid w:val="004132D9"/>
    <w:rsid w:val="0041333F"/>
    <w:rsid w:val="0041387F"/>
    <w:rsid w:val="00413DE4"/>
    <w:rsid w:val="00413DF7"/>
    <w:rsid w:val="004141D5"/>
    <w:rsid w:val="00414C7F"/>
    <w:rsid w:val="0041510A"/>
    <w:rsid w:val="004153DA"/>
    <w:rsid w:val="00415906"/>
    <w:rsid w:val="0041595C"/>
    <w:rsid w:val="00415C4D"/>
    <w:rsid w:val="00415E1F"/>
    <w:rsid w:val="00415E42"/>
    <w:rsid w:val="00416226"/>
    <w:rsid w:val="004164EB"/>
    <w:rsid w:val="004166AE"/>
    <w:rsid w:val="00416727"/>
    <w:rsid w:val="00416794"/>
    <w:rsid w:val="004167BF"/>
    <w:rsid w:val="004169C6"/>
    <w:rsid w:val="00416E7A"/>
    <w:rsid w:val="00417074"/>
    <w:rsid w:val="0041743F"/>
    <w:rsid w:val="00417CD7"/>
    <w:rsid w:val="004202A1"/>
    <w:rsid w:val="00420382"/>
    <w:rsid w:val="00420A8C"/>
    <w:rsid w:val="004213FE"/>
    <w:rsid w:val="0042144B"/>
    <w:rsid w:val="0042151B"/>
    <w:rsid w:val="00421B6C"/>
    <w:rsid w:val="00422061"/>
    <w:rsid w:val="00422142"/>
    <w:rsid w:val="00422D83"/>
    <w:rsid w:val="0042301B"/>
    <w:rsid w:val="00423C95"/>
    <w:rsid w:val="00423E7B"/>
    <w:rsid w:val="004242DD"/>
    <w:rsid w:val="00424748"/>
    <w:rsid w:val="00424A0A"/>
    <w:rsid w:val="00424A1E"/>
    <w:rsid w:val="00424A4F"/>
    <w:rsid w:val="00424AEF"/>
    <w:rsid w:val="00424D27"/>
    <w:rsid w:val="00425042"/>
    <w:rsid w:val="0042507C"/>
    <w:rsid w:val="004251D4"/>
    <w:rsid w:val="00425499"/>
    <w:rsid w:val="00426068"/>
    <w:rsid w:val="004260FC"/>
    <w:rsid w:val="00426265"/>
    <w:rsid w:val="004262D0"/>
    <w:rsid w:val="004263EF"/>
    <w:rsid w:val="00426BB8"/>
    <w:rsid w:val="00426C2C"/>
    <w:rsid w:val="00426EF2"/>
    <w:rsid w:val="00427458"/>
    <w:rsid w:val="00427886"/>
    <w:rsid w:val="004278D3"/>
    <w:rsid w:val="00427D13"/>
    <w:rsid w:val="004302DB"/>
    <w:rsid w:val="00430485"/>
    <w:rsid w:val="0043060C"/>
    <w:rsid w:val="00430C0E"/>
    <w:rsid w:val="00430E26"/>
    <w:rsid w:val="00430E9F"/>
    <w:rsid w:val="00431595"/>
    <w:rsid w:val="00431D7F"/>
    <w:rsid w:val="00431E9B"/>
    <w:rsid w:val="004324FC"/>
    <w:rsid w:val="00432E90"/>
    <w:rsid w:val="00433075"/>
    <w:rsid w:val="00434126"/>
    <w:rsid w:val="00434141"/>
    <w:rsid w:val="00434298"/>
    <w:rsid w:val="004343A4"/>
    <w:rsid w:val="0043467B"/>
    <w:rsid w:val="004347EC"/>
    <w:rsid w:val="00434A57"/>
    <w:rsid w:val="00434D85"/>
    <w:rsid w:val="004350A3"/>
    <w:rsid w:val="004351B6"/>
    <w:rsid w:val="004352E7"/>
    <w:rsid w:val="00435625"/>
    <w:rsid w:val="00435AC7"/>
    <w:rsid w:val="00436605"/>
    <w:rsid w:val="0043662F"/>
    <w:rsid w:val="004368A0"/>
    <w:rsid w:val="00436E5C"/>
    <w:rsid w:val="00436E78"/>
    <w:rsid w:val="00437313"/>
    <w:rsid w:val="00437ADD"/>
    <w:rsid w:val="00440179"/>
    <w:rsid w:val="004403CA"/>
    <w:rsid w:val="0044068A"/>
    <w:rsid w:val="00440FB3"/>
    <w:rsid w:val="00441025"/>
    <w:rsid w:val="0044109C"/>
    <w:rsid w:val="0044134E"/>
    <w:rsid w:val="004414BB"/>
    <w:rsid w:val="0044150C"/>
    <w:rsid w:val="004415FE"/>
    <w:rsid w:val="00441E33"/>
    <w:rsid w:val="00441E76"/>
    <w:rsid w:val="0044212E"/>
    <w:rsid w:val="00442C3A"/>
    <w:rsid w:val="00443578"/>
    <w:rsid w:val="0044428D"/>
    <w:rsid w:val="00444452"/>
    <w:rsid w:val="0044455E"/>
    <w:rsid w:val="00444A1D"/>
    <w:rsid w:val="00444F07"/>
    <w:rsid w:val="00445119"/>
    <w:rsid w:val="00445491"/>
    <w:rsid w:val="004456C7"/>
    <w:rsid w:val="0044594C"/>
    <w:rsid w:val="00445B9A"/>
    <w:rsid w:val="004466A9"/>
    <w:rsid w:val="004468A8"/>
    <w:rsid w:val="00447251"/>
    <w:rsid w:val="0044758F"/>
    <w:rsid w:val="00450226"/>
    <w:rsid w:val="004508D1"/>
    <w:rsid w:val="004508FE"/>
    <w:rsid w:val="00450946"/>
    <w:rsid w:val="00450AB4"/>
    <w:rsid w:val="0045139F"/>
    <w:rsid w:val="00451B26"/>
    <w:rsid w:val="00451C04"/>
    <w:rsid w:val="00451DD1"/>
    <w:rsid w:val="0045226D"/>
    <w:rsid w:val="004524AE"/>
    <w:rsid w:val="004525C0"/>
    <w:rsid w:val="00452EEE"/>
    <w:rsid w:val="004534B4"/>
    <w:rsid w:val="00453649"/>
    <w:rsid w:val="0045376F"/>
    <w:rsid w:val="00453A37"/>
    <w:rsid w:val="00453FCB"/>
    <w:rsid w:val="0045405A"/>
    <w:rsid w:val="00454212"/>
    <w:rsid w:val="00454395"/>
    <w:rsid w:val="004546F9"/>
    <w:rsid w:val="00454A9A"/>
    <w:rsid w:val="00454E1E"/>
    <w:rsid w:val="00454E5C"/>
    <w:rsid w:val="00454FA4"/>
    <w:rsid w:val="0045514C"/>
    <w:rsid w:val="00455CFA"/>
    <w:rsid w:val="004560CA"/>
    <w:rsid w:val="004562C4"/>
    <w:rsid w:val="004564AD"/>
    <w:rsid w:val="004564AF"/>
    <w:rsid w:val="00456637"/>
    <w:rsid w:val="0045663D"/>
    <w:rsid w:val="0045665D"/>
    <w:rsid w:val="00456AAF"/>
    <w:rsid w:val="00457151"/>
    <w:rsid w:val="0045744A"/>
    <w:rsid w:val="00457557"/>
    <w:rsid w:val="00457BAA"/>
    <w:rsid w:val="00457F0B"/>
    <w:rsid w:val="00457FA5"/>
    <w:rsid w:val="004603C8"/>
    <w:rsid w:val="00460466"/>
    <w:rsid w:val="00460541"/>
    <w:rsid w:val="00460B75"/>
    <w:rsid w:val="00460F57"/>
    <w:rsid w:val="004612B8"/>
    <w:rsid w:val="00461633"/>
    <w:rsid w:val="00461E26"/>
    <w:rsid w:val="0046200B"/>
    <w:rsid w:val="004620FD"/>
    <w:rsid w:val="00462128"/>
    <w:rsid w:val="004623AB"/>
    <w:rsid w:val="00462AAE"/>
    <w:rsid w:val="00463453"/>
    <w:rsid w:val="00463667"/>
    <w:rsid w:val="004639E2"/>
    <w:rsid w:val="00463A51"/>
    <w:rsid w:val="00464117"/>
    <w:rsid w:val="0046453D"/>
    <w:rsid w:val="00464D28"/>
    <w:rsid w:val="00465CF9"/>
    <w:rsid w:val="00465E23"/>
    <w:rsid w:val="00466134"/>
    <w:rsid w:val="0046650F"/>
    <w:rsid w:val="004669BD"/>
    <w:rsid w:val="00466CB3"/>
    <w:rsid w:val="004672DF"/>
    <w:rsid w:val="0046756E"/>
    <w:rsid w:val="00467AA9"/>
    <w:rsid w:val="00470147"/>
    <w:rsid w:val="0047087B"/>
    <w:rsid w:val="00471D0B"/>
    <w:rsid w:val="00471D68"/>
    <w:rsid w:val="00471FCF"/>
    <w:rsid w:val="004721C5"/>
    <w:rsid w:val="004723E9"/>
    <w:rsid w:val="0047240B"/>
    <w:rsid w:val="00472567"/>
    <w:rsid w:val="00472572"/>
    <w:rsid w:val="0047314E"/>
    <w:rsid w:val="00473DA0"/>
    <w:rsid w:val="004747E0"/>
    <w:rsid w:val="00474B93"/>
    <w:rsid w:val="004750C8"/>
    <w:rsid w:val="00475765"/>
    <w:rsid w:val="00476FF3"/>
    <w:rsid w:val="004772E2"/>
    <w:rsid w:val="00477A29"/>
    <w:rsid w:val="00477C4C"/>
    <w:rsid w:val="00477E58"/>
    <w:rsid w:val="00477F7B"/>
    <w:rsid w:val="0048038F"/>
    <w:rsid w:val="00480422"/>
    <w:rsid w:val="004804A3"/>
    <w:rsid w:val="004804D4"/>
    <w:rsid w:val="00480536"/>
    <w:rsid w:val="004807F2"/>
    <w:rsid w:val="00480C02"/>
    <w:rsid w:val="00481719"/>
    <w:rsid w:val="004819E3"/>
    <w:rsid w:val="00481C59"/>
    <w:rsid w:val="00481CF1"/>
    <w:rsid w:val="00481E53"/>
    <w:rsid w:val="00482700"/>
    <w:rsid w:val="00482940"/>
    <w:rsid w:val="00483C72"/>
    <w:rsid w:val="00484040"/>
    <w:rsid w:val="004842DC"/>
    <w:rsid w:val="004843B5"/>
    <w:rsid w:val="00484E0E"/>
    <w:rsid w:val="00484F1E"/>
    <w:rsid w:val="00484FF7"/>
    <w:rsid w:val="00485031"/>
    <w:rsid w:val="004853E1"/>
    <w:rsid w:val="004854F8"/>
    <w:rsid w:val="00485CDB"/>
    <w:rsid w:val="00485D13"/>
    <w:rsid w:val="0048600C"/>
    <w:rsid w:val="0048628C"/>
    <w:rsid w:val="0048692B"/>
    <w:rsid w:val="00486E6C"/>
    <w:rsid w:val="00486FD4"/>
    <w:rsid w:val="004871D9"/>
    <w:rsid w:val="00487229"/>
    <w:rsid w:val="00487E4F"/>
    <w:rsid w:val="0049021C"/>
    <w:rsid w:val="00490506"/>
    <w:rsid w:val="004906A6"/>
    <w:rsid w:val="00490713"/>
    <w:rsid w:val="00490A74"/>
    <w:rsid w:val="00490BD0"/>
    <w:rsid w:val="00491093"/>
    <w:rsid w:val="004912F8"/>
    <w:rsid w:val="0049167B"/>
    <w:rsid w:val="00491A68"/>
    <w:rsid w:val="00491CBC"/>
    <w:rsid w:val="00491DAA"/>
    <w:rsid w:val="004920CA"/>
    <w:rsid w:val="0049223F"/>
    <w:rsid w:val="00492364"/>
    <w:rsid w:val="0049257A"/>
    <w:rsid w:val="00492854"/>
    <w:rsid w:val="00493065"/>
    <w:rsid w:val="00493B8B"/>
    <w:rsid w:val="00494515"/>
    <w:rsid w:val="00494535"/>
    <w:rsid w:val="00494A4C"/>
    <w:rsid w:val="00495B92"/>
    <w:rsid w:val="00495C00"/>
    <w:rsid w:val="00495CAE"/>
    <w:rsid w:val="004962C2"/>
    <w:rsid w:val="004964C9"/>
    <w:rsid w:val="004969F2"/>
    <w:rsid w:val="00496C93"/>
    <w:rsid w:val="00496CA6"/>
    <w:rsid w:val="0049743E"/>
    <w:rsid w:val="0049751A"/>
    <w:rsid w:val="004978BC"/>
    <w:rsid w:val="00497912"/>
    <w:rsid w:val="00497E63"/>
    <w:rsid w:val="004A0CCA"/>
    <w:rsid w:val="004A0DC9"/>
    <w:rsid w:val="004A1A86"/>
    <w:rsid w:val="004A1D92"/>
    <w:rsid w:val="004A1EDA"/>
    <w:rsid w:val="004A249C"/>
    <w:rsid w:val="004A3ACF"/>
    <w:rsid w:val="004A3D22"/>
    <w:rsid w:val="004A3D35"/>
    <w:rsid w:val="004A3F56"/>
    <w:rsid w:val="004A45D8"/>
    <w:rsid w:val="004A4602"/>
    <w:rsid w:val="004A4951"/>
    <w:rsid w:val="004A4DCE"/>
    <w:rsid w:val="004A5185"/>
    <w:rsid w:val="004A51BB"/>
    <w:rsid w:val="004A52A9"/>
    <w:rsid w:val="004A53B4"/>
    <w:rsid w:val="004A58AF"/>
    <w:rsid w:val="004A58E4"/>
    <w:rsid w:val="004A5C3C"/>
    <w:rsid w:val="004A6229"/>
    <w:rsid w:val="004A64B4"/>
    <w:rsid w:val="004A6767"/>
    <w:rsid w:val="004A6CC4"/>
    <w:rsid w:val="004A6D60"/>
    <w:rsid w:val="004A6E41"/>
    <w:rsid w:val="004A7047"/>
    <w:rsid w:val="004A70A7"/>
    <w:rsid w:val="004A7714"/>
    <w:rsid w:val="004A771F"/>
    <w:rsid w:val="004A7D57"/>
    <w:rsid w:val="004B0077"/>
    <w:rsid w:val="004B0385"/>
    <w:rsid w:val="004B0608"/>
    <w:rsid w:val="004B092D"/>
    <w:rsid w:val="004B0ACE"/>
    <w:rsid w:val="004B0B0D"/>
    <w:rsid w:val="004B14FB"/>
    <w:rsid w:val="004B1507"/>
    <w:rsid w:val="004B159F"/>
    <w:rsid w:val="004B161B"/>
    <w:rsid w:val="004B1B62"/>
    <w:rsid w:val="004B1C78"/>
    <w:rsid w:val="004B29E2"/>
    <w:rsid w:val="004B3480"/>
    <w:rsid w:val="004B3810"/>
    <w:rsid w:val="004B3F62"/>
    <w:rsid w:val="004B43A3"/>
    <w:rsid w:val="004B4915"/>
    <w:rsid w:val="004B49AC"/>
    <w:rsid w:val="004B4ECC"/>
    <w:rsid w:val="004B4FFE"/>
    <w:rsid w:val="004B534F"/>
    <w:rsid w:val="004B5429"/>
    <w:rsid w:val="004B5BD1"/>
    <w:rsid w:val="004B5F80"/>
    <w:rsid w:val="004B60C5"/>
    <w:rsid w:val="004B6C28"/>
    <w:rsid w:val="004B6E2B"/>
    <w:rsid w:val="004B6FB3"/>
    <w:rsid w:val="004B79A7"/>
    <w:rsid w:val="004C0053"/>
    <w:rsid w:val="004C01E7"/>
    <w:rsid w:val="004C0418"/>
    <w:rsid w:val="004C088B"/>
    <w:rsid w:val="004C0915"/>
    <w:rsid w:val="004C0BDF"/>
    <w:rsid w:val="004C0F13"/>
    <w:rsid w:val="004C11B6"/>
    <w:rsid w:val="004C15F3"/>
    <w:rsid w:val="004C1ABB"/>
    <w:rsid w:val="004C1BF5"/>
    <w:rsid w:val="004C1FCB"/>
    <w:rsid w:val="004C297F"/>
    <w:rsid w:val="004C2F31"/>
    <w:rsid w:val="004C2FC8"/>
    <w:rsid w:val="004C341E"/>
    <w:rsid w:val="004C3929"/>
    <w:rsid w:val="004C3BA8"/>
    <w:rsid w:val="004C47F0"/>
    <w:rsid w:val="004C4819"/>
    <w:rsid w:val="004C4DA2"/>
    <w:rsid w:val="004C4F1B"/>
    <w:rsid w:val="004C5457"/>
    <w:rsid w:val="004C5E6D"/>
    <w:rsid w:val="004C5F74"/>
    <w:rsid w:val="004C6030"/>
    <w:rsid w:val="004C6D80"/>
    <w:rsid w:val="004C7276"/>
    <w:rsid w:val="004C7BC7"/>
    <w:rsid w:val="004C7C65"/>
    <w:rsid w:val="004C7C9B"/>
    <w:rsid w:val="004D0256"/>
    <w:rsid w:val="004D029A"/>
    <w:rsid w:val="004D0B15"/>
    <w:rsid w:val="004D10D9"/>
    <w:rsid w:val="004D15FE"/>
    <w:rsid w:val="004D179E"/>
    <w:rsid w:val="004D18E0"/>
    <w:rsid w:val="004D200B"/>
    <w:rsid w:val="004D20E0"/>
    <w:rsid w:val="004D2A1F"/>
    <w:rsid w:val="004D2F5E"/>
    <w:rsid w:val="004D30C9"/>
    <w:rsid w:val="004D343E"/>
    <w:rsid w:val="004D34E9"/>
    <w:rsid w:val="004D3C1C"/>
    <w:rsid w:val="004D3D97"/>
    <w:rsid w:val="004D43D5"/>
    <w:rsid w:val="004D44CF"/>
    <w:rsid w:val="004D44FC"/>
    <w:rsid w:val="004D504A"/>
    <w:rsid w:val="004D5279"/>
    <w:rsid w:val="004D541D"/>
    <w:rsid w:val="004D54A6"/>
    <w:rsid w:val="004D62B4"/>
    <w:rsid w:val="004D67BB"/>
    <w:rsid w:val="004D6C14"/>
    <w:rsid w:val="004D6FD8"/>
    <w:rsid w:val="004D7335"/>
    <w:rsid w:val="004D745A"/>
    <w:rsid w:val="004D7510"/>
    <w:rsid w:val="004D75C0"/>
    <w:rsid w:val="004E00C8"/>
    <w:rsid w:val="004E00F3"/>
    <w:rsid w:val="004E07F7"/>
    <w:rsid w:val="004E09AE"/>
    <w:rsid w:val="004E0F6F"/>
    <w:rsid w:val="004E1219"/>
    <w:rsid w:val="004E14B5"/>
    <w:rsid w:val="004E1771"/>
    <w:rsid w:val="004E186C"/>
    <w:rsid w:val="004E18D2"/>
    <w:rsid w:val="004E2065"/>
    <w:rsid w:val="004E2132"/>
    <w:rsid w:val="004E23BC"/>
    <w:rsid w:val="004E26A4"/>
    <w:rsid w:val="004E28A3"/>
    <w:rsid w:val="004E2D41"/>
    <w:rsid w:val="004E2E68"/>
    <w:rsid w:val="004E3366"/>
    <w:rsid w:val="004E369D"/>
    <w:rsid w:val="004E3C93"/>
    <w:rsid w:val="004E40AD"/>
    <w:rsid w:val="004E40FD"/>
    <w:rsid w:val="004E4245"/>
    <w:rsid w:val="004E4A38"/>
    <w:rsid w:val="004E59CD"/>
    <w:rsid w:val="004E5CE2"/>
    <w:rsid w:val="004E63A5"/>
    <w:rsid w:val="004E63C2"/>
    <w:rsid w:val="004E6716"/>
    <w:rsid w:val="004E6A81"/>
    <w:rsid w:val="004E7238"/>
    <w:rsid w:val="004E77BF"/>
    <w:rsid w:val="004E7869"/>
    <w:rsid w:val="004E7F8D"/>
    <w:rsid w:val="004F0281"/>
    <w:rsid w:val="004F02B2"/>
    <w:rsid w:val="004F0503"/>
    <w:rsid w:val="004F1398"/>
    <w:rsid w:val="004F17AE"/>
    <w:rsid w:val="004F19CC"/>
    <w:rsid w:val="004F1D58"/>
    <w:rsid w:val="004F215A"/>
    <w:rsid w:val="004F29FB"/>
    <w:rsid w:val="004F2B44"/>
    <w:rsid w:val="004F312D"/>
    <w:rsid w:val="004F31DA"/>
    <w:rsid w:val="004F3532"/>
    <w:rsid w:val="004F361A"/>
    <w:rsid w:val="004F3749"/>
    <w:rsid w:val="004F398D"/>
    <w:rsid w:val="004F407C"/>
    <w:rsid w:val="004F418A"/>
    <w:rsid w:val="004F4574"/>
    <w:rsid w:val="004F4663"/>
    <w:rsid w:val="004F492A"/>
    <w:rsid w:val="004F4DBB"/>
    <w:rsid w:val="004F52EA"/>
    <w:rsid w:val="004F5345"/>
    <w:rsid w:val="004F54BD"/>
    <w:rsid w:val="004F5595"/>
    <w:rsid w:val="004F587E"/>
    <w:rsid w:val="004F5905"/>
    <w:rsid w:val="004F5C6E"/>
    <w:rsid w:val="004F5CC4"/>
    <w:rsid w:val="004F5CDA"/>
    <w:rsid w:val="004F632A"/>
    <w:rsid w:val="004F65CF"/>
    <w:rsid w:val="004F6608"/>
    <w:rsid w:val="004F6A6A"/>
    <w:rsid w:val="004F72BD"/>
    <w:rsid w:val="004F72EF"/>
    <w:rsid w:val="004F7515"/>
    <w:rsid w:val="004F7705"/>
    <w:rsid w:val="004F7AE7"/>
    <w:rsid w:val="004F7E53"/>
    <w:rsid w:val="00501090"/>
    <w:rsid w:val="005013A4"/>
    <w:rsid w:val="00501599"/>
    <w:rsid w:val="00501A2C"/>
    <w:rsid w:val="00501DCF"/>
    <w:rsid w:val="00501F6C"/>
    <w:rsid w:val="0050215F"/>
    <w:rsid w:val="00502475"/>
    <w:rsid w:val="0050270A"/>
    <w:rsid w:val="005028CD"/>
    <w:rsid w:val="00502DD2"/>
    <w:rsid w:val="00502EAB"/>
    <w:rsid w:val="00502F4C"/>
    <w:rsid w:val="00503223"/>
    <w:rsid w:val="00503225"/>
    <w:rsid w:val="005039A4"/>
    <w:rsid w:val="00503A6E"/>
    <w:rsid w:val="00503A94"/>
    <w:rsid w:val="00503E6E"/>
    <w:rsid w:val="00504573"/>
    <w:rsid w:val="00505154"/>
    <w:rsid w:val="0050548F"/>
    <w:rsid w:val="0050559E"/>
    <w:rsid w:val="0050568E"/>
    <w:rsid w:val="00505834"/>
    <w:rsid w:val="0050590F"/>
    <w:rsid w:val="00505E57"/>
    <w:rsid w:val="00505F03"/>
    <w:rsid w:val="00506635"/>
    <w:rsid w:val="00506971"/>
    <w:rsid w:val="00506BD8"/>
    <w:rsid w:val="00506F26"/>
    <w:rsid w:val="0050756E"/>
    <w:rsid w:val="00507771"/>
    <w:rsid w:val="00507E14"/>
    <w:rsid w:val="005109A5"/>
    <w:rsid w:val="00510D8D"/>
    <w:rsid w:val="00510F50"/>
    <w:rsid w:val="00510F64"/>
    <w:rsid w:val="00511151"/>
    <w:rsid w:val="00511220"/>
    <w:rsid w:val="00511296"/>
    <w:rsid w:val="00511E67"/>
    <w:rsid w:val="00511FDE"/>
    <w:rsid w:val="00512A92"/>
    <w:rsid w:val="00512BE2"/>
    <w:rsid w:val="00512C6C"/>
    <w:rsid w:val="00512D72"/>
    <w:rsid w:val="00514139"/>
    <w:rsid w:val="00514182"/>
    <w:rsid w:val="005142B0"/>
    <w:rsid w:val="00514678"/>
    <w:rsid w:val="005146D7"/>
    <w:rsid w:val="00514B52"/>
    <w:rsid w:val="00514E55"/>
    <w:rsid w:val="005152AB"/>
    <w:rsid w:val="005152FD"/>
    <w:rsid w:val="00515473"/>
    <w:rsid w:val="00515C7C"/>
    <w:rsid w:val="005169AB"/>
    <w:rsid w:val="00516E39"/>
    <w:rsid w:val="00516F6D"/>
    <w:rsid w:val="005170B3"/>
    <w:rsid w:val="00517123"/>
    <w:rsid w:val="005173FB"/>
    <w:rsid w:val="00517B74"/>
    <w:rsid w:val="00517C81"/>
    <w:rsid w:val="00517F74"/>
    <w:rsid w:val="00520513"/>
    <w:rsid w:val="0052052A"/>
    <w:rsid w:val="00520B6C"/>
    <w:rsid w:val="00520BDC"/>
    <w:rsid w:val="0052166B"/>
    <w:rsid w:val="005219F2"/>
    <w:rsid w:val="00521AAB"/>
    <w:rsid w:val="005221D2"/>
    <w:rsid w:val="00522A5E"/>
    <w:rsid w:val="00523351"/>
    <w:rsid w:val="005233DA"/>
    <w:rsid w:val="0052347A"/>
    <w:rsid w:val="00523609"/>
    <w:rsid w:val="00523CB8"/>
    <w:rsid w:val="0052439E"/>
    <w:rsid w:val="005245D1"/>
    <w:rsid w:val="00524752"/>
    <w:rsid w:val="005248E7"/>
    <w:rsid w:val="00524C39"/>
    <w:rsid w:val="00525116"/>
    <w:rsid w:val="00525447"/>
    <w:rsid w:val="005255A4"/>
    <w:rsid w:val="005261DD"/>
    <w:rsid w:val="0052635B"/>
    <w:rsid w:val="00526588"/>
    <w:rsid w:val="00526A81"/>
    <w:rsid w:val="00526B5D"/>
    <w:rsid w:val="00526D71"/>
    <w:rsid w:val="0052739D"/>
    <w:rsid w:val="005276C9"/>
    <w:rsid w:val="005277BD"/>
    <w:rsid w:val="00527A0C"/>
    <w:rsid w:val="00527B3B"/>
    <w:rsid w:val="00527D32"/>
    <w:rsid w:val="00527E4A"/>
    <w:rsid w:val="005300A8"/>
    <w:rsid w:val="005300C6"/>
    <w:rsid w:val="0053036C"/>
    <w:rsid w:val="00530583"/>
    <w:rsid w:val="00530623"/>
    <w:rsid w:val="00530FDB"/>
    <w:rsid w:val="005312AD"/>
    <w:rsid w:val="005320DE"/>
    <w:rsid w:val="00532175"/>
    <w:rsid w:val="005321AB"/>
    <w:rsid w:val="00532742"/>
    <w:rsid w:val="00532934"/>
    <w:rsid w:val="00532EDE"/>
    <w:rsid w:val="00533FB4"/>
    <w:rsid w:val="00534158"/>
    <w:rsid w:val="0053436B"/>
    <w:rsid w:val="005344E6"/>
    <w:rsid w:val="00534E58"/>
    <w:rsid w:val="00535121"/>
    <w:rsid w:val="00535523"/>
    <w:rsid w:val="00535593"/>
    <w:rsid w:val="0053577C"/>
    <w:rsid w:val="00535B31"/>
    <w:rsid w:val="00535FDB"/>
    <w:rsid w:val="0053609E"/>
    <w:rsid w:val="005360F2"/>
    <w:rsid w:val="00536408"/>
    <w:rsid w:val="00536534"/>
    <w:rsid w:val="0053680B"/>
    <w:rsid w:val="00536D4B"/>
    <w:rsid w:val="005370A8"/>
    <w:rsid w:val="005371FF"/>
    <w:rsid w:val="005373C3"/>
    <w:rsid w:val="005374FF"/>
    <w:rsid w:val="00537722"/>
    <w:rsid w:val="005379DC"/>
    <w:rsid w:val="00537C48"/>
    <w:rsid w:val="00537F38"/>
    <w:rsid w:val="0054021C"/>
    <w:rsid w:val="0054066F"/>
    <w:rsid w:val="0054081A"/>
    <w:rsid w:val="00541413"/>
    <w:rsid w:val="005414D8"/>
    <w:rsid w:val="005416E4"/>
    <w:rsid w:val="00541D68"/>
    <w:rsid w:val="00542D92"/>
    <w:rsid w:val="00543424"/>
    <w:rsid w:val="00543534"/>
    <w:rsid w:val="00543CB9"/>
    <w:rsid w:val="00543DF3"/>
    <w:rsid w:val="00543E77"/>
    <w:rsid w:val="00543E9A"/>
    <w:rsid w:val="00543ED2"/>
    <w:rsid w:val="00544066"/>
    <w:rsid w:val="0054417B"/>
    <w:rsid w:val="00544601"/>
    <w:rsid w:val="00545024"/>
    <w:rsid w:val="005452EF"/>
    <w:rsid w:val="00545BDD"/>
    <w:rsid w:val="00545C16"/>
    <w:rsid w:val="00545CDD"/>
    <w:rsid w:val="00545E15"/>
    <w:rsid w:val="00545E42"/>
    <w:rsid w:val="00546052"/>
    <w:rsid w:val="0054659C"/>
    <w:rsid w:val="0054668A"/>
    <w:rsid w:val="00546BA8"/>
    <w:rsid w:val="00547549"/>
    <w:rsid w:val="0054757E"/>
    <w:rsid w:val="005475D6"/>
    <w:rsid w:val="00547CBD"/>
    <w:rsid w:val="00547DD7"/>
    <w:rsid w:val="00547FCC"/>
    <w:rsid w:val="0055084B"/>
    <w:rsid w:val="00550C5E"/>
    <w:rsid w:val="00550DA7"/>
    <w:rsid w:val="00551173"/>
    <w:rsid w:val="005511F6"/>
    <w:rsid w:val="00551B00"/>
    <w:rsid w:val="00552955"/>
    <w:rsid w:val="00552D19"/>
    <w:rsid w:val="00553666"/>
    <w:rsid w:val="005539D4"/>
    <w:rsid w:val="00553EFC"/>
    <w:rsid w:val="00554151"/>
    <w:rsid w:val="0055467B"/>
    <w:rsid w:val="00554B26"/>
    <w:rsid w:val="00554B8B"/>
    <w:rsid w:val="0055511E"/>
    <w:rsid w:val="0055541A"/>
    <w:rsid w:val="005555A1"/>
    <w:rsid w:val="0055591C"/>
    <w:rsid w:val="005563CF"/>
    <w:rsid w:val="00556C94"/>
    <w:rsid w:val="005571BE"/>
    <w:rsid w:val="005576BA"/>
    <w:rsid w:val="00557FD6"/>
    <w:rsid w:val="005612C7"/>
    <w:rsid w:val="005613AB"/>
    <w:rsid w:val="00561923"/>
    <w:rsid w:val="00561CE1"/>
    <w:rsid w:val="00562477"/>
    <w:rsid w:val="0056254C"/>
    <w:rsid w:val="005626BC"/>
    <w:rsid w:val="005630D2"/>
    <w:rsid w:val="005632E8"/>
    <w:rsid w:val="00563379"/>
    <w:rsid w:val="00563C7C"/>
    <w:rsid w:val="00563D1C"/>
    <w:rsid w:val="00563E84"/>
    <w:rsid w:val="00563EC9"/>
    <w:rsid w:val="0056403D"/>
    <w:rsid w:val="005646A5"/>
    <w:rsid w:val="00564FF0"/>
    <w:rsid w:val="005651DF"/>
    <w:rsid w:val="005655C5"/>
    <w:rsid w:val="00565AAE"/>
    <w:rsid w:val="00565BD2"/>
    <w:rsid w:val="00565CA5"/>
    <w:rsid w:val="00566094"/>
    <w:rsid w:val="0056620D"/>
    <w:rsid w:val="00566917"/>
    <w:rsid w:val="00566E7B"/>
    <w:rsid w:val="00567632"/>
    <w:rsid w:val="00567D17"/>
    <w:rsid w:val="005705BA"/>
    <w:rsid w:val="005707F9"/>
    <w:rsid w:val="00570B44"/>
    <w:rsid w:val="00570B97"/>
    <w:rsid w:val="00570B9F"/>
    <w:rsid w:val="00570D7D"/>
    <w:rsid w:val="0057182B"/>
    <w:rsid w:val="00571921"/>
    <w:rsid w:val="00571A00"/>
    <w:rsid w:val="00571DBD"/>
    <w:rsid w:val="005723C0"/>
    <w:rsid w:val="00572B95"/>
    <w:rsid w:val="00572CDA"/>
    <w:rsid w:val="00572D2A"/>
    <w:rsid w:val="00573368"/>
    <w:rsid w:val="00573833"/>
    <w:rsid w:val="0057426D"/>
    <w:rsid w:val="0057494A"/>
    <w:rsid w:val="005749BA"/>
    <w:rsid w:val="00574C27"/>
    <w:rsid w:val="00574EE5"/>
    <w:rsid w:val="005751CB"/>
    <w:rsid w:val="00575333"/>
    <w:rsid w:val="00575682"/>
    <w:rsid w:val="005757E7"/>
    <w:rsid w:val="00575854"/>
    <w:rsid w:val="005759AC"/>
    <w:rsid w:val="005759D3"/>
    <w:rsid w:val="00575B87"/>
    <w:rsid w:val="00575D22"/>
    <w:rsid w:val="00576290"/>
    <w:rsid w:val="00576C47"/>
    <w:rsid w:val="00576FC2"/>
    <w:rsid w:val="00577163"/>
    <w:rsid w:val="005776A6"/>
    <w:rsid w:val="00577D99"/>
    <w:rsid w:val="00577E56"/>
    <w:rsid w:val="00580027"/>
    <w:rsid w:val="00580698"/>
    <w:rsid w:val="0058080F"/>
    <w:rsid w:val="00580B85"/>
    <w:rsid w:val="005810E9"/>
    <w:rsid w:val="00581508"/>
    <w:rsid w:val="0058158C"/>
    <w:rsid w:val="00581703"/>
    <w:rsid w:val="00581905"/>
    <w:rsid w:val="00581AA8"/>
    <w:rsid w:val="00581C1E"/>
    <w:rsid w:val="0058221E"/>
    <w:rsid w:val="0058272B"/>
    <w:rsid w:val="00582A69"/>
    <w:rsid w:val="00582DC1"/>
    <w:rsid w:val="005831FA"/>
    <w:rsid w:val="005834DD"/>
    <w:rsid w:val="00583A6E"/>
    <w:rsid w:val="00583AE1"/>
    <w:rsid w:val="00584086"/>
    <w:rsid w:val="0058433B"/>
    <w:rsid w:val="00584377"/>
    <w:rsid w:val="0058562A"/>
    <w:rsid w:val="00585B49"/>
    <w:rsid w:val="00585C54"/>
    <w:rsid w:val="00586444"/>
    <w:rsid w:val="00586994"/>
    <w:rsid w:val="00586B2F"/>
    <w:rsid w:val="00586F3B"/>
    <w:rsid w:val="00586F8A"/>
    <w:rsid w:val="005877DD"/>
    <w:rsid w:val="00587C2D"/>
    <w:rsid w:val="00587D5D"/>
    <w:rsid w:val="00587F3A"/>
    <w:rsid w:val="00587F4D"/>
    <w:rsid w:val="00590272"/>
    <w:rsid w:val="005906A3"/>
    <w:rsid w:val="00590B07"/>
    <w:rsid w:val="00590F5E"/>
    <w:rsid w:val="0059103E"/>
    <w:rsid w:val="005910D0"/>
    <w:rsid w:val="005913AF"/>
    <w:rsid w:val="005913EB"/>
    <w:rsid w:val="005919CF"/>
    <w:rsid w:val="00592613"/>
    <w:rsid w:val="0059292E"/>
    <w:rsid w:val="00592CE0"/>
    <w:rsid w:val="005933E9"/>
    <w:rsid w:val="00593735"/>
    <w:rsid w:val="0059391A"/>
    <w:rsid w:val="00593958"/>
    <w:rsid w:val="00593C83"/>
    <w:rsid w:val="005945E7"/>
    <w:rsid w:val="00594618"/>
    <w:rsid w:val="005947FA"/>
    <w:rsid w:val="00594CE1"/>
    <w:rsid w:val="0059549E"/>
    <w:rsid w:val="005954F6"/>
    <w:rsid w:val="005959ED"/>
    <w:rsid w:val="00595C6A"/>
    <w:rsid w:val="00595E6C"/>
    <w:rsid w:val="00595E96"/>
    <w:rsid w:val="0059672C"/>
    <w:rsid w:val="00596C56"/>
    <w:rsid w:val="005972AA"/>
    <w:rsid w:val="00597316"/>
    <w:rsid w:val="005A0728"/>
    <w:rsid w:val="005A08B8"/>
    <w:rsid w:val="005A0D6E"/>
    <w:rsid w:val="005A0F84"/>
    <w:rsid w:val="005A1A3E"/>
    <w:rsid w:val="005A2001"/>
    <w:rsid w:val="005A20DA"/>
    <w:rsid w:val="005A2109"/>
    <w:rsid w:val="005A2175"/>
    <w:rsid w:val="005A26D6"/>
    <w:rsid w:val="005A2CC7"/>
    <w:rsid w:val="005A2EE8"/>
    <w:rsid w:val="005A2F0C"/>
    <w:rsid w:val="005A30DB"/>
    <w:rsid w:val="005A336C"/>
    <w:rsid w:val="005A3792"/>
    <w:rsid w:val="005A3F4B"/>
    <w:rsid w:val="005A3FF4"/>
    <w:rsid w:val="005A4423"/>
    <w:rsid w:val="005A45A6"/>
    <w:rsid w:val="005A48CF"/>
    <w:rsid w:val="005A4A5A"/>
    <w:rsid w:val="005A4B2C"/>
    <w:rsid w:val="005A54C4"/>
    <w:rsid w:val="005A5544"/>
    <w:rsid w:val="005A5B72"/>
    <w:rsid w:val="005A603E"/>
    <w:rsid w:val="005A66E6"/>
    <w:rsid w:val="005A6797"/>
    <w:rsid w:val="005A6A9D"/>
    <w:rsid w:val="005A6B36"/>
    <w:rsid w:val="005A6FCA"/>
    <w:rsid w:val="005A76BA"/>
    <w:rsid w:val="005A78E6"/>
    <w:rsid w:val="005A7F45"/>
    <w:rsid w:val="005B0289"/>
    <w:rsid w:val="005B030B"/>
    <w:rsid w:val="005B043F"/>
    <w:rsid w:val="005B0AD3"/>
    <w:rsid w:val="005B0F84"/>
    <w:rsid w:val="005B0FEF"/>
    <w:rsid w:val="005B19CB"/>
    <w:rsid w:val="005B1A3C"/>
    <w:rsid w:val="005B1ACF"/>
    <w:rsid w:val="005B1EB1"/>
    <w:rsid w:val="005B234D"/>
    <w:rsid w:val="005B24B8"/>
    <w:rsid w:val="005B27ED"/>
    <w:rsid w:val="005B2C4F"/>
    <w:rsid w:val="005B2DBA"/>
    <w:rsid w:val="005B2E8D"/>
    <w:rsid w:val="005B2EC9"/>
    <w:rsid w:val="005B2FBF"/>
    <w:rsid w:val="005B305A"/>
    <w:rsid w:val="005B3CD8"/>
    <w:rsid w:val="005B3D26"/>
    <w:rsid w:val="005B3E01"/>
    <w:rsid w:val="005B47AB"/>
    <w:rsid w:val="005B47CF"/>
    <w:rsid w:val="005B4A4E"/>
    <w:rsid w:val="005B4B5D"/>
    <w:rsid w:val="005B4BAC"/>
    <w:rsid w:val="005B4C1C"/>
    <w:rsid w:val="005B52D6"/>
    <w:rsid w:val="005B5321"/>
    <w:rsid w:val="005B5625"/>
    <w:rsid w:val="005B5CD3"/>
    <w:rsid w:val="005B6712"/>
    <w:rsid w:val="005B674D"/>
    <w:rsid w:val="005B68C5"/>
    <w:rsid w:val="005B6964"/>
    <w:rsid w:val="005B6E3D"/>
    <w:rsid w:val="005B71E7"/>
    <w:rsid w:val="005B746C"/>
    <w:rsid w:val="005B74E7"/>
    <w:rsid w:val="005B75BC"/>
    <w:rsid w:val="005B7953"/>
    <w:rsid w:val="005B7B37"/>
    <w:rsid w:val="005B7B3E"/>
    <w:rsid w:val="005B7CDE"/>
    <w:rsid w:val="005C0764"/>
    <w:rsid w:val="005C0AC3"/>
    <w:rsid w:val="005C0B23"/>
    <w:rsid w:val="005C0BF7"/>
    <w:rsid w:val="005C14E2"/>
    <w:rsid w:val="005C15B4"/>
    <w:rsid w:val="005C1C35"/>
    <w:rsid w:val="005C1E8C"/>
    <w:rsid w:val="005C2346"/>
    <w:rsid w:val="005C2BA9"/>
    <w:rsid w:val="005C2F3F"/>
    <w:rsid w:val="005C2FCB"/>
    <w:rsid w:val="005C3CED"/>
    <w:rsid w:val="005C3D8A"/>
    <w:rsid w:val="005C491E"/>
    <w:rsid w:val="005C5793"/>
    <w:rsid w:val="005C58F2"/>
    <w:rsid w:val="005C5C13"/>
    <w:rsid w:val="005C61AA"/>
    <w:rsid w:val="005C6504"/>
    <w:rsid w:val="005C6E72"/>
    <w:rsid w:val="005C6EEF"/>
    <w:rsid w:val="005C78B4"/>
    <w:rsid w:val="005C7A87"/>
    <w:rsid w:val="005D04F9"/>
    <w:rsid w:val="005D1A43"/>
    <w:rsid w:val="005D1D90"/>
    <w:rsid w:val="005D1FEA"/>
    <w:rsid w:val="005D21FB"/>
    <w:rsid w:val="005D236B"/>
    <w:rsid w:val="005D237E"/>
    <w:rsid w:val="005D23F6"/>
    <w:rsid w:val="005D254A"/>
    <w:rsid w:val="005D2C94"/>
    <w:rsid w:val="005D32B3"/>
    <w:rsid w:val="005D3802"/>
    <w:rsid w:val="005D392D"/>
    <w:rsid w:val="005D3C14"/>
    <w:rsid w:val="005D40FB"/>
    <w:rsid w:val="005D4A49"/>
    <w:rsid w:val="005D4E6E"/>
    <w:rsid w:val="005D4FB8"/>
    <w:rsid w:val="005D5106"/>
    <w:rsid w:val="005D52F2"/>
    <w:rsid w:val="005D55C0"/>
    <w:rsid w:val="005D5908"/>
    <w:rsid w:val="005D6294"/>
    <w:rsid w:val="005D650C"/>
    <w:rsid w:val="005D6D7E"/>
    <w:rsid w:val="005D7180"/>
    <w:rsid w:val="005D72DD"/>
    <w:rsid w:val="005D76C7"/>
    <w:rsid w:val="005D7D70"/>
    <w:rsid w:val="005D7DD3"/>
    <w:rsid w:val="005E0159"/>
    <w:rsid w:val="005E020B"/>
    <w:rsid w:val="005E039D"/>
    <w:rsid w:val="005E08D3"/>
    <w:rsid w:val="005E0AFB"/>
    <w:rsid w:val="005E0EAD"/>
    <w:rsid w:val="005E16A0"/>
    <w:rsid w:val="005E1AF8"/>
    <w:rsid w:val="005E1ED8"/>
    <w:rsid w:val="005E2022"/>
    <w:rsid w:val="005E2344"/>
    <w:rsid w:val="005E2439"/>
    <w:rsid w:val="005E246F"/>
    <w:rsid w:val="005E29B5"/>
    <w:rsid w:val="005E2BE7"/>
    <w:rsid w:val="005E2C2C"/>
    <w:rsid w:val="005E324B"/>
    <w:rsid w:val="005E3336"/>
    <w:rsid w:val="005E3E6A"/>
    <w:rsid w:val="005E4317"/>
    <w:rsid w:val="005E4492"/>
    <w:rsid w:val="005E4DC7"/>
    <w:rsid w:val="005E4F3F"/>
    <w:rsid w:val="005E5424"/>
    <w:rsid w:val="005E5628"/>
    <w:rsid w:val="005E5644"/>
    <w:rsid w:val="005E5B08"/>
    <w:rsid w:val="005E5D3F"/>
    <w:rsid w:val="005E5F8B"/>
    <w:rsid w:val="005E63F9"/>
    <w:rsid w:val="005E6508"/>
    <w:rsid w:val="005E6594"/>
    <w:rsid w:val="005E681A"/>
    <w:rsid w:val="005E68F3"/>
    <w:rsid w:val="005E6936"/>
    <w:rsid w:val="005E6B35"/>
    <w:rsid w:val="005E6F4A"/>
    <w:rsid w:val="005E7193"/>
    <w:rsid w:val="005E74B2"/>
    <w:rsid w:val="005E77B8"/>
    <w:rsid w:val="005E77EA"/>
    <w:rsid w:val="005E789A"/>
    <w:rsid w:val="005E7B67"/>
    <w:rsid w:val="005F0075"/>
    <w:rsid w:val="005F00F6"/>
    <w:rsid w:val="005F05D1"/>
    <w:rsid w:val="005F0982"/>
    <w:rsid w:val="005F0E9C"/>
    <w:rsid w:val="005F1FA8"/>
    <w:rsid w:val="005F27EA"/>
    <w:rsid w:val="005F27FD"/>
    <w:rsid w:val="005F29CA"/>
    <w:rsid w:val="005F2F6D"/>
    <w:rsid w:val="005F38E5"/>
    <w:rsid w:val="005F3A8E"/>
    <w:rsid w:val="005F47ED"/>
    <w:rsid w:val="005F4CB2"/>
    <w:rsid w:val="005F510F"/>
    <w:rsid w:val="005F525F"/>
    <w:rsid w:val="005F5B6E"/>
    <w:rsid w:val="005F5D4E"/>
    <w:rsid w:val="005F6334"/>
    <w:rsid w:val="005F65E8"/>
    <w:rsid w:val="005F6880"/>
    <w:rsid w:val="005F740A"/>
    <w:rsid w:val="005F76D4"/>
    <w:rsid w:val="005F7A77"/>
    <w:rsid w:val="005F7C3F"/>
    <w:rsid w:val="005F7D63"/>
    <w:rsid w:val="005F7E48"/>
    <w:rsid w:val="005F7ECB"/>
    <w:rsid w:val="006001D5"/>
    <w:rsid w:val="00601630"/>
    <w:rsid w:val="006016A3"/>
    <w:rsid w:val="0060182B"/>
    <w:rsid w:val="00601B78"/>
    <w:rsid w:val="00601D71"/>
    <w:rsid w:val="00602795"/>
    <w:rsid w:val="00603330"/>
    <w:rsid w:val="00603794"/>
    <w:rsid w:val="00603C37"/>
    <w:rsid w:val="00603EB2"/>
    <w:rsid w:val="006044F7"/>
    <w:rsid w:val="00604A38"/>
    <w:rsid w:val="00604AFC"/>
    <w:rsid w:val="006054B9"/>
    <w:rsid w:val="0060556F"/>
    <w:rsid w:val="0060582D"/>
    <w:rsid w:val="00605B39"/>
    <w:rsid w:val="00606718"/>
    <w:rsid w:val="00606B01"/>
    <w:rsid w:val="00606D85"/>
    <w:rsid w:val="006072E1"/>
    <w:rsid w:val="0060747C"/>
    <w:rsid w:val="006077DF"/>
    <w:rsid w:val="00607ABE"/>
    <w:rsid w:val="00607D0F"/>
    <w:rsid w:val="00607D3E"/>
    <w:rsid w:val="00607DEF"/>
    <w:rsid w:val="00607EA2"/>
    <w:rsid w:val="00607F43"/>
    <w:rsid w:val="00607FCD"/>
    <w:rsid w:val="006102EB"/>
    <w:rsid w:val="006123D2"/>
    <w:rsid w:val="006124A5"/>
    <w:rsid w:val="006132D6"/>
    <w:rsid w:val="006135FD"/>
    <w:rsid w:val="0061365D"/>
    <w:rsid w:val="00613A3D"/>
    <w:rsid w:val="00614269"/>
    <w:rsid w:val="0061492E"/>
    <w:rsid w:val="00614B17"/>
    <w:rsid w:val="00615091"/>
    <w:rsid w:val="006152E6"/>
    <w:rsid w:val="00615558"/>
    <w:rsid w:val="00615A9D"/>
    <w:rsid w:val="00615ADC"/>
    <w:rsid w:val="00615AE0"/>
    <w:rsid w:val="006164C6"/>
    <w:rsid w:val="006168A9"/>
    <w:rsid w:val="006170D8"/>
    <w:rsid w:val="00617241"/>
    <w:rsid w:val="00617BD0"/>
    <w:rsid w:val="00620620"/>
    <w:rsid w:val="0062116E"/>
    <w:rsid w:val="006218C1"/>
    <w:rsid w:val="00621FCA"/>
    <w:rsid w:val="0062228A"/>
    <w:rsid w:val="006222FA"/>
    <w:rsid w:val="00622A55"/>
    <w:rsid w:val="00622BA0"/>
    <w:rsid w:val="00623179"/>
    <w:rsid w:val="00623233"/>
    <w:rsid w:val="00623322"/>
    <w:rsid w:val="00623992"/>
    <w:rsid w:val="00623C01"/>
    <w:rsid w:val="0062415B"/>
    <w:rsid w:val="00624195"/>
    <w:rsid w:val="00624A3D"/>
    <w:rsid w:val="00624C43"/>
    <w:rsid w:val="006253FB"/>
    <w:rsid w:val="00626195"/>
    <w:rsid w:val="006265BD"/>
    <w:rsid w:val="006265E3"/>
    <w:rsid w:val="0062700E"/>
    <w:rsid w:val="00627059"/>
    <w:rsid w:val="00627DEC"/>
    <w:rsid w:val="006301CC"/>
    <w:rsid w:val="006305D3"/>
    <w:rsid w:val="006305FB"/>
    <w:rsid w:val="00630C3F"/>
    <w:rsid w:val="006310BA"/>
    <w:rsid w:val="006312E0"/>
    <w:rsid w:val="00631B6C"/>
    <w:rsid w:val="00631F10"/>
    <w:rsid w:val="0063206E"/>
    <w:rsid w:val="00632ACE"/>
    <w:rsid w:val="0063317F"/>
    <w:rsid w:val="0063335D"/>
    <w:rsid w:val="00633852"/>
    <w:rsid w:val="006340BA"/>
    <w:rsid w:val="0063458D"/>
    <w:rsid w:val="00634731"/>
    <w:rsid w:val="006348C8"/>
    <w:rsid w:val="006348E1"/>
    <w:rsid w:val="00634ABF"/>
    <w:rsid w:val="006357CA"/>
    <w:rsid w:val="00635A59"/>
    <w:rsid w:val="00635CE5"/>
    <w:rsid w:val="00635F08"/>
    <w:rsid w:val="00636269"/>
    <w:rsid w:val="00636CB5"/>
    <w:rsid w:val="00637011"/>
    <w:rsid w:val="00637401"/>
    <w:rsid w:val="00637402"/>
    <w:rsid w:val="00637941"/>
    <w:rsid w:val="00640096"/>
    <w:rsid w:val="00640237"/>
    <w:rsid w:val="006405A7"/>
    <w:rsid w:val="0064096F"/>
    <w:rsid w:val="00640A85"/>
    <w:rsid w:val="0064103F"/>
    <w:rsid w:val="0064107B"/>
    <w:rsid w:val="00641533"/>
    <w:rsid w:val="006416A1"/>
    <w:rsid w:val="00641DCC"/>
    <w:rsid w:val="00641E5C"/>
    <w:rsid w:val="00641FC6"/>
    <w:rsid w:val="00642166"/>
    <w:rsid w:val="00642601"/>
    <w:rsid w:val="00642856"/>
    <w:rsid w:val="0064289E"/>
    <w:rsid w:val="00642B0D"/>
    <w:rsid w:val="00642D89"/>
    <w:rsid w:val="00642F27"/>
    <w:rsid w:val="0064316B"/>
    <w:rsid w:val="00643278"/>
    <w:rsid w:val="006432B4"/>
    <w:rsid w:val="006435CF"/>
    <w:rsid w:val="006440D3"/>
    <w:rsid w:val="0064458B"/>
    <w:rsid w:val="006445D5"/>
    <w:rsid w:val="00644D35"/>
    <w:rsid w:val="00645589"/>
    <w:rsid w:val="006466BC"/>
    <w:rsid w:val="00646916"/>
    <w:rsid w:val="00646B4D"/>
    <w:rsid w:val="00646C47"/>
    <w:rsid w:val="00647531"/>
    <w:rsid w:val="00647626"/>
    <w:rsid w:val="00647752"/>
    <w:rsid w:val="006477DA"/>
    <w:rsid w:val="00647AC0"/>
    <w:rsid w:val="00647E2E"/>
    <w:rsid w:val="006506E4"/>
    <w:rsid w:val="006508D8"/>
    <w:rsid w:val="00650915"/>
    <w:rsid w:val="00650ADD"/>
    <w:rsid w:val="00650FBE"/>
    <w:rsid w:val="006513E3"/>
    <w:rsid w:val="00651F00"/>
    <w:rsid w:val="006525F0"/>
    <w:rsid w:val="00652774"/>
    <w:rsid w:val="006533EA"/>
    <w:rsid w:val="00653611"/>
    <w:rsid w:val="00653615"/>
    <w:rsid w:val="006537EE"/>
    <w:rsid w:val="00654105"/>
    <w:rsid w:val="00654137"/>
    <w:rsid w:val="006544A7"/>
    <w:rsid w:val="0065477F"/>
    <w:rsid w:val="0065512C"/>
    <w:rsid w:val="0065536D"/>
    <w:rsid w:val="00655597"/>
    <w:rsid w:val="00655DD7"/>
    <w:rsid w:val="00655E1F"/>
    <w:rsid w:val="00656513"/>
    <w:rsid w:val="0065680D"/>
    <w:rsid w:val="00656D80"/>
    <w:rsid w:val="006579E2"/>
    <w:rsid w:val="006579FE"/>
    <w:rsid w:val="00657A4F"/>
    <w:rsid w:val="00657C18"/>
    <w:rsid w:val="00657DF3"/>
    <w:rsid w:val="00660025"/>
    <w:rsid w:val="00660380"/>
    <w:rsid w:val="00660C04"/>
    <w:rsid w:val="00660C6E"/>
    <w:rsid w:val="006612B1"/>
    <w:rsid w:val="006616F1"/>
    <w:rsid w:val="00662524"/>
    <w:rsid w:val="0066277E"/>
    <w:rsid w:val="006628FD"/>
    <w:rsid w:val="00662C24"/>
    <w:rsid w:val="00662F28"/>
    <w:rsid w:val="00663870"/>
    <w:rsid w:val="00663CC1"/>
    <w:rsid w:val="00663F46"/>
    <w:rsid w:val="0066448E"/>
    <w:rsid w:val="00664B49"/>
    <w:rsid w:val="00664DD2"/>
    <w:rsid w:val="006655D6"/>
    <w:rsid w:val="00665AF7"/>
    <w:rsid w:val="00665D98"/>
    <w:rsid w:val="00666132"/>
    <w:rsid w:val="0066637B"/>
    <w:rsid w:val="006665B3"/>
    <w:rsid w:val="00666A1E"/>
    <w:rsid w:val="00666C1D"/>
    <w:rsid w:val="006677C7"/>
    <w:rsid w:val="00667A52"/>
    <w:rsid w:val="00667A5D"/>
    <w:rsid w:val="00667B60"/>
    <w:rsid w:val="00667BFA"/>
    <w:rsid w:val="00667EA1"/>
    <w:rsid w:val="0067017A"/>
    <w:rsid w:val="0067018F"/>
    <w:rsid w:val="0067024B"/>
    <w:rsid w:val="0067043D"/>
    <w:rsid w:val="00671239"/>
    <w:rsid w:val="006714D4"/>
    <w:rsid w:val="006718D1"/>
    <w:rsid w:val="00671C27"/>
    <w:rsid w:val="00672486"/>
    <w:rsid w:val="006727D1"/>
    <w:rsid w:val="00672A6B"/>
    <w:rsid w:val="00672C85"/>
    <w:rsid w:val="00672CF1"/>
    <w:rsid w:val="00673334"/>
    <w:rsid w:val="00673C31"/>
    <w:rsid w:val="00674EEF"/>
    <w:rsid w:val="006750B0"/>
    <w:rsid w:val="00675A4D"/>
    <w:rsid w:val="00675CBE"/>
    <w:rsid w:val="00675DAF"/>
    <w:rsid w:val="00676335"/>
    <w:rsid w:val="006764DA"/>
    <w:rsid w:val="00676873"/>
    <w:rsid w:val="00676AC0"/>
    <w:rsid w:val="00677179"/>
    <w:rsid w:val="00677568"/>
    <w:rsid w:val="006776F6"/>
    <w:rsid w:val="00677CAD"/>
    <w:rsid w:val="006805F2"/>
    <w:rsid w:val="0068086C"/>
    <w:rsid w:val="00680A1B"/>
    <w:rsid w:val="006816B2"/>
    <w:rsid w:val="00681783"/>
    <w:rsid w:val="00681DEC"/>
    <w:rsid w:val="00681ECD"/>
    <w:rsid w:val="00682500"/>
    <w:rsid w:val="00682540"/>
    <w:rsid w:val="006829C1"/>
    <w:rsid w:val="00682C5B"/>
    <w:rsid w:val="00683485"/>
    <w:rsid w:val="006834FB"/>
    <w:rsid w:val="00683837"/>
    <w:rsid w:val="0068447A"/>
    <w:rsid w:val="00684574"/>
    <w:rsid w:val="006845CA"/>
    <w:rsid w:val="006849F5"/>
    <w:rsid w:val="00684A57"/>
    <w:rsid w:val="00684A82"/>
    <w:rsid w:val="0068561D"/>
    <w:rsid w:val="0068676F"/>
    <w:rsid w:val="006867A6"/>
    <w:rsid w:val="00686838"/>
    <w:rsid w:val="00687467"/>
    <w:rsid w:val="00687540"/>
    <w:rsid w:val="0068792C"/>
    <w:rsid w:val="006879F7"/>
    <w:rsid w:val="00687C23"/>
    <w:rsid w:val="00687DE0"/>
    <w:rsid w:val="00687E4E"/>
    <w:rsid w:val="00690023"/>
    <w:rsid w:val="006902CE"/>
    <w:rsid w:val="006902EA"/>
    <w:rsid w:val="00690A32"/>
    <w:rsid w:val="00690A88"/>
    <w:rsid w:val="006916EF"/>
    <w:rsid w:val="00691830"/>
    <w:rsid w:val="006918F6"/>
    <w:rsid w:val="00691FB4"/>
    <w:rsid w:val="00692015"/>
    <w:rsid w:val="00692470"/>
    <w:rsid w:val="00692535"/>
    <w:rsid w:val="006927BA"/>
    <w:rsid w:val="006928BD"/>
    <w:rsid w:val="006929DC"/>
    <w:rsid w:val="00692D74"/>
    <w:rsid w:val="006933A9"/>
    <w:rsid w:val="0069343D"/>
    <w:rsid w:val="0069351C"/>
    <w:rsid w:val="00693B55"/>
    <w:rsid w:val="00694313"/>
    <w:rsid w:val="006947F9"/>
    <w:rsid w:val="00694842"/>
    <w:rsid w:val="00694B43"/>
    <w:rsid w:val="0069518E"/>
    <w:rsid w:val="0069523F"/>
    <w:rsid w:val="0069531D"/>
    <w:rsid w:val="00695595"/>
    <w:rsid w:val="00695907"/>
    <w:rsid w:val="00695E3D"/>
    <w:rsid w:val="0069613A"/>
    <w:rsid w:val="0069640E"/>
    <w:rsid w:val="00696897"/>
    <w:rsid w:val="00696A4F"/>
    <w:rsid w:val="00696A59"/>
    <w:rsid w:val="00696EA5"/>
    <w:rsid w:val="00697EE6"/>
    <w:rsid w:val="006A04FE"/>
    <w:rsid w:val="006A0D69"/>
    <w:rsid w:val="006A13CD"/>
    <w:rsid w:val="006A141E"/>
    <w:rsid w:val="006A1977"/>
    <w:rsid w:val="006A1E2B"/>
    <w:rsid w:val="006A2356"/>
    <w:rsid w:val="006A297D"/>
    <w:rsid w:val="006A2AD3"/>
    <w:rsid w:val="006A39AB"/>
    <w:rsid w:val="006A3CC5"/>
    <w:rsid w:val="006A458C"/>
    <w:rsid w:val="006A4690"/>
    <w:rsid w:val="006A4B30"/>
    <w:rsid w:val="006A4BA1"/>
    <w:rsid w:val="006A4D70"/>
    <w:rsid w:val="006A514B"/>
    <w:rsid w:val="006A532A"/>
    <w:rsid w:val="006A5578"/>
    <w:rsid w:val="006A5865"/>
    <w:rsid w:val="006A5C12"/>
    <w:rsid w:val="006A5DB7"/>
    <w:rsid w:val="006A6106"/>
    <w:rsid w:val="006A649E"/>
    <w:rsid w:val="006A663E"/>
    <w:rsid w:val="006A67A0"/>
    <w:rsid w:val="006A6AAB"/>
    <w:rsid w:val="006A6F06"/>
    <w:rsid w:val="006A712D"/>
    <w:rsid w:val="006A7767"/>
    <w:rsid w:val="006A7787"/>
    <w:rsid w:val="006A786A"/>
    <w:rsid w:val="006B0688"/>
    <w:rsid w:val="006B0995"/>
    <w:rsid w:val="006B0B43"/>
    <w:rsid w:val="006B0E5A"/>
    <w:rsid w:val="006B1675"/>
    <w:rsid w:val="006B16D9"/>
    <w:rsid w:val="006B18ED"/>
    <w:rsid w:val="006B1A34"/>
    <w:rsid w:val="006B1CDC"/>
    <w:rsid w:val="006B28AB"/>
    <w:rsid w:val="006B33F5"/>
    <w:rsid w:val="006B3691"/>
    <w:rsid w:val="006B399B"/>
    <w:rsid w:val="006B3F6C"/>
    <w:rsid w:val="006B48BF"/>
    <w:rsid w:val="006B4AB2"/>
    <w:rsid w:val="006B52E9"/>
    <w:rsid w:val="006B5A0D"/>
    <w:rsid w:val="006B5EB0"/>
    <w:rsid w:val="006B6376"/>
    <w:rsid w:val="006B6A2B"/>
    <w:rsid w:val="006B6E9E"/>
    <w:rsid w:val="006B6FAA"/>
    <w:rsid w:val="006B7CBA"/>
    <w:rsid w:val="006B7CE8"/>
    <w:rsid w:val="006B7E2C"/>
    <w:rsid w:val="006C16F7"/>
    <w:rsid w:val="006C1943"/>
    <w:rsid w:val="006C1D26"/>
    <w:rsid w:val="006C1E13"/>
    <w:rsid w:val="006C2072"/>
    <w:rsid w:val="006C224D"/>
    <w:rsid w:val="006C24C6"/>
    <w:rsid w:val="006C29F7"/>
    <w:rsid w:val="006C2A78"/>
    <w:rsid w:val="006C2D60"/>
    <w:rsid w:val="006C2F28"/>
    <w:rsid w:val="006C30D5"/>
    <w:rsid w:val="006C317F"/>
    <w:rsid w:val="006C3DF6"/>
    <w:rsid w:val="006C3EC7"/>
    <w:rsid w:val="006C46F3"/>
    <w:rsid w:val="006C4977"/>
    <w:rsid w:val="006C4D85"/>
    <w:rsid w:val="006C505F"/>
    <w:rsid w:val="006C5471"/>
    <w:rsid w:val="006C5640"/>
    <w:rsid w:val="006C56ED"/>
    <w:rsid w:val="006C587D"/>
    <w:rsid w:val="006C5A00"/>
    <w:rsid w:val="006C5D06"/>
    <w:rsid w:val="006C5FCC"/>
    <w:rsid w:val="006C6975"/>
    <w:rsid w:val="006C6A9F"/>
    <w:rsid w:val="006C6C58"/>
    <w:rsid w:val="006C7657"/>
    <w:rsid w:val="006C76F3"/>
    <w:rsid w:val="006C7B3E"/>
    <w:rsid w:val="006D01A8"/>
    <w:rsid w:val="006D0AEA"/>
    <w:rsid w:val="006D0CAF"/>
    <w:rsid w:val="006D0F44"/>
    <w:rsid w:val="006D1736"/>
    <w:rsid w:val="006D176A"/>
    <w:rsid w:val="006D1E8F"/>
    <w:rsid w:val="006D1F2D"/>
    <w:rsid w:val="006D1F46"/>
    <w:rsid w:val="006D22AF"/>
    <w:rsid w:val="006D22C6"/>
    <w:rsid w:val="006D29BE"/>
    <w:rsid w:val="006D327D"/>
    <w:rsid w:val="006D3C6A"/>
    <w:rsid w:val="006D3DBD"/>
    <w:rsid w:val="006D41FC"/>
    <w:rsid w:val="006D4287"/>
    <w:rsid w:val="006D49BB"/>
    <w:rsid w:val="006D4C6F"/>
    <w:rsid w:val="006D4D4C"/>
    <w:rsid w:val="006D5425"/>
    <w:rsid w:val="006D563F"/>
    <w:rsid w:val="006D572F"/>
    <w:rsid w:val="006D5A9F"/>
    <w:rsid w:val="006D5D76"/>
    <w:rsid w:val="006D6086"/>
    <w:rsid w:val="006D62A9"/>
    <w:rsid w:val="006D662D"/>
    <w:rsid w:val="006D693C"/>
    <w:rsid w:val="006D6953"/>
    <w:rsid w:val="006D6A2D"/>
    <w:rsid w:val="006D6B54"/>
    <w:rsid w:val="006D6D4A"/>
    <w:rsid w:val="006D6F41"/>
    <w:rsid w:val="006D71E4"/>
    <w:rsid w:val="006D7457"/>
    <w:rsid w:val="006D77C6"/>
    <w:rsid w:val="006D77F6"/>
    <w:rsid w:val="006D7864"/>
    <w:rsid w:val="006D786C"/>
    <w:rsid w:val="006E0776"/>
    <w:rsid w:val="006E0C2F"/>
    <w:rsid w:val="006E0D54"/>
    <w:rsid w:val="006E0D65"/>
    <w:rsid w:val="006E0EA7"/>
    <w:rsid w:val="006E1878"/>
    <w:rsid w:val="006E191F"/>
    <w:rsid w:val="006E1BD1"/>
    <w:rsid w:val="006E1CD5"/>
    <w:rsid w:val="006E1E41"/>
    <w:rsid w:val="006E1EF8"/>
    <w:rsid w:val="006E20DE"/>
    <w:rsid w:val="006E2605"/>
    <w:rsid w:val="006E2B86"/>
    <w:rsid w:val="006E2F9E"/>
    <w:rsid w:val="006E3164"/>
    <w:rsid w:val="006E36D3"/>
    <w:rsid w:val="006E381A"/>
    <w:rsid w:val="006E385F"/>
    <w:rsid w:val="006E4276"/>
    <w:rsid w:val="006E441D"/>
    <w:rsid w:val="006E4A75"/>
    <w:rsid w:val="006E4C2A"/>
    <w:rsid w:val="006E524D"/>
    <w:rsid w:val="006E53B4"/>
    <w:rsid w:val="006E541D"/>
    <w:rsid w:val="006E55F8"/>
    <w:rsid w:val="006E5A1F"/>
    <w:rsid w:val="006E5C39"/>
    <w:rsid w:val="006E5CCD"/>
    <w:rsid w:val="006E5F5A"/>
    <w:rsid w:val="006E607D"/>
    <w:rsid w:val="006E60F5"/>
    <w:rsid w:val="006E61E7"/>
    <w:rsid w:val="006E6251"/>
    <w:rsid w:val="006E63A6"/>
    <w:rsid w:val="006E6510"/>
    <w:rsid w:val="006E6693"/>
    <w:rsid w:val="006E68D8"/>
    <w:rsid w:val="006E6C2C"/>
    <w:rsid w:val="006E759A"/>
    <w:rsid w:val="006E75F2"/>
    <w:rsid w:val="006E7BD1"/>
    <w:rsid w:val="006F01A6"/>
    <w:rsid w:val="006F032C"/>
    <w:rsid w:val="006F054F"/>
    <w:rsid w:val="006F079F"/>
    <w:rsid w:val="006F081B"/>
    <w:rsid w:val="006F0A0C"/>
    <w:rsid w:val="006F0C19"/>
    <w:rsid w:val="006F0CF8"/>
    <w:rsid w:val="006F109A"/>
    <w:rsid w:val="006F1132"/>
    <w:rsid w:val="006F14F1"/>
    <w:rsid w:val="006F24FD"/>
    <w:rsid w:val="006F2BF5"/>
    <w:rsid w:val="006F2FE0"/>
    <w:rsid w:val="006F3181"/>
    <w:rsid w:val="006F330B"/>
    <w:rsid w:val="006F3506"/>
    <w:rsid w:val="006F3B3D"/>
    <w:rsid w:val="006F407D"/>
    <w:rsid w:val="006F40E6"/>
    <w:rsid w:val="006F4160"/>
    <w:rsid w:val="006F4B83"/>
    <w:rsid w:val="006F4CDE"/>
    <w:rsid w:val="006F567E"/>
    <w:rsid w:val="006F571E"/>
    <w:rsid w:val="006F581E"/>
    <w:rsid w:val="006F5A83"/>
    <w:rsid w:val="006F6ADE"/>
    <w:rsid w:val="006F71B1"/>
    <w:rsid w:val="006F768C"/>
    <w:rsid w:val="006F7BD2"/>
    <w:rsid w:val="00700366"/>
    <w:rsid w:val="00701269"/>
    <w:rsid w:val="007015FF"/>
    <w:rsid w:val="00701736"/>
    <w:rsid w:val="00701827"/>
    <w:rsid w:val="00701D21"/>
    <w:rsid w:val="00702190"/>
    <w:rsid w:val="0070219E"/>
    <w:rsid w:val="00702D6E"/>
    <w:rsid w:val="00702EE6"/>
    <w:rsid w:val="00703461"/>
    <w:rsid w:val="00703741"/>
    <w:rsid w:val="0070444F"/>
    <w:rsid w:val="007046E6"/>
    <w:rsid w:val="007048B8"/>
    <w:rsid w:val="00704C4B"/>
    <w:rsid w:val="00704F07"/>
    <w:rsid w:val="00704F1F"/>
    <w:rsid w:val="0070540D"/>
    <w:rsid w:val="007055FE"/>
    <w:rsid w:val="007056E1"/>
    <w:rsid w:val="00705AE4"/>
    <w:rsid w:val="00705B4D"/>
    <w:rsid w:val="0070606C"/>
    <w:rsid w:val="0070625E"/>
    <w:rsid w:val="0070675F"/>
    <w:rsid w:val="00706AD5"/>
    <w:rsid w:val="00706B55"/>
    <w:rsid w:val="00706E3F"/>
    <w:rsid w:val="0070728E"/>
    <w:rsid w:val="00707448"/>
    <w:rsid w:val="00707E78"/>
    <w:rsid w:val="00707EC1"/>
    <w:rsid w:val="00707FF2"/>
    <w:rsid w:val="0071016A"/>
    <w:rsid w:val="00710199"/>
    <w:rsid w:val="0071029C"/>
    <w:rsid w:val="00710E93"/>
    <w:rsid w:val="00711211"/>
    <w:rsid w:val="00711757"/>
    <w:rsid w:val="007118E4"/>
    <w:rsid w:val="00711BB6"/>
    <w:rsid w:val="00711C33"/>
    <w:rsid w:val="007122B4"/>
    <w:rsid w:val="00712515"/>
    <w:rsid w:val="00712C09"/>
    <w:rsid w:val="0071337D"/>
    <w:rsid w:val="00713446"/>
    <w:rsid w:val="00713456"/>
    <w:rsid w:val="00713AA2"/>
    <w:rsid w:val="0071422A"/>
    <w:rsid w:val="00714519"/>
    <w:rsid w:val="0071489B"/>
    <w:rsid w:val="00714BA8"/>
    <w:rsid w:val="00715107"/>
    <w:rsid w:val="0071573A"/>
    <w:rsid w:val="0071604D"/>
    <w:rsid w:val="007161BA"/>
    <w:rsid w:val="00716461"/>
    <w:rsid w:val="00716663"/>
    <w:rsid w:val="0071682B"/>
    <w:rsid w:val="00716D87"/>
    <w:rsid w:val="00716DE6"/>
    <w:rsid w:val="0071710C"/>
    <w:rsid w:val="00717199"/>
    <w:rsid w:val="007174B7"/>
    <w:rsid w:val="00717592"/>
    <w:rsid w:val="007175E6"/>
    <w:rsid w:val="007177CF"/>
    <w:rsid w:val="00717E43"/>
    <w:rsid w:val="00720298"/>
    <w:rsid w:val="0072030C"/>
    <w:rsid w:val="007203F6"/>
    <w:rsid w:val="00720CDD"/>
    <w:rsid w:val="007212EF"/>
    <w:rsid w:val="00722629"/>
    <w:rsid w:val="007226FF"/>
    <w:rsid w:val="007229B7"/>
    <w:rsid w:val="00722B11"/>
    <w:rsid w:val="00722D85"/>
    <w:rsid w:val="00722DCB"/>
    <w:rsid w:val="0072307F"/>
    <w:rsid w:val="00723209"/>
    <w:rsid w:val="007235DB"/>
    <w:rsid w:val="00723814"/>
    <w:rsid w:val="0072389E"/>
    <w:rsid w:val="00724B52"/>
    <w:rsid w:val="00724E82"/>
    <w:rsid w:val="00725665"/>
    <w:rsid w:val="00725845"/>
    <w:rsid w:val="00725FAA"/>
    <w:rsid w:val="00725FC2"/>
    <w:rsid w:val="00726D5A"/>
    <w:rsid w:val="0072712F"/>
    <w:rsid w:val="0072766E"/>
    <w:rsid w:val="007278A7"/>
    <w:rsid w:val="00730341"/>
    <w:rsid w:val="007303F3"/>
    <w:rsid w:val="00730626"/>
    <w:rsid w:val="007306A2"/>
    <w:rsid w:val="00730A60"/>
    <w:rsid w:val="00730F12"/>
    <w:rsid w:val="00730F35"/>
    <w:rsid w:val="007313D5"/>
    <w:rsid w:val="00731A35"/>
    <w:rsid w:val="00732795"/>
    <w:rsid w:val="007328BC"/>
    <w:rsid w:val="00732ED9"/>
    <w:rsid w:val="0073310C"/>
    <w:rsid w:val="0073333D"/>
    <w:rsid w:val="007335F0"/>
    <w:rsid w:val="00733608"/>
    <w:rsid w:val="007337CD"/>
    <w:rsid w:val="0073430C"/>
    <w:rsid w:val="0073458C"/>
    <w:rsid w:val="0073485A"/>
    <w:rsid w:val="00734A97"/>
    <w:rsid w:val="00735196"/>
    <w:rsid w:val="0073563F"/>
    <w:rsid w:val="0073585B"/>
    <w:rsid w:val="00735AE5"/>
    <w:rsid w:val="00736352"/>
    <w:rsid w:val="007364AE"/>
    <w:rsid w:val="0073670F"/>
    <w:rsid w:val="00736915"/>
    <w:rsid w:val="00736B16"/>
    <w:rsid w:val="0073711C"/>
    <w:rsid w:val="00737CD3"/>
    <w:rsid w:val="00737D7B"/>
    <w:rsid w:val="007400DC"/>
    <w:rsid w:val="0074042E"/>
    <w:rsid w:val="00740FA3"/>
    <w:rsid w:val="00741396"/>
    <w:rsid w:val="007415F4"/>
    <w:rsid w:val="00741661"/>
    <w:rsid w:val="00741AFC"/>
    <w:rsid w:val="00741B47"/>
    <w:rsid w:val="00741C88"/>
    <w:rsid w:val="0074211A"/>
    <w:rsid w:val="0074220C"/>
    <w:rsid w:val="00742701"/>
    <w:rsid w:val="00742912"/>
    <w:rsid w:val="0074297C"/>
    <w:rsid w:val="00742DE5"/>
    <w:rsid w:val="00742E90"/>
    <w:rsid w:val="00742EC1"/>
    <w:rsid w:val="00743747"/>
    <w:rsid w:val="007437B8"/>
    <w:rsid w:val="007440DE"/>
    <w:rsid w:val="00744AC6"/>
    <w:rsid w:val="00744CBB"/>
    <w:rsid w:val="0074524F"/>
    <w:rsid w:val="007452C6"/>
    <w:rsid w:val="007454EA"/>
    <w:rsid w:val="0074550B"/>
    <w:rsid w:val="007455B5"/>
    <w:rsid w:val="00745BDA"/>
    <w:rsid w:val="007460C7"/>
    <w:rsid w:val="0074797A"/>
    <w:rsid w:val="00747D8C"/>
    <w:rsid w:val="00747E3A"/>
    <w:rsid w:val="00747FB6"/>
    <w:rsid w:val="007501D3"/>
    <w:rsid w:val="007511E3"/>
    <w:rsid w:val="0075191D"/>
    <w:rsid w:val="00751CB9"/>
    <w:rsid w:val="00751E18"/>
    <w:rsid w:val="00752652"/>
    <w:rsid w:val="00752A02"/>
    <w:rsid w:val="00752CDF"/>
    <w:rsid w:val="00752EE4"/>
    <w:rsid w:val="00752F1A"/>
    <w:rsid w:val="00753290"/>
    <w:rsid w:val="007539F8"/>
    <w:rsid w:val="00753F29"/>
    <w:rsid w:val="00754A0C"/>
    <w:rsid w:val="00754D3E"/>
    <w:rsid w:val="00755208"/>
    <w:rsid w:val="0075540E"/>
    <w:rsid w:val="00755851"/>
    <w:rsid w:val="00755995"/>
    <w:rsid w:val="00755C21"/>
    <w:rsid w:val="00755F85"/>
    <w:rsid w:val="00756041"/>
    <w:rsid w:val="007568B5"/>
    <w:rsid w:val="00756CAA"/>
    <w:rsid w:val="00756DD1"/>
    <w:rsid w:val="00756ED3"/>
    <w:rsid w:val="007570FF"/>
    <w:rsid w:val="007578FD"/>
    <w:rsid w:val="00757B82"/>
    <w:rsid w:val="0076008E"/>
    <w:rsid w:val="007600D1"/>
    <w:rsid w:val="0076028E"/>
    <w:rsid w:val="007602A9"/>
    <w:rsid w:val="00760364"/>
    <w:rsid w:val="00760495"/>
    <w:rsid w:val="00760ADA"/>
    <w:rsid w:val="007610B7"/>
    <w:rsid w:val="007610C9"/>
    <w:rsid w:val="00761E4F"/>
    <w:rsid w:val="007623BA"/>
    <w:rsid w:val="00762D01"/>
    <w:rsid w:val="007632D3"/>
    <w:rsid w:val="007633DA"/>
    <w:rsid w:val="007640CE"/>
    <w:rsid w:val="00764691"/>
    <w:rsid w:val="0076498B"/>
    <w:rsid w:val="007649BD"/>
    <w:rsid w:val="00764C4F"/>
    <w:rsid w:val="00764D85"/>
    <w:rsid w:val="0076502B"/>
    <w:rsid w:val="00765107"/>
    <w:rsid w:val="007656BE"/>
    <w:rsid w:val="0076591C"/>
    <w:rsid w:val="00765946"/>
    <w:rsid w:val="00765A22"/>
    <w:rsid w:val="00765AAB"/>
    <w:rsid w:val="0076629C"/>
    <w:rsid w:val="007663AE"/>
    <w:rsid w:val="0076649E"/>
    <w:rsid w:val="007664C0"/>
    <w:rsid w:val="00766505"/>
    <w:rsid w:val="00766A7E"/>
    <w:rsid w:val="00766AE6"/>
    <w:rsid w:val="00766CB7"/>
    <w:rsid w:val="00767250"/>
    <w:rsid w:val="00767615"/>
    <w:rsid w:val="007676E5"/>
    <w:rsid w:val="007679F9"/>
    <w:rsid w:val="00767B52"/>
    <w:rsid w:val="00767B56"/>
    <w:rsid w:val="00767D8E"/>
    <w:rsid w:val="0077000C"/>
    <w:rsid w:val="0077048A"/>
    <w:rsid w:val="007708D1"/>
    <w:rsid w:val="00770A12"/>
    <w:rsid w:val="00770BD3"/>
    <w:rsid w:val="00770D2B"/>
    <w:rsid w:val="00771869"/>
    <w:rsid w:val="00771B02"/>
    <w:rsid w:val="007726FF"/>
    <w:rsid w:val="007727CA"/>
    <w:rsid w:val="007731E7"/>
    <w:rsid w:val="0077362B"/>
    <w:rsid w:val="00774DFF"/>
    <w:rsid w:val="00774EFA"/>
    <w:rsid w:val="0077509D"/>
    <w:rsid w:val="0077511B"/>
    <w:rsid w:val="0077594F"/>
    <w:rsid w:val="00775A28"/>
    <w:rsid w:val="00775AD2"/>
    <w:rsid w:val="00775B96"/>
    <w:rsid w:val="00775CD0"/>
    <w:rsid w:val="00775CFF"/>
    <w:rsid w:val="00775D67"/>
    <w:rsid w:val="00776175"/>
    <w:rsid w:val="0077661C"/>
    <w:rsid w:val="007769FE"/>
    <w:rsid w:val="00776A3E"/>
    <w:rsid w:val="00776A83"/>
    <w:rsid w:val="00776B44"/>
    <w:rsid w:val="00777000"/>
    <w:rsid w:val="00777520"/>
    <w:rsid w:val="00777D6C"/>
    <w:rsid w:val="00780618"/>
    <w:rsid w:val="00780658"/>
    <w:rsid w:val="0078084C"/>
    <w:rsid w:val="00780B86"/>
    <w:rsid w:val="00781242"/>
    <w:rsid w:val="007817CC"/>
    <w:rsid w:val="00782069"/>
    <w:rsid w:val="0078270F"/>
    <w:rsid w:val="00782A0D"/>
    <w:rsid w:val="00782D82"/>
    <w:rsid w:val="007831BB"/>
    <w:rsid w:val="007831FB"/>
    <w:rsid w:val="00783B2A"/>
    <w:rsid w:val="00783C9F"/>
    <w:rsid w:val="0078452E"/>
    <w:rsid w:val="00784918"/>
    <w:rsid w:val="007849E4"/>
    <w:rsid w:val="00784CF9"/>
    <w:rsid w:val="00784E68"/>
    <w:rsid w:val="0078504D"/>
    <w:rsid w:val="00785147"/>
    <w:rsid w:val="00785678"/>
    <w:rsid w:val="007856A4"/>
    <w:rsid w:val="00785E5D"/>
    <w:rsid w:val="00786285"/>
    <w:rsid w:val="0078645A"/>
    <w:rsid w:val="00786C07"/>
    <w:rsid w:val="00786ECE"/>
    <w:rsid w:val="007870A1"/>
    <w:rsid w:val="00787155"/>
    <w:rsid w:val="007871B6"/>
    <w:rsid w:val="00787216"/>
    <w:rsid w:val="007874D3"/>
    <w:rsid w:val="0078751E"/>
    <w:rsid w:val="007876FB"/>
    <w:rsid w:val="00787C5A"/>
    <w:rsid w:val="0079036C"/>
    <w:rsid w:val="00790803"/>
    <w:rsid w:val="00790BF5"/>
    <w:rsid w:val="007910BA"/>
    <w:rsid w:val="007923E4"/>
    <w:rsid w:val="007923F8"/>
    <w:rsid w:val="00792616"/>
    <w:rsid w:val="007929FD"/>
    <w:rsid w:val="00792A86"/>
    <w:rsid w:val="00792DD8"/>
    <w:rsid w:val="007930B3"/>
    <w:rsid w:val="00793BAF"/>
    <w:rsid w:val="00793C2D"/>
    <w:rsid w:val="00793E60"/>
    <w:rsid w:val="00793E8A"/>
    <w:rsid w:val="007940EF"/>
    <w:rsid w:val="007944FC"/>
    <w:rsid w:val="00794617"/>
    <w:rsid w:val="00794950"/>
    <w:rsid w:val="00795180"/>
    <w:rsid w:val="00795581"/>
    <w:rsid w:val="0079597D"/>
    <w:rsid w:val="0079602B"/>
    <w:rsid w:val="007961A4"/>
    <w:rsid w:val="00796418"/>
    <w:rsid w:val="00796743"/>
    <w:rsid w:val="0079694B"/>
    <w:rsid w:val="00796977"/>
    <w:rsid w:val="00796A15"/>
    <w:rsid w:val="00796AF8"/>
    <w:rsid w:val="00796B1E"/>
    <w:rsid w:val="00797230"/>
    <w:rsid w:val="007972E0"/>
    <w:rsid w:val="00797F8E"/>
    <w:rsid w:val="007A05BC"/>
    <w:rsid w:val="007A09DE"/>
    <w:rsid w:val="007A0A3E"/>
    <w:rsid w:val="007A0C01"/>
    <w:rsid w:val="007A0D5E"/>
    <w:rsid w:val="007A1298"/>
    <w:rsid w:val="007A142E"/>
    <w:rsid w:val="007A1782"/>
    <w:rsid w:val="007A194A"/>
    <w:rsid w:val="007A1A45"/>
    <w:rsid w:val="007A2394"/>
    <w:rsid w:val="007A23CD"/>
    <w:rsid w:val="007A23F4"/>
    <w:rsid w:val="007A2D7F"/>
    <w:rsid w:val="007A2ED6"/>
    <w:rsid w:val="007A33F0"/>
    <w:rsid w:val="007A3726"/>
    <w:rsid w:val="007A3ED9"/>
    <w:rsid w:val="007A442B"/>
    <w:rsid w:val="007A45AB"/>
    <w:rsid w:val="007A4947"/>
    <w:rsid w:val="007A4EAC"/>
    <w:rsid w:val="007A50F7"/>
    <w:rsid w:val="007A51E8"/>
    <w:rsid w:val="007A55AB"/>
    <w:rsid w:val="007A56A0"/>
    <w:rsid w:val="007A5C51"/>
    <w:rsid w:val="007A5E02"/>
    <w:rsid w:val="007A642B"/>
    <w:rsid w:val="007A6703"/>
    <w:rsid w:val="007A6BC9"/>
    <w:rsid w:val="007A726E"/>
    <w:rsid w:val="007A768D"/>
    <w:rsid w:val="007B025E"/>
    <w:rsid w:val="007B0428"/>
    <w:rsid w:val="007B0682"/>
    <w:rsid w:val="007B099B"/>
    <w:rsid w:val="007B0E56"/>
    <w:rsid w:val="007B0F21"/>
    <w:rsid w:val="007B101D"/>
    <w:rsid w:val="007B1194"/>
    <w:rsid w:val="007B1728"/>
    <w:rsid w:val="007B1D68"/>
    <w:rsid w:val="007B1F8A"/>
    <w:rsid w:val="007B2202"/>
    <w:rsid w:val="007B229A"/>
    <w:rsid w:val="007B2AE9"/>
    <w:rsid w:val="007B329F"/>
    <w:rsid w:val="007B3968"/>
    <w:rsid w:val="007B403E"/>
    <w:rsid w:val="007B4163"/>
    <w:rsid w:val="007B4272"/>
    <w:rsid w:val="007B4879"/>
    <w:rsid w:val="007B5073"/>
    <w:rsid w:val="007B50B0"/>
    <w:rsid w:val="007B50FC"/>
    <w:rsid w:val="007B53D3"/>
    <w:rsid w:val="007B57BF"/>
    <w:rsid w:val="007B58DF"/>
    <w:rsid w:val="007B5D14"/>
    <w:rsid w:val="007B5E1A"/>
    <w:rsid w:val="007B650D"/>
    <w:rsid w:val="007B6707"/>
    <w:rsid w:val="007B6ADE"/>
    <w:rsid w:val="007B71F0"/>
    <w:rsid w:val="007B79AF"/>
    <w:rsid w:val="007B7D16"/>
    <w:rsid w:val="007C020D"/>
    <w:rsid w:val="007C06B8"/>
    <w:rsid w:val="007C0C29"/>
    <w:rsid w:val="007C1166"/>
    <w:rsid w:val="007C156E"/>
    <w:rsid w:val="007C1B11"/>
    <w:rsid w:val="007C1BF3"/>
    <w:rsid w:val="007C268E"/>
    <w:rsid w:val="007C2A7A"/>
    <w:rsid w:val="007C2D32"/>
    <w:rsid w:val="007C2FAB"/>
    <w:rsid w:val="007C32B8"/>
    <w:rsid w:val="007C371F"/>
    <w:rsid w:val="007C3C48"/>
    <w:rsid w:val="007C3D1F"/>
    <w:rsid w:val="007C404C"/>
    <w:rsid w:val="007C49CB"/>
    <w:rsid w:val="007C4A3E"/>
    <w:rsid w:val="007C4F5C"/>
    <w:rsid w:val="007C563A"/>
    <w:rsid w:val="007C5889"/>
    <w:rsid w:val="007C61CB"/>
    <w:rsid w:val="007C6421"/>
    <w:rsid w:val="007C643B"/>
    <w:rsid w:val="007C6C31"/>
    <w:rsid w:val="007C726F"/>
    <w:rsid w:val="007C7405"/>
    <w:rsid w:val="007C748C"/>
    <w:rsid w:val="007C7543"/>
    <w:rsid w:val="007C7573"/>
    <w:rsid w:val="007C7D1B"/>
    <w:rsid w:val="007C7F9A"/>
    <w:rsid w:val="007D0048"/>
    <w:rsid w:val="007D0F0B"/>
    <w:rsid w:val="007D1471"/>
    <w:rsid w:val="007D1A44"/>
    <w:rsid w:val="007D1ACA"/>
    <w:rsid w:val="007D1BE3"/>
    <w:rsid w:val="007D21A7"/>
    <w:rsid w:val="007D2665"/>
    <w:rsid w:val="007D2B15"/>
    <w:rsid w:val="007D2C87"/>
    <w:rsid w:val="007D2FF2"/>
    <w:rsid w:val="007D3116"/>
    <w:rsid w:val="007D3129"/>
    <w:rsid w:val="007D35CF"/>
    <w:rsid w:val="007D36A6"/>
    <w:rsid w:val="007D41C3"/>
    <w:rsid w:val="007D4551"/>
    <w:rsid w:val="007D485B"/>
    <w:rsid w:val="007D54A0"/>
    <w:rsid w:val="007D5DFF"/>
    <w:rsid w:val="007D5EA7"/>
    <w:rsid w:val="007D5F56"/>
    <w:rsid w:val="007D676F"/>
    <w:rsid w:val="007D6FCE"/>
    <w:rsid w:val="007D70A5"/>
    <w:rsid w:val="007D7482"/>
    <w:rsid w:val="007D7589"/>
    <w:rsid w:val="007E00CB"/>
    <w:rsid w:val="007E0FDE"/>
    <w:rsid w:val="007E12B4"/>
    <w:rsid w:val="007E15B9"/>
    <w:rsid w:val="007E1663"/>
    <w:rsid w:val="007E1844"/>
    <w:rsid w:val="007E1AAF"/>
    <w:rsid w:val="007E29C9"/>
    <w:rsid w:val="007E2AC7"/>
    <w:rsid w:val="007E2C15"/>
    <w:rsid w:val="007E331E"/>
    <w:rsid w:val="007E3369"/>
    <w:rsid w:val="007E347E"/>
    <w:rsid w:val="007E34B6"/>
    <w:rsid w:val="007E3E63"/>
    <w:rsid w:val="007E413F"/>
    <w:rsid w:val="007E41ED"/>
    <w:rsid w:val="007E4393"/>
    <w:rsid w:val="007E4649"/>
    <w:rsid w:val="007E4A27"/>
    <w:rsid w:val="007E594B"/>
    <w:rsid w:val="007E5B61"/>
    <w:rsid w:val="007E5BE2"/>
    <w:rsid w:val="007E5D73"/>
    <w:rsid w:val="007E6216"/>
    <w:rsid w:val="007E701D"/>
    <w:rsid w:val="007E733C"/>
    <w:rsid w:val="007E7469"/>
    <w:rsid w:val="007E7A4D"/>
    <w:rsid w:val="007F02B5"/>
    <w:rsid w:val="007F0C8F"/>
    <w:rsid w:val="007F1205"/>
    <w:rsid w:val="007F1B78"/>
    <w:rsid w:val="007F1E90"/>
    <w:rsid w:val="007F1FD4"/>
    <w:rsid w:val="007F2962"/>
    <w:rsid w:val="007F3340"/>
    <w:rsid w:val="007F36B5"/>
    <w:rsid w:val="007F36FE"/>
    <w:rsid w:val="007F37E0"/>
    <w:rsid w:val="007F3A86"/>
    <w:rsid w:val="007F4257"/>
    <w:rsid w:val="007F45EE"/>
    <w:rsid w:val="007F47CD"/>
    <w:rsid w:val="007F4946"/>
    <w:rsid w:val="007F4E89"/>
    <w:rsid w:val="007F4F52"/>
    <w:rsid w:val="007F5014"/>
    <w:rsid w:val="007F5167"/>
    <w:rsid w:val="007F56BE"/>
    <w:rsid w:val="007F596B"/>
    <w:rsid w:val="007F5C37"/>
    <w:rsid w:val="007F5D54"/>
    <w:rsid w:val="007F5E7C"/>
    <w:rsid w:val="007F6133"/>
    <w:rsid w:val="007F66F1"/>
    <w:rsid w:val="007F7076"/>
    <w:rsid w:val="007F7302"/>
    <w:rsid w:val="007F7532"/>
    <w:rsid w:val="007F760B"/>
    <w:rsid w:val="007F7679"/>
    <w:rsid w:val="007F7ACA"/>
    <w:rsid w:val="007F7B3D"/>
    <w:rsid w:val="00800277"/>
    <w:rsid w:val="0080045A"/>
    <w:rsid w:val="0080047B"/>
    <w:rsid w:val="008005E0"/>
    <w:rsid w:val="008005EE"/>
    <w:rsid w:val="00800621"/>
    <w:rsid w:val="0080077F"/>
    <w:rsid w:val="0080109B"/>
    <w:rsid w:val="008018EC"/>
    <w:rsid w:val="00801EBB"/>
    <w:rsid w:val="008022C6"/>
    <w:rsid w:val="00802406"/>
    <w:rsid w:val="008024DF"/>
    <w:rsid w:val="00803061"/>
    <w:rsid w:val="0080329B"/>
    <w:rsid w:val="0080341F"/>
    <w:rsid w:val="00803485"/>
    <w:rsid w:val="00803932"/>
    <w:rsid w:val="00803A90"/>
    <w:rsid w:val="00803CAF"/>
    <w:rsid w:val="00804037"/>
    <w:rsid w:val="008040EA"/>
    <w:rsid w:val="0080431A"/>
    <w:rsid w:val="00804581"/>
    <w:rsid w:val="00805B28"/>
    <w:rsid w:val="00806092"/>
    <w:rsid w:val="0080635B"/>
    <w:rsid w:val="008065C7"/>
    <w:rsid w:val="008066C8"/>
    <w:rsid w:val="008066D4"/>
    <w:rsid w:val="0080689C"/>
    <w:rsid w:val="00806A03"/>
    <w:rsid w:val="00806D37"/>
    <w:rsid w:val="008070D3"/>
    <w:rsid w:val="00807701"/>
    <w:rsid w:val="00807842"/>
    <w:rsid w:val="008078D1"/>
    <w:rsid w:val="00807B77"/>
    <w:rsid w:val="00807BE1"/>
    <w:rsid w:val="00810002"/>
    <w:rsid w:val="00810B28"/>
    <w:rsid w:val="00810D0D"/>
    <w:rsid w:val="008115BA"/>
    <w:rsid w:val="00811723"/>
    <w:rsid w:val="00811ADD"/>
    <w:rsid w:val="0081200F"/>
    <w:rsid w:val="008123BD"/>
    <w:rsid w:val="00812F92"/>
    <w:rsid w:val="00813206"/>
    <w:rsid w:val="0081342B"/>
    <w:rsid w:val="00813613"/>
    <w:rsid w:val="00813BC0"/>
    <w:rsid w:val="00813FB0"/>
    <w:rsid w:val="00814808"/>
    <w:rsid w:val="00814C88"/>
    <w:rsid w:val="00814CE4"/>
    <w:rsid w:val="00814E2D"/>
    <w:rsid w:val="00815002"/>
    <w:rsid w:val="0081629B"/>
    <w:rsid w:val="008164CC"/>
    <w:rsid w:val="0081658C"/>
    <w:rsid w:val="0081670E"/>
    <w:rsid w:val="00816C26"/>
    <w:rsid w:val="00816FCB"/>
    <w:rsid w:val="00817013"/>
    <w:rsid w:val="00817253"/>
    <w:rsid w:val="00817692"/>
    <w:rsid w:val="00817846"/>
    <w:rsid w:val="00817C1C"/>
    <w:rsid w:val="00820205"/>
    <w:rsid w:val="00820752"/>
    <w:rsid w:val="0082084C"/>
    <w:rsid w:val="008209E6"/>
    <w:rsid w:val="00820C65"/>
    <w:rsid w:val="00821201"/>
    <w:rsid w:val="0082141D"/>
    <w:rsid w:val="0082172A"/>
    <w:rsid w:val="008223FA"/>
    <w:rsid w:val="00822682"/>
    <w:rsid w:val="008228FB"/>
    <w:rsid w:val="00822C09"/>
    <w:rsid w:val="0082343D"/>
    <w:rsid w:val="008234C8"/>
    <w:rsid w:val="008236AB"/>
    <w:rsid w:val="008236C0"/>
    <w:rsid w:val="00823E94"/>
    <w:rsid w:val="008240F5"/>
    <w:rsid w:val="00824119"/>
    <w:rsid w:val="00824218"/>
    <w:rsid w:val="00824292"/>
    <w:rsid w:val="008246C8"/>
    <w:rsid w:val="00824BE4"/>
    <w:rsid w:val="00824D2E"/>
    <w:rsid w:val="008254E2"/>
    <w:rsid w:val="0082571D"/>
    <w:rsid w:val="00825B61"/>
    <w:rsid w:val="00825EB1"/>
    <w:rsid w:val="00826139"/>
    <w:rsid w:val="008261A3"/>
    <w:rsid w:val="00826847"/>
    <w:rsid w:val="008269B7"/>
    <w:rsid w:val="00826C59"/>
    <w:rsid w:val="00826D25"/>
    <w:rsid w:val="00826EE8"/>
    <w:rsid w:val="0082741F"/>
    <w:rsid w:val="00830691"/>
    <w:rsid w:val="008317B9"/>
    <w:rsid w:val="00831886"/>
    <w:rsid w:val="00831C40"/>
    <w:rsid w:val="00831E03"/>
    <w:rsid w:val="00831E42"/>
    <w:rsid w:val="00832254"/>
    <w:rsid w:val="00832D2D"/>
    <w:rsid w:val="00832F91"/>
    <w:rsid w:val="00833294"/>
    <w:rsid w:val="008333FF"/>
    <w:rsid w:val="00833D54"/>
    <w:rsid w:val="008340F3"/>
    <w:rsid w:val="00834418"/>
    <w:rsid w:val="008354BB"/>
    <w:rsid w:val="00835AD6"/>
    <w:rsid w:val="008366AB"/>
    <w:rsid w:val="00836A37"/>
    <w:rsid w:val="00836A45"/>
    <w:rsid w:val="00836C11"/>
    <w:rsid w:val="00836E90"/>
    <w:rsid w:val="00836FB6"/>
    <w:rsid w:val="008371C3"/>
    <w:rsid w:val="00837234"/>
    <w:rsid w:val="0083758D"/>
    <w:rsid w:val="008376EF"/>
    <w:rsid w:val="00837C7B"/>
    <w:rsid w:val="00837EDF"/>
    <w:rsid w:val="00837F1B"/>
    <w:rsid w:val="0084013A"/>
    <w:rsid w:val="0084053D"/>
    <w:rsid w:val="00840610"/>
    <w:rsid w:val="0084173E"/>
    <w:rsid w:val="008417AE"/>
    <w:rsid w:val="00841929"/>
    <w:rsid w:val="00842111"/>
    <w:rsid w:val="008423A3"/>
    <w:rsid w:val="00842405"/>
    <w:rsid w:val="008428E8"/>
    <w:rsid w:val="0084290F"/>
    <w:rsid w:val="0084298C"/>
    <w:rsid w:val="00842F7C"/>
    <w:rsid w:val="00843570"/>
    <w:rsid w:val="00843627"/>
    <w:rsid w:val="00843925"/>
    <w:rsid w:val="00843D79"/>
    <w:rsid w:val="00844294"/>
    <w:rsid w:val="00844E35"/>
    <w:rsid w:val="00844FBF"/>
    <w:rsid w:val="00845E41"/>
    <w:rsid w:val="0084623F"/>
    <w:rsid w:val="00846A4E"/>
    <w:rsid w:val="00846B6C"/>
    <w:rsid w:val="00846CC0"/>
    <w:rsid w:val="00846CF3"/>
    <w:rsid w:val="00846F44"/>
    <w:rsid w:val="00846FE7"/>
    <w:rsid w:val="00847413"/>
    <w:rsid w:val="00847426"/>
    <w:rsid w:val="008474CD"/>
    <w:rsid w:val="008475D2"/>
    <w:rsid w:val="008477B4"/>
    <w:rsid w:val="00847AD6"/>
    <w:rsid w:val="00847C20"/>
    <w:rsid w:val="008509E0"/>
    <w:rsid w:val="0085103A"/>
    <w:rsid w:val="008515F0"/>
    <w:rsid w:val="00851BED"/>
    <w:rsid w:val="00853305"/>
    <w:rsid w:val="00853634"/>
    <w:rsid w:val="008537D1"/>
    <w:rsid w:val="0085457D"/>
    <w:rsid w:val="008548AD"/>
    <w:rsid w:val="00855044"/>
    <w:rsid w:val="0085510F"/>
    <w:rsid w:val="008552EE"/>
    <w:rsid w:val="00855CA5"/>
    <w:rsid w:val="00855CF8"/>
    <w:rsid w:val="00855D46"/>
    <w:rsid w:val="00855DA0"/>
    <w:rsid w:val="00855DF2"/>
    <w:rsid w:val="00855E80"/>
    <w:rsid w:val="008567A3"/>
    <w:rsid w:val="00856CD5"/>
    <w:rsid w:val="00856FB1"/>
    <w:rsid w:val="00856FBF"/>
    <w:rsid w:val="00857088"/>
    <w:rsid w:val="008571CB"/>
    <w:rsid w:val="0085723C"/>
    <w:rsid w:val="008572B2"/>
    <w:rsid w:val="0085745E"/>
    <w:rsid w:val="008578E7"/>
    <w:rsid w:val="00860646"/>
    <w:rsid w:val="00860668"/>
    <w:rsid w:val="00860762"/>
    <w:rsid w:val="00860AD1"/>
    <w:rsid w:val="008612F4"/>
    <w:rsid w:val="00861580"/>
    <w:rsid w:val="0086206B"/>
    <w:rsid w:val="00862187"/>
    <w:rsid w:val="00862443"/>
    <w:rsid w:val="0086290C"/>
    <w:rsid w:val="008631F2"/>
    <w:rsid w:val="00863494"/>
    <w:rsid w:val="00863587"/>
    <w:rsid w:val="00863731"/>
    <w:rsid w:val="0086410B"/>
    <w:rsid w:val="0086425C"/>
    <w:rsid w:val="00864662"/>
    <w:rsid w:val="008647D7"/>
    <w:rsid w:val="00864FC0"/>
    <w:rsid w:val="00865AE4"/>
    <w:rsid w:val="00865BD0"/>
    <w:rsid w:val="00865C8A"/>
    <w:rsid w:val="00865F77"/>
    <w:rsid w:val="0086622B"/>
    <w:rsid w:val="008668D9"/>
    <w:rsid w:val="0086697B"/>
    <w:rsid w:val="00867200"/>
    <w:rsid w:val="008672E7"/>
    <w:rsid w:val="008676F8"/>
    <w:rsid w:val="00867F0F"/>
    <w:rsid w:val="0087001D"/>
    <w:rsid w:val="00870254"/>
    <w:rsid w:val="008709B8"/>
    <w:rsid w:val="00870D04"/>
    <w:rsid w:val="00870EC9"/>
    <w:rsid w:val="00870F6D"/>
    <w:rsid w:val="00871065"/>
    <w:rsid w:val="00871303"/>
    <w:rsid w:val="00871525"/>
    <w:rsid w:val="008717F9"/>
    <w:rsid w:val="00872C0C"/>
    <w:rsid w:val="00872EAB"/>
    <w:rsid w:val="008730FA"/>
    <w:rsid w:val="008735BD"/>
    <w:rsid w:val="00873C0E"/>
    <w:rsid w:val="00874337"/>
    <w:rsid w:val="008743AB"/>
    <w:rsid w:val="008750AE"/>
    <w:rsid w:val="00875217"/>
    <w:rsid w:val="008756E4"/>
    <w:rsid w:val="00875D8E"/>
    <w:rsid w:val="008763A6"/>
    <w:rsid w:val="00876429"/>
    <w:rsid w:val="0087649F"/>
    <w:rsid w:val="0087678A"/>
    <w:rsid w:val="008767B8"/>
    <w:rsid w:val="00876D44"/>
    <w:rsid w:val="00876F83"/>
    <w:rsid w:val="008773FA"/>
    <w:rsid w:val="008775F4"/>
    <w:rsid w:val="00877703"/>
    <w:rsid w:val="00877946"/>
    <w:rsid w:val="00877B67"/>
    <w:rsid w:val="00877EBF"/>
    <w:rsid w:val="00880084"/>
    <w:rsid w:val="0088075F"/>
    <w:rsid w:val="00880934"/>
    <w:rsid w:val="00880A8B"/>
    <w:rsid w:val="00880DCC"/>
    <w:rsid w:val="00880F93"/>
    <w:rsid w:val="00881195"/>
    <w:rsid w:val="00881270"/>
    <w:rsid w:val="00881562"/>
    <w:rsid w:val="008818E6"/>
    <w:rsid w:val="00881CBD"/>
    <w:rsid w:val="0088230B"/>
    <w:rsid w:val="00882F65"/>
    <w:rsid w:val="00883065"/>
    <w:rsid w:val="00883111"/>
    <w:rsid w:val="008835FF"/>
    <w:rsid w:val="008845CE"/>
    <w:rsid w:val="0088482E"/>
    <w:rsid w:val="00884DA7"/>
    <w:rsid w:val="008851C1"/>
    <w:rsid w:val="00885881"/>
    <w:rsid w:val="008858C3"/>
    <w:rsid w:val="00885B43"/>
    <w:rsid w:val="00885C2B"/>
    <w:rsid w:val="008863FC"/>
    <w:rsid w:val="00886507"/>
    <w:rsid w:val="00886A2C"/>
    <w:rsid w:val="00886AC9"/>
    <w:rsid w:val="00886CB9"/>
    <w:rsid w:val="00886E28"/>
    <w:rsid w:val="00887833"/>
    <w:rsid w:val="008879C9"/>
    <w:rsid w:val="008879EE"/>
    <w:rsid w:val="00887BD8"/>
    <w:rsid w:val="00887D48"/>
    <w:rsid w:val="00890518"/>
    <w:rsid w:val="0089068E"/>
    <w:rsid w:val="00890CEC"/>
    <w:rsid w:val="00890FD0"/>
    <w:rsid w:val="00891322"/>
    <w:rsid w:val="00891547"/>
    <w:rsid w:val="008919DC"/>
    <w:rsid w:val="00891E24"/>
    <w:rsid w:val="00891F96"/>
    <w:rsid w:val="0089218C"/>
    <w:rsid w:val="0089227E"/>
    <w:rsid w:val="0089273E"/>
    <w:rsid w:val="00892A9F"/>
    <w:rsid w:val="00892B2C"/>
    <w:rsid w:val="00892BEC"/>
    <w:rsid w:val="0089327A"/>
    <w:rsid w:val="008932BE"/>
    <w:rsid w:val="00893686"/>
    <w:rsid w:val="00893835"/>
    <w:rsid w:val="00893934"/>
    <w:rsid w:val="00893B1D"/>
    <w:rsid w:val="00893E81"/>
    <w:rsid w:val="008949EF"/>
    <w:rsid w:val="00894A6F"/>
    <w:rsid w:val="00894B81"/>
    <w:rsid w:val="00894D0B"/>
    <w:rsid w:val="00894F4B"/>
    <w:rsid w:val="00895305"/>
    <w:rsid w:val="0089560F"/>
    <w:rsid w:val="00895B7E"/>
    <w:rsid w:val="00895DF0"/>
    <w:rsid w:val="00895EF9"/>
    <w:rsid w:val="00895F0E"/>
    <w:rsid w:val="00896064"/>
    <w:rsid w:val="008965C5"/>
    <w:rsid w:val="00896616"/>
    <w:rsid w:val="008967FF"/>
    <w:rsid w:val="0089681C"/>
    <w:rsid w:val="00896963"/>
    <w:rsid w:val="008969BA"/>
    <w:rsid w:val="00896A56"/>
    <w:rsid w:val="00896EE5"/>
    <w:rsid w:val="008972E6"/>
    <w:rsid w:val="008972EB"/>
    <w:rsid w:val="00897A8A"/>
    <w:rsid w:val="008A034C"/>
    <w:rsid w:val="008A0485"/>
    <w:rsid w:val="008A051F"/>
    <w:rsid w:val="008A0745"/>
    <w:rsid w:val="008A0779"/>
    <w:rsid w:val="008A14E3"/>
    <w:rsid w:val="008A16A8"/>
    <w:rsid w:val="008A19CB"/>
    <w:rsid w:val="008A26F8"/>
    <w:rsid w:val="008A2883"/>
    <w:rsid w:val="008A2B23"/>
    <w:rsid w:val="008A2EB7"/>
    <w:rsid w:val="008A3CC0"/>
    <w:rsid w:val="008A3E47"/>
    <w:rsid w:val="008A3E61"/>
    <w:rsid w:val="008A43BB"/>
    <w:rsid w:val="008A4681"/>
    <w:rsid w:val="008A509D"/>
    <w:rsid w:val="008A51AB"/>
    <w:rsid w:val="008A5223"/>
    <w:rsid w:val="008A54E8"/>
    <w:rsid w:val="008A5AE3"/>
    <w:rsid w:val="008A5CF7"/>
    <w:rsid w:val="008A64DE"/>
    <w:rsid w:val="008A7F2A"/>
    <w:rsid w:val="008B0361"/>
    <w:rsid w:val="008B09E4"/>
    <w:rsid w:val="008B0FBD"/>
    <w:rsid w:val="008B119C"/>
    <w:rsid w:val="008B14E3"/>
    <w:rsid w:val="008B151D"/>
    <w:rsid w:val="008B1598"/>
    <w:rsid w:val="008B1992"/>
    <w:rsid w:val="008B1AE4"/>
    <w:rsid w:val="008B1B3B"/>
    <w:rsid w:val="008B2222"/>
    <w:rsid w:val="008B2223"/>
    <w:rsid w:val="008B2891"/>
    <w:rsid w:val="008B2993"/>
    <w:rsid w:val="008B2E35"/>
    <w:rsid w:val="008B2F95"/>
    <w:rsid w:val="008B340E"/>
    <w:rsid w:val="008B3512"/>
    <w:rsid w:val="008B39BF"/>
    <w:rsid w:val="008B4002"/>
    <w:rsid w:val="008B45FD"/>
    <w:rsid w:val="008B4A7D"/>
    <w:rsid w:val="008B4BF4"/>
    <w:rsid w:val="008B4CE2"/>
    <w:rsid w:val="008B5575"/>
    <w:rsid w:val="008B56D5"/>
    <w:rsid w:val="008B5852"/>
    <w:rsid w:val="008B5B1B"/>
    <w:rsid w:val="008B5E26"/>
    <w:rsid w:val="008B5FB8"/>
    <w:rsid w:val="008B6203"/>
    <w:rsid w:val="008B64A3"/>
    <w:rsid w:val="008B652A"/>
    <w:rsid w:val="008B66DA"/>
    <w:rsid w:val="008B70AE"/>
    <w:rsid w:val="008B70CD"/>
    <w:rsid w:val="008B716B"/>
    <w:rsid w:val="008B7876"/>
    <w:rsid w:val="008B7895"/>
    <w:rsid w:val="008B7A7B"/>
    <w:rsid w:val="008B7EC9"/>
    <w:rsid w:val="008C0062"/>
    <w:rsid w:val="008C0579"/>
    <w:rsid w:val="008C072A"/>
    <w:rsid w:val="008C0753"/>
    <w:rsid w:val="008C0987"/>
    <w:rsid w:val="008C0DDE"/>
    <w:rsid w:val="008C158E"/>
    <w:rsid w:val="008C1A5A"/>
    <w:rsid w:val="008C1EC0"/>
    <w:rsid w:val="008C2489"/>
    <w:rsid w:val="008C27F0"/>
    <w:rsid w:val="008C34F0"/>
    <w:rsid w:val="008C35B9"/>
    <w:rsid w:val="008C3818"/>
    <w:rsid w:val="008C393A"/>
    <w:rsid w:val="008C3A34"/>
    <w:rsid w:val="008C3AA2"/>
    <w:rsid w:val="008C3AB1"/>
    <w:rsid w:val="008C3FCA"/>
    <w:rsid w:val="008C45FE"/>
    <w:rsid w:val="008C481F"/>
    <w:rsid w:val="008C4B49"/>
    <w:rsid w:val="008C5158"/>
    <w:rsid w:val="008C525C"/>
    <w:rsid w:val="008C5901"/>
    <w:rsid w:val="008C5B4E"/>
    <w:rsid w:val="008C5F78"/>
    <w:rsid w:val="008C6344"/>
    <w:rsid w:val="008C65BF"/>
    <w:rsid w:val="008C6A84"/>
    <w:rsid w:val="008C6D69"/>
    <w:rsid w:val="008C6E1D"/>
    <w:rsid w:val="008C6E51"/>
    <w:rsid w:val="008C7024"/>
    <w:rsid w:val="008C7093"/>
    <w:rsid w:val="008C71E3"/>
    <w:rsid w:val="008C7364"/>
    <w:rsid w:val="008C77E8"/>
    <w:rsid w:val="008C7C09"/>
    <w:rsid w:val="008C7D13"/>
    <w:rsid w:val="008C7E11"/>
    <w:rsid w:val="008C7FED"/>
    <w:rsid w:val="008D0145"/>
    <w:rsid w:val="008D03AC"/>
    <w:rsid w:val="008D0685"/>
    <w:rsid w:val="008D0803"/>
    <w:rsid w:val="008D0C9B"/>
    <w:rsid w:val="008D0D95"/>
    <w:rsid w:val="008D1067"/>
    <w:rsid w:val="008D12E3"/>
    <w:rsid w:val="008D15C1"/>
    <w:rsid w:val="008D1877"/>
    <w:rsid w:val="008D1A7F"/>
    <w:rsid w:val="008D1B90"/>
    <w:rsid w:val="008D1D9D"/>
    <w:rsid w:val="008D1E65"/>
    <w:rsid w:val="008D25B6"/>
    <w:rsid w:val="008D268E"/>
    <w:rsid w:val="008D2F33"/>
    <w:rsid w:val="008D3D80"/>
    <w:rsid w:val="008D3FE3"/>
    <w:rsid w:val="008D44DE"/>
    <w:rsid w:val="008D45CE"/>
    <w:rsid w:val="008D4B3C"/>
    <w:rsid w:val="008D5058"/>
    <w:rsid w:val="008D585A"/>
    <w:rsid w:val="008D5908"/>
    <w:rsid w:val="008D5E16"/>
    <w:rsid w:val="008D6172"/>
    <w:rsid w:val="008D65B2"/>
    <w:rsid w:val="008D6B89"/>
    <w:rsid w:val="008D6F38"/>
    <w:rsid w:val="008D79DF"/>
    <w:rsid w:val="008D7E1B"/>
    <w:rsid w:val="008E0133"/>
    <w:rsid w:val="008E060D"/>
    <w:rsid w:val="008E0A3E"/>
    <w:rsid w:val="008E0B80"/>
    <w:rsid w:val="008E0BF3"/>
    <w:rsid w:val="008E0C52"/>
    <w:rsid w:val="008E0D87"/>
    <w:rsid w:val="008E0F19"/>
    <w:rsid w:val="008E1042"/>
    <w:rsid w:val="008E16F9"/>
    <w:rsid w:val="008E1B1C"/>
    <w:rsid w:val="008E1C01"/>
    <w:rsid w:val="008E1DCC"/>
    <w:rsid w:val="008E2130"/>
    <w:rsid w:val="008E24B8"/>
    <w:rsid w:val="008E27E4"/>
    <w:rsid w:val="008E2D0B"/>
    <w:rsid w:val="008E2E24"/>
    <w:rsid w:val="008E2F54"/>
    <w:rsid w:val="008E3D73"/>
    <w:rsid w:val="008E4130"/>
    <w:rsid w:val="008E4208"/>
    <w:rsid w:val="008E4961"/>
    <w:rsid w:val="008E4A2A"/>
    <w:rsid w:val="008E4DCA"/>
    <w:rsid w:val="008E5212"/>
    <w:rsid w:val="008E536E"/>
    <w:rsid w:val="008E5775"/>
    <w:rsid w:val="008E59A7"/>
    <w:rsid w:val="008E5A41"/>
    <w:rsid w:val="008E6484"/>
    <w:rsid w:val="008E65A4"/>
    <w:rsid w:val="008E6C38"/>
    <w:rsid w:val="008E7311"/>
    <w:rsid w:val="008E77EA"/>
    <w:rsid w:val="008E7CAC"/>
    <w:rsid w:val="008E7CAD"/>
    <w:rsid w:val="008E7CB0"/>
    <w:rsid w:val="008F0437"/>
    <w:rsid w:val="008F0660"/>
    <w:rsid w:val="008F06E5"/>
    <w:rsid w:val="008F06E6"/>
    <w:rsid w:val="008F083D"/>
    <w:rsid w:val="008F0876"/>
    <w:rsid w:val="008F0B8D"/>
    <w:rsid w:val="008F0BF6"/>
    <w:rsid w:val="008F0CBB"/>
    <w:rsid w:val="008F0E73"/>
    <w:rsid w:val="008F113A"/>
    <w:rsid w:val="008F1701"/>
    <w:rsid w:val="008F17DC"/>
    <w:rsid w:val="008F1889"/>
    <w:rsid w:val="008F1E61"/>
    <w:rsid w:val="008F1FB6"/>
    <w:rsid w:val="008F20DB"/>
    <w:rsid w:val="008F229B"/>
    <w:rsid w:val="008F231E"/>
    <w:rsid w:val="008F2646"/>
    <w:rsid w:val="008F266B"/>
    <w:rsid w:val="008F2805"/>
    <w:rsid w:val="008F289A"/>
    <w:rsid w:val="008F28E0"/>
    <w:rsid w:val="008F2B52"/>
    <w:rsid w:val="008F2B86"/>
    <w:rsid w:val="008F357C"/>
    <w:rsid w:val="008F35BA"/>
    <w:rsid w:val="008F3718"/>
    <w:rsid w:val="008F37AA"/>
    <w:rsid w:val="008F3D16"/>
    <w:rsid w:val="008F3EF9"/>
    <w:rsid w:val="008F4310"/>
    <w:rsid w:val="008F456B"/>
    <w:rsid w:val="008F485C"/>
    <w:rsid w:val="008F4A32"/>
    <w:rsid w:val="008F4D58"/>
    <w:rsid w:val="008F53FF"/>
    <w:rsid w:val="008F54DC"/>
    <w:rsid w:val="008F5698"/>
    <w:rsid w:val="008F5AA5"/>
    <w:rsid w:val="008F5E7B"/>
    <w:rsid w:val="008F5FAE"/>
    <w:rsid w:val="008F6079"/>
    <w:rsid w:val="008F61F7"/>
    <w:rsid w:val="008F627C"/>
    <w:rsid w:val="008F646C"/>
    <w:rsid w:val="008F67AF"/>
    <w:rsid w:val="008F6BF5"/>
    <w:rsid w:val="008F7599"/>
    <w:rsid w:val="008F75E9"/>
    <w:rsid w:val="008F7632"/>
    <w:rsid w:val="008F7C37"/>
    <w:rsid w:val="008F7CDA"/>
    <w:rsid w:val="009002FE"/>
    <w:rsid w:val="00900863"/>
    <w:rsid w:val="009009B4"/>
    <w:rsid w:val="009009C2"/>
    <w:rsid w:val="00900A28"/>
    <w:rsid w:val="009012C6"/>
    <w:rsid w:val="00901364"/>
    <w:rsid w:val="00901F36"/>
    <w:rsid w:val="00902523"/>
    <w:rsid w:val="00902707"/>
    <w:rsid w:val="0090298D"/>
    <w:rsid w:val="009029FA"/>
    <w:rsid w:val="00902E9B"/>
    <w:rsid w:val="00903137"/>
    <w:rsid w:val="00903D00"/>
    <w:rsid w:val="00903D63"/>
    <w:rsid w:val="009040EA"/>
    <w:rsid w:val="009040F6"/>
    <w:rsid w:val="0090425B"/>
    <w:rsid w:val="00904901"/>
    <w:rsid w:val="00904C5B"/>
    <w:rsid w:val="00905532"/>
    <w:rsid w:val="00905C0E"/>
    <w:rsid w:val="00905D6F"/>
    <w:rsid w:val="009061BE"/>
    <w:rsid w:val="009061E0"/>
    <w:rsid w:val="00906FC6"/>
    <w:rsid w:val="00906FF6"/>
    <w:rsid w:val="009077C7"/>
    <w:rsid w:val="00907BFD"/>
    <w:rsid w:val="00907E38"/>
    <w:rsid w:val="00907EC0"/>
    <w:rsid w:val="0091008B"/>
    <w:rsid w:val="009100BC"/>
    <w:rsid w:val="00910191"/>
    <w:rsid w:val="00910255"/>
    <w:rsid w:val="009104ED"/>
    <w:rsid w:val="009105F8"/>
    <w:rsid w:val="00910A66"/>
    <w:rsid w:val="00910B3F"/>
    <w:rsid w:val="00910D44"/>
    <w:rsid w:val="009113C1"/>
    <w:rsid w:val="009114B4"/>
    <w:rsid w:val="00911F90"/>
    <w:rsid w:val="009120AD"/>
    <w:rsid w:val="009124DA"/>
    <w:rsid w:val="0091276F"/>
    <w:rsid w:val="0091278C"/>
    <w:rsid w:val="009128E4"/>
    <w:rsid w:val="00912A81"/>
    <w:rsid w:val="00912BD9"/>
    <w:rsid w:val="009132FB"/>
    <w:rsid w:val="00913790"/>
    <w:rsid w:val="009143A4"/>
    <w:rsid w:val="00914939"/>
    <w:rsid w:val="00914A89"/>
    <w:rsid w:val="00914D82"/>
    <w:rsid w:val="00915028"/>
    <w:rsid w:val="0091530B"/>
    <w:rsid w:val="00915A40"/>
    <w:rsid w:val="00915C39"/>
    <w:rsid w:val="009164BE"/>
    <w:rsid w:val="009165EE"/>
    <w:rsid w:val="00916638"/>
    <w:rsid w:val="00916C62"/>
    <w:rsid w:val="00916D2D"/>
    <w:rsid w:val="009171B4"/>
    <w:rsid w:val="0091723B"/>
    <w:rsid w:val="00917655"/>
    <w:rsid w:val="009203CB"/>
    <w:rsid w:val="00920B44"/>
    <w:rsid w:val="00920E4D"/>
    <w:rsid w:val="00921165"/>
    <w:rsid w:val="00921649"/>
    <w:rsid w:val="009219CE"/>
    <w:rsid w:val="00921E22"/>
    <w:rsid w:val="00921F67"/>
    <w:rsid w:val="00921FD4"/>
    <w:rsid w:val="009222B5"/>
    <w:rsid w:val="00922988"/>
    <w:rsid w:val="00922C6D"/>
    <w:rsid w:val="00922E8C"/>
    <w:rsid w:val="00922F2E"/>
    <w:rsid w:val="009237EB"/>
    <w:rsid w:val="00923855"/>
    <w:rsid w:val="00924427"/>
    <w:rsid w:val="00924BF7"/>
    <w:rsid w:val="00924E7A"/>
    <w:rsid w:val="00925003"/>
    <w:rsid w:val="00925675"/>
    <w:rsid w:val="0092575A"/>
    <w:rsid w:val="00925C3D"/>
    <w:rsid w:val="00925D27"/>
    <w:rsid w:val="009261F2"/>
    <w:rsid w:val="009264B4"/>
    <w:rsid w:val="00926734"/>
    <w:rsid w:val="009269A3"/>
    <w:rsid w:val="00926C07"/>
    <w:rsid w:val="00926E2C"/>
    <w:rsid w:val="00927125"/>
    <w:rsid w:val="00927F4D"/>
    <w:rsid w:val="00930AA7"/>
    <w:rsid w:val="00930CBE"/>
    <w:rsid w:val="009310B3"/>
    <w:rsid w:val="00931184"/>
    <w:rsid w:val="0093132D"/>
    <w:rsid w:val="00931A8E"/>
    <w:rsid w:val="00931EF7"/>
    <w:rsid w:val="00931FF1"/>
    <w:rsid w:val="00932137"/>
    <w:rsid w:val="009321D1"/>
    <w:rsid w:val="009322E8"/>
    <w:rsid w:val="009323EC"/>
    <w:rsid w:val="009328BE"/>
    <w:rsid w:val="00932A1E"/>
    <w:rsid w:val="00932A43"/>
    <w:rsid w:val="0093309D"/>
    <w:rsid w:val="00933D41"/>
    <w:rsid w:val="00933D6D"/>
    <w:rsid w:val="00935AC7"/>
    <w:rsid w:val="00935BEA"/>
    <w:rsid w:val="00935D4F"/>
    <w:rsid w:val="00935E4E"/>
    <w:rsid w:val="009360E4"/>
    <w:rsid w:val="0093616E"/>
    <w:rsid w:val="009363CE"/>
    <w:rsid w:val="009366B6"/>
    <w:rsid w:val="00936EA9"/>
    <w:rsid w:val="00936ECB"/>
    <w:rsid w:val="00936FF6"/>
    <w:rsid w:val="0093739C"/>
    <w:rsid w:val="00937542"/>
    <w:rsid w:val="009375AE"/>
    <w:rsid w:val="00937794"/>
    <w:rsid w:val="00937A11"/>
    <w:rsid w:val="00937F2D"/>
    <w:rsid w:val="009405F4"/>
    <w:rsid w:val="00940A48"/>
    <w:rsid w:val="0094100C"/>
    <w:rsid w:val="0094113E"/>
    <w:rsid w:val="009416A9"/>
    <w:rsid w:val="00941C0C"/>
    <w:rsid w:val="00941D62"/>
    <w:rsid w:val="00941D9C"/>
    <w:rsid w:val="009428BB"/>
    <w:rsid w:val="00942997"/>
    <w:rsid w:val="00942A5E"/>
    <w:rsid w:val="00943209"/>
    <w:rsid w:val="00943302"/>
    <w:rsid w:val="009443CD"/>
    <w:rsid w:val="00944BC0"/>
    <w:rsid w:val="009451B7"/>
    <w:rsid w:val="009453FB"/>
    <w:rsid w:val="00945A79"/>
    <w:rsid w:val="00945B63"/>
    <w:rsid w:val="00945D6F"/>
    <w:rsid w:val="009461C3"/>
    <w:rsid w:val="00946A7A"/>
    <w:rsid w:val="00946F71"/>
    <w:rsid w:val="00947113"/>
    <w:rsid w:val="00947A5A"/>
    <w:rsid w:val="00947A6F"/>
    <w:rsid w:val="009500F5"/>
    <w:rsid w:val="0095016C"/>
    <w:rsid w:val="00950343"/>
    <w:rsid w:val="00950355"/>
    <w:rsid w:val="00950383"/>
    <w:rsid w:val="0095084B"/>
    <w:rsid w:val="00950E83"/>
    <w:rsid w:val="009511CC"/>
    <w:rsid w:val="00951AEE"/>
    <w:rsid w:val="0095201A"/>
    <w:rsid w:val="0095206A"/>
    <w:rsid w:val="00952E11"/>
    <w:rsid w:val="0095311D"/>
    <w:rsid w:val="009532A6"/>
    <w:rsid w:val="0095341A"/>
    <w:rsid w:val="0095359C"/>
    <w:rsid w:val="00953A6A"/>
    <w:rsid w:val="00953A87"/>
    <w:rsid w:val="00953D4D"/>
    <w:rsid w:val="0095407B"/>
    <w:rsid w:val="00954657"/>
    <w:rsid w:val="00954922"/>
    <w:rsid w:val="009554D4"/>
    <w:rsid w:val="00955588"/>
    <w:rsid w:val="00955DA0"/>
    <w:rsid w:val="00955DD2"/>
    <w:rsid w:val="00956137"/>
    <w:rsid w:val="00956262"/>
    <w:rsid w:val="00956547"/>
    <w:rsid w:val="009567EE"/>
    <w:rsid w:val="00956809"/>
    <w:rsid w:val="00956AC9"/>
    <w:rsid w:val="00956C87"/>
    <w:rsid w:val="009574E6"/>
    <w:rsid w:val="00957B1C"/>
    <w:rsid w:val="00960232"/>
    <w:rsid w:val="00960721"/>
    <w:rsid w:val="00960C5A"/>
    <w:rsid w:val="00962347"/>
    <w:rsid w:val="00962496"/>
    <w:rsid w:val="00962924"/>
    <w:rsid w:val="00962DAD"/>
    <w:rsid w:val="00963151"/>
    <w:rsid w:val="00963260"/>
    <w:rsid w:val="0096328E"/>
    <w:rsid w:val="00963307"/>
    <w:rsid w:val="00964750"/>
    <w:rsid w:val="00964A10"/>
    <w:rsid w:val="009652B6"/>
    <w:rsid w:val="009656F5"/>
    <w:rsid w:val="0096579F"/>
    <w:rsid w:val="00965B3D"/>
    <w:rsid w:val="00966055"/>
    <w:rsid w:val="00966369"/>
    <w:rsid w:val="00966427"/>
    <w:rsid w:val="009665DD"/>
    <w:rsid w:val="00966906"/>
    <w:rsid w:val="00966AC4"/>
    <w:rsid w:val="009676E7"/>
    <w:rsid w:val="009677DB"/>
    <w:rsid w:val="0097046D"/>
    <w:rsid w:val="00970614"/>
    <w:rsid w:val="00970796"/>
    <w:rsid w:val="00970E63"/>
    <w:rsid w:val="00970E6B"/>
    <w:rsid w:val="00970FF0"/>
    <w:rsid w:val="009710EE"/>
    <w:rsid w:val="009714D4"/>
    <w:rsid w:val="00971648"/>
    <w:rsid w:val="009726C2"/>
    <w:rsid w:val="0097278F"/>
    <w:rsid w:val="00972854"/>
    <w:rsid w:val="00972CC9"/>
    <w:rsid w:val="00973519"/>
    <w:rsid w:val="0097354E"/>
    <w:rsid w:val="00973658"/>
    <w:rsid w:val="009736DE"/>
    <w:rsid w:val="0097431F"/>
    <w:rsid w:val="009745EE"/>
    <w:rsid w:val="00974C1F"/>
    <w:rsid w:val="00974DD9"/>
    <w:rsid w:val="00975086"/>
    <w:rsid w:val="009752B6"/>
    <w:rsid w:val="0097604E"/>
    <w:rsid w:val="009767C4"/>
    <w:rsid w:val="00976952"/>
    <w:rsid w:val="00976A50"/>
    <w:rsid w:val="00976FBE"/>
    <w:rsid w:val="00977111"/>
    <w:rsid w:val="0097748D"/>
    <w:rsid w:val="00977EA1"/>
    <w:rsid w:val="00977F4A"/>
    <w:rsid w:val="00980248"/>
    <w:rsid w:val="0098084B"/>
    <w:rsid w:val="00980B47"/>
    <w:rsid w:val="00980BD4"/>
    <w:rsid w:val="00980C2F"/>
    <w:rsid w:val="00980CA1"/>
    <w:rsid w:val="00980CBD"/>
    <w:rsid w:val="00980E0E"/>
    <w:rsid w:val="00981994"/>
    <w:rsid w:val="009826D1"/>
    <w:rsid w:val="009827F1"/>
    <w:rsid w:val="00982AEF"/>
    <w:rsid w:val="0098300B"/>
    <w:rsid w:val="00983819"/>
    <w:rsid w:val="00983BDD"/>
    <w:rsid w:val="00983ED0"/>
    <w:rsid w:val="00983F25"/>
    <w:rsid w:val="00984515"/>
    <w:rsid w:val="009847B8"/>
    <w:rsid w:val="00984CEE"/>
    <w:rsid w:val="00985AC6"/>
    <w:rsid w:val="00985BC4"/>
    <w:rsid w:val="00985EAE"/>
    <w:rsid w:val="0098610E"/>
    <w:rsid w:val="00986291"/>
    <w:rsid w:val="0098691B"/>
    <w:rsid w:val="00986C0E"/>
    <w:rsid w:val="0098719D"/>
    <w:rsid w:val="00987C47"/>
    <w:rsid w:val="00987D8C"/>
    <w:rsid w:val="00990745"/>
    <w:rsid w:val="00990C98"/>
    <w:rsid w:val="00990DED"/>
    <w:rsid w:val="009916CB"/>
    <w:rsid w:val="00991902"/>
    <w:rsid w:val="00991F1B"/>
    <w:rsid w:val="009938C3"/>
    <w:rsid w:val="0099398B"/>
    <w:rsid w:val="009939AA"/>
    <w:rsid w:val="00993BD5"/>
    <w:rsid w:val="0099411E"/>
    <w:rsid w:val="009945D9"/>
    <w:rsid w:val="0099470F"/>
    <w:rsid w:val="0099471D"/>
    <w:rsid w:val="00994C71"/>
    <w:rsid w:val="00994E59"/>
    <w:rsid w:val="00995074"/>
    <w:rsid w:val="00995231"/>
    <w:rsid w:val="009957D7"/>
    <w:rsid w:val="009959E1"/>
    <w:rsid w:val="00995A9B"/>
    <w:rsid w:val="00996188"/>
    <w:rsid w:val="00996189"/>
    <w:rsid w:val="009961B0"/>
    <w:rsid w:val="00996258"/>
    <w:rsid w:val="00996644"/>
    <w:rsid w:val="00997DC5"/>
    <w:rsid w:val="00997EA8"/>
    <w:rsid w:val="009A002D"/>
    <w:rsid w:val="009A0CB4"/>
    <w:rsid w:val="009A12F7"/>
    <w:rsid w:val="009A1997"/>
    <w:rsid w:val="009A1ACC"/>
    <w:rsid w:val="009A1CA2"/>
    <w:rsid w:val="009A1E84"/>
    <w:rsid w:val="009A1F6B"/>
    <w:rsid w:val="009A227A"/>
    <w:rsid w:val="009A2408"/>
    <w:rsid w:val="009A272A"/>
    <w:rsid w:val="009A2941"/>
    <w:rsid w:val="009A29C8"/>
    <w:rsid w:val="009A2A2A"/>
    <w:rsid w:val="009A2FF9"/>
    <w:rsid w:val="009A32ED"/>
    <w:rsid w:val="009A3ABF"/>
    <w:rsid w:val="009A3BA2"/>
    <w:rsid w:val="009A3C2F"/>
    <w:rsid w:val="009A3CB7"/>
    <w:rsid w:val="009A3F2C"/>
    <w:rsid w:val="009A4B35"/>
    <w:rsid w:val="009A4CD2"/>
    <w:rsid w:val="009A5361"/>
    <w:rsid w:val="009A5C92"/>
    <w:rsid w:val="009A5E10"/>
    <w:rsid w:val="009A5EF7"/>
    <w:rsid w:val="009A5F5D"/>
    <w:rsid w:val="009A612F"/>
    <w:rsid w:val="009A629F"/>
    <w:rsid w:val="009A6891"/>
    <w:rsid w:val="009A69D0"/>
    <w:rsid w:val="009A6F6F"/>
    <w:rsid w:val="009A7015"/>
    <w:rsid w:val="009A71A7"/>
    <w:rsid w:val="009A7816"/>
    <w:rsid w:val="009A7899"/>
    <w:rsid w:val="009A7D3F"/>
    <w:rsid w:val="009B05BB"/>
    <w:rsid w:val="009B0689"/>
    <w:rsid w:val="009B0DB7"/>
    <w:rsid w:val="009B1012"/>
    <w:rsid w:val="009B1FC8"/>
    <w:rsid w:val="009B20AA"/>
    <w:rsid w:val="009B2345"/>
    <w:rsid w:val="009B25D9"/>
    <w:rsid w:val="009B27E3"/>
    <w:rsid w:val="009B2C7B"/>
    <w:rsid w:val="009B3293"/>
    <w:rsid w:val="009B3EEA"/>
    <w:rsid w:val="009B40F8"/>
    <w:rsid w:val="009B4167"/>
    <w:rsid w:val="009B4620"/>
    <w:rsid w:val="009B4A73"/>
    <w:rsid w:val="009B4D32"/>
    <w:rsid w:val="009B4E68"/>
    <w:rsid w:val="009B554E"/>
    <w:rsid w:val="009B5551"/>
    <w:rsid w:val="009B5747"/>
    <w:rsid w:val="009B5847"/>
    <w:rsid w:val="009B5D82"/>
    <w:rsid w:val="009B66E8"/>
    <w:rsid w:val="009B6E83"/>
    <w:rsid w:val="009B6EA9"/>
    <w:rsid w:val="009B7038"/>
    <w:rsid w:val="009B717B"/>
    <w:rsid w:val="009B7298"/>
    <w:rsid w:val="009B74BB"/>
    <w:rsid w:val="009B7946"/>
    <w:rsid w:val="009C02B2"/>
    <w:rsid w:val="009C0407"/>
    <w:rsid w:val="009C0587"/>
    <w:rsid w:val="009C06C4"/>
    <w:rsid w:val="009C076F"/>
    <w:rsid w:val="009C10DA"/>
    <w:rsid w:val="009C10E8"/>
    <w:rsid w:val="009C1CCC"/>
    <w:rsid w:val="009C1FAE"/>
    <w:rsid w:val="009C2859"/>
    <w:rsid w:val="009C2C9D"/>
    <w:rsid w:val="009C2EBE"/>
    <w:rsid w:val="009C33CB"/>
    <w:rsid w:val="009C35CE"/>
    <w:rsid w:val="009C3BD2"/>
    <w:rsid w:val="009C3D7C"/>
    <w:rsid w:val="009C3E2E"/>
    <w:rsid w:val="009C4081"/>
    <w:rsid w:val="009C4357"/>
    <w:rsid w:val="009C437A"/>
    <w:rsid w:val="009C44ED"/>
    <w:rsid w:val="009C5193"/>
    <w:rsid w:val="009C5490"/>
    <w:rsid w:val="009C54D2"/>
    <w:rsid w:val="009C55ED"/>
    <w:rsid w:val="009C5A65"/>
    <w:rsid w:val="009C5B8B"/>
    <w:rsid w:val="009C5EDC"/>
    <w:rsid w:val="009C70D0"/>
    <w:rsid w:val="009C74E7"/>
    <w:rsid w:val="009C7A57"/>
    <w:rsid w:val="009C7DF3"/>
    <w:rsid w:val="009C7F15"/>
    <w:rsid w:val="009D0258"/>
    <w:rsid w:val="009D0A3A"/>
    <w:rsid w:val="009D1052"/>
    <w:rsid w:val="009D15E4"/>
    <w:rsid w:val="009D15F0"/>
    <w:rsid w:val="009D1A17"/>
    <w:rsid w:val="009D1B95"/>
    <w:rsid w:val="009D1D12"/>
    <w:rsid w:val="009D1E8F"/>
    <w:rsid w:val="009D2097"/>
    <w:rsid w:val="009D20B8"/>
    <w:rsid w:val="009D2163"/>
    <w:rsid w:val="009D21B3"/>
    <w:rsid w:val="009D23E5"/>
    <w:rsid w:val="009D2523"/>
    <w:rsid w:val="009D26B4"/>
    <w:rsid w:val="009D2CAA"/>
    <w:rsid w:val="009D37C4"/>
    <w:rsid w:val="009D3C25"/>
    <w:rsid w:val="009D3D7A"/>
    <w:rsid w:val="009D3F69"/>
    <w:rsid w:val="009D4189"/>
    <w:rsid w:val="009D4FB2"/>
    <w:rsid w:val="009D510A"/>
    <w:rsid w:val="009D6169"/>
    <w:rsid w:val="009D61D8"/>
    <w:rsid w:val="009D62B4"/>
    <w:rsid w:val="009D730C"/>
    <w:rsid w:val="009D7359"/>
    <w:rsid w:val="009D7757"/>
    <w:rsid w:val="009D783C"/>
    <w:rsid w:val="009D79C8"/>
    <w:rsid w:val="009D7A28"/>
    <w:rsid w:val="009D7E23"/>
    <w:rsid w:val="009E04B8"/>
    <w:rsid w:val="009E0559"/>
    <w:rsid w:val="009E0583"/>
    <w:rsid w:val="009E077C"/>
    <w:rsid w:val="009E0E7C"/>
    <w:rsid w:val="009E11F5"/>
    <w:rsid w:val="009E161F"/>
    <w:rsid w:val="009E1692"/>
    <w:rsid w:val="009E16F0"/>
    <w:rsid w:val="009E1EA4"/>
    <w:rsid w:val="009E2551"/>
    <w:rsid w:val="009E2838"/>
    <w:rsid w:val="009E2920"/>
    <w:rsid w:val="009E2CE9"/>
    <w:rsid w:val="009E2D29"/>
    <w:rsid w:val="009E32CF"/>
    <w:rsid w:val="009E3958"/>
    <w:rsid w:val="009E47AA"/>
    <w:rsid w:val="009E581F"/>
    <w:rsid w:val="009E584B"/>
    <w:rsid w:val="009E58E3"/>
    <w:rsid w:val="009E60D3"/>
    <w:rsid w:val="009E631F"/>
    <w:rsid w:val="009E6340"/>
    <w:rsid w:val="009E6427"/>
    <w:rsid w:val="009E64A1"/>
    <w:rsid w:val="009E6594"/>
    <w:rsid w:val="009E659D"/>
    <w:rsid w:val="009E689D"/>
    <w:rsid w:val="009E6B1B"/>
    <w:rsid w:val="009E7046"/>
    <w:rsid w:val="009E76B8"/>
    <w:rsid w:val="009E771F"/>
    <w:rsid w:val="009E781D"/>
    <w:rsid w:val="009E79B5"/>
    <w:rsid w:val="009F0959"/>
    <w:rsid w:val="009F0A88"/>
    <w:rsid w:val="009F109D"/>
    <w:rsid w:val="009F11F7"/>
    <w:rsid w:val="009F141A"/>
    <w:rsid w:val="009F1497"/>
    <w:rsid w:val="009F1BF2"/>
    <w:rsid w:val="009F1E23"/>
    <w:rsid w:val="009F2044"/>
    <w:rsid w:val="009F206B"/>
    <w:rsid w:val="009F2862"/>
    <w:rsid w:val="009F327C"/>
    <w:rsid w:val="009F32AD"/>
    <w:rsid w:val="009F3478"/>
    <w:rsid w:val="009F34A4"/>
    <w:rsid w:val="009F3986"/>
    <w:rsid w:val="009F39ED"/>
    <w:rsid w:val="009F3BCE"/>
    <w:rsid w:val="009F5320"/>
    <w:rsid w:val="009F5563"/>
    <w:rsid w:val="009F559C"/>
    <w:rsid w:val="009F5A8C"/>
    <w:rsid w:val="009F61EB"/>
    <w:rsid w:val="009F63C4"/>
    <w:rsid w:val="009F648D"/>
    <w:rsid w:val="009F64AA"/>
    <w:rsid w:val="009F6A29"/>
    <w:rsid w:val="009F74D8"/>
    <w:rsid w:val="009F77D6"/>
    <w:rsid w:val="009F7EB0"/>
    <w:rsid w:val="00A000E7"/>
    <w:rsid w:val="00A001B3"/>
    <w:rsid w:val="00A00DD8"/>
    <w:rsid w:val="00A00FC2"/>
    <w:rsid w:val="00A017D8"/>
    <w:rsid w:val="00A02028"/>
    <w:rsid w:val="00A020E8"/>
    <w:rsid w:val="00A032E2"/>
    <w:rsid w:val="00A033FE"/>
    <w:rsid w:val="00A0367E"/>
    <w:rsid w:val="00A040E9"/>
    <w:rsid w:val="00A042B3"/>
    <w:rsid w:val="00A042FD"/>
    <w:rsid w:val="00A04455"/>
    <w:rsid w:val="00A0473F"/>
    <w:rsid w:val="00A04F69"/>
    <w:rsid w:val="00A05212"/>
    <w:rsid w:val="00A05456"/>
    <w:rsid w:val="00A05737"/>
    <w:rsid w:val="00A05897"/>
    <w:rsid w:val="00A05CF5"/>
    <w:rsid w:val="00A05D45"/>
    <w:rsid w:val="00A05F42"/>
    <w:rsid w:val="00A05F5E"/>
    <w:rsid w:val="00A0611E"/>
    <w:rsid w:val="00A062D2"/>
    <w:rsid w:val="00A066DE"/>
    <w:rsid w:val="00A067B1"/>
    <w:rsid w:val="00A06A7B"/>
    <w:rsid w:val="00A06AC4"/>
    <w:rsid w:val="00A06F13"/>
    <w:rsid w:val="00A10C44"/>
    <w:rsid w:val="00A10DFF"/>
    <w:rsid w:val="00A11039"/>
    <w:rsid w:val="00A110AC"/>
    <w:rsid w:val="00A110FB"/>
    <w:rsid w:val="00A111D5"/>
    <w:rsid w:val="00A114CB"/>
    <w:rsid w:val="00A11760"/>
    <w:rsid w:val="00A117EA"/>
    <w:rsid w:val="00A11F93"/>
    <w:rsid w:val="00A120F7"/>
    <w:rsid w:val="00A12430"/>
    <w:rsid w:val="00A12519"/>
    <w:rsid w:val="00A125CC"/>
    <w:rsid w:val="00A128B2"/>
    <w:rsid w:val="00A12A57"/>
    <w:rsid w:val="00A12B24"/>
    <w:rsid w:val="00A12B2A"/>
    <w:rsid w:val="00A1334C"/>
    <w:rsid w:val="00A1350A"/>
    <w:rsid w:val="00A135AE"/>
    <w:rsid w:val="00A140DF"/>
    <w:rsid w:val="00A14518"/>
    <w:rsid w:val="00A145CD"/>
    <w:rsid w:val="00A14C3C"/>
    <w:rsid w:val="00A14CB1"/>
    <w:rsid w:val="00A15054"/>
    <w:rsid w:val="00A15450"/>
    <w:rsid w:val="00A15B59"/>
    <w:rsid w:val="00A15F7E"/>
    <w:rsid w:val="00A161D3"/>
    <w:rsid w:val="00A161E9"/>
    <w:rsid w:val="00A16310"/>
    <w:rsid w:val="00A16635"/>
    <w:rsid w:val="00A16815"/>
    <w:rsid w:val="00A16C95"/>
    <w:rsid w:val="00A17444"/>
    <w:rsid w:val="00A17747"/>
    <w:rsid w:val="00A1790E"/>
    <w:rsid w:val="00A17A60"/>
    <w:rsid w:val="00A17B0C"/>
    <w:rsid w:val="00A17B1A"/>
    <w:rsid w:val="00A17D7B"/>
    <w:rsid w:val="00A17EBA"/>
    <w:rsid w:val="00A2007C"/>
    <w:rsid w:val="00A205EA"/>
    <w:rsid w:val="00A20725"/>
    <w:rsid w:val="00A20750"/>
    <w:rsid w:val="00A2099F"/>
    <w:rsid w:val="00A20AD9"/>
    <w:rsid w:val="00A20E81"/>
    <w:rsid w:val="00A2107F"/>
    <w:rsid w:val="00A21CA7"/>
    <w:rsid w:val="00A21E5B"/>
    <w:rsid w:val="00A21E69"/>
    <w:rsid w:val="00A21F11"/>
    <w:rsid w:val="00A2204B"/>
    <w:rsid w:val="00A221A8"/>
    <w:rsid w:val="00A22207"/>
    <w:rsid w:val="00A22B78"/>
    <w:rsid w:val="00A2333E"/>
    <w:rsid w:val="00A2372C"/>
    <w:rsid w:val="00A23A26"/>
    <w:rsid w:val="00A23D61"/>
    <w:rsid w:val="00A243D1"/>
    <w:rsid w:val="00A24923"/>
    <w:rsid w:val="00A24C70"/>
    <w:rsid w:val="00A24C81"/>
    <w:rsid w:val="00A25310"/>
    <w:rsid w:val="00A25789"/>
    <w:rsid w:val="00A25913"/>
    <w:rsid w:val="00A25C75"/>
    <w:rsid w:val="00A26211"/>
    <w:rsid w:val="00A269E0"/>
    <w:rsid w:val="00A26A7F"/>
    <w:rsid w:val="00A26E4C"/>
    <w:rsid w:val="00A2701F"/>
    <w:rsid w:val="00A27584"/>
    <w:rsid w:val="00A27AC9"/>
    <w:rsid w:val="00A27B04"/>
    <w:rsid w:val="00A302F5"/>
    <w:rsid w:val="00A3072E"/>
    <w:rsid w:val="00A30931"/>
    <w:rsid w:val="00A3094E"/>
    <w:rsid w:val="00A30A4E"/>
    <w:rsid w:val="00A30C04"/>
    <w:rsid w:val="00A30E3F"/>
    <w:rsid w:val="00A31977"/>
    <w:rsid w:val="00A3235B"/>
    <w:rsid w:val="00A323F0"/>
    <w:rsid w:val="00A32616"/>
    <w:rsid w:val="00A336BE"/>
    <w:rsid w:val="00A33E54"/>
    <w:rsid w:val="00A3441B"/>
    <w:rsid w:val="00A3450B"/>
    <w:rsid w:val="00A345D6"/>
    <w:rsid w:val="00A34941"/>
    <w:rsid w:val="00A34B6A"/>
    <w:rsid w:val="00A34FC3"/>
    <w:rsid w:val="00A35608"/>
    <w:rsid w:val="00A35E63"/>
    <w:rsid w:val="00A35F2D"/>
    <w:rsid w:val="00A367A8"/>
    <w:rsid w:val="00A36C83"/>
    <w:rsid w:val="00A36D02"/>
    <w:rsid w:val="00A37234"/>
    <w:rsid w:val="00A376B7"/>
    <w:rsid w:val="00A37A0A"/>
    <w:rsid w:val="00A37D3B"/>
    <w:rsid w:val="00A41A96"/>
    <w:rsid w:val="00A41A97"/>
    <w:rsid w:val="00A41B72"/>
    <w:rsid w:val="00A421C7"/>
    <w:rsid w:val="00A42588"/>
    <w:rsid w:val="00A4285B"/>
    <w:rsid w:val="00A42AB8"/>
    <w:rsid w:val="00A42BFE"/>
    <w:rsid w:val="00A42CCD"/>
    <w:rsid w:val="00A42D32"/>
    <w:rsid w:val="00A42F95"/>
    <w:rsid w:val="00A43071"/>
    <w:rsid w:val="00A430DD"/>
    <w:rsid w:val="00A434B3"/>
    <w:rsid w:val="00A436F5"/>
    <w:rsid w:val="00A43868"/>
    <w:rsid w:val="00A43A55"/>
    <w:rsid w:val="00A440B3"/>
    <w:rsid w:val="00A4424B"/>
    <w:rsid w:val="00A44400"/>
    <w:rsid w:val="00A4486F"/>
    <w:rsid w:val="00A449AD"/>
    <w:rsid w:val="00A44AF5"/>
    <w:rsid w:val="00A44B3D"/>
    <w:rsid w:val="00A44B82"/>
    <w:rsid w:val="00A44FA4"/>
    <w:rsid w:val="00A4587B"/>
    <w:rsid w:val="00A46332"/>
    <w:rsid w:val="00A465B7"/>
    <w:rsid w:val="00A46611"/>
    <w:rsid w:val="00A46BEF"/>
    <w:rsid w:val="00A46C95"/>
    <w:rsid w:val="00A46E32"/>
    <w:rsid w:val="00A46E65"/>
    <w:rsid w:val="00A474C0"/>
    <w:rsid w:val="00A47DB2"/>
    <w:rsid w:val="00A47FD4"/>
    <w:rsid w:val="00A50706"/>
    <w:rsid w:val="00A50A90"/>
    <w:rsid w:val="00A50B3E"/>
    <w:rsid w:val="00A50BA5"/>
    <w:rsid w:val="00A50C18"/>
    <w:rsid w:val="00A50D97"/>
    <w:rsid w:val="00A51B03"/>
    <w:rsid w:val="00A51BF2"/>
    <w:rsid w:val="00A51C56"/>
    <w:rsid w:val="00A52983"/>
    <w:rsid w:val="00A52A14"/>
    <w:rsid w:val="00A538D8"/>
    <w:rsid w:val="00A53981"/>
    <w:rsid w:val="00A542ED"/>
    <w:rsid w:val="00A54CE3"/>
    <w:rsid w:val="00A55C2A"/>
    <w:rsid w:val="00A56C4F"/>
    <w:rsid w:val="00A5713F"/>
    <w:rsid w:val="00A571A1"/>
    <w:rsid w:val="00A57247"/>
    <w:rsid w:val="00A57B0B"/>
    <w:rsid w:val="00A57E67"/>
    <w:rsid w:val="00A6056E"/>
    <w:rsid w:val="00A60AD1"/>
    <w:rsid w:val="00A60F37"/>
    <w:rsid w:val="00A60FEE"/>
    <w:rsid w:val="00A61187"/>
    <w:rsid w:val="00A616DB"/>
    <w:rsid w:val="00A61AD7"/>
    <w:rsid w:val="00A61CBF"/>
    <w:rsid w:val="00A62015"/>
    <w:rsid w:val="00A626BC"/>
    <w:rsid w:val="00A62FB3"/>
    <w:rsid w:val="00A62FD0"/>
    <w:rsid w:val="00A63187"/>
    <w:rsid w:val="00A63461"/>
    <w:rsid w:val="00A63F2B"/>
    <w:rsid w:val="00A63F3A"/>
    <w:rsid w:val="00A64212"/>
    <w:rsid w:val="00A645C0"/>
    <w:rsid w:val="00A64748"/>
    <w:rsid w:val="00A649B2"/>
    <w:rsid w:val="00A64AD9"/>
    <w:rsid w:val="00A64C50"/>
    <w:rsid w:val="00A65B25"/>
    <w:rsid w:val="00A65B8E"/>
    <w:rsid w:val="00A665AF"/>
    <w:rsid w:val="00A666F1"/>
    <w:rsid w:val="00A67112"/>
    <w:rsid w:val="00A6720C"/>
    <w:rsid w:val="00A70306"/>
    <w:rsid w:val="00A70964"/>
    <w:rsid w:val="00A70A2B"/>
    <w:rsid w:val="00A714CF"/>
    <w:rsid w:val="00A7189F"/>
    <w:rsid w:val="00A71BD5"/>
    <w:rsid w:val="00A71BFC"/>
    <w:rsid w:val="00A71F03"/>
    <w:rsid w:val="00A7205F"/>
    <w:rsid w:val="00A720DC"/>
    <w:rsid w:val="00A72511"/>
    <w:rsid w:val="00A7252A"/>
    <w:rsid w:val="00A72ABD"/>
    <w:rsid w:val="00A72EF5"/>
    <w:rsid w:val="00A72FFD"/>
    <w:rsid w:val="00A73345"/>
    <w:rsid w:val="00A73793"/>
    <w:rsid w:val="00A73A99"/>
    <w:rsid w:val="00A73D47"/>
    <w:rsid w:val="00A73E1D"/>
    <w:rsid w:val="00A73F11"/>
    <w:rsid w:val="00A7426F"/>
    <w:rsid w:val="00A745CD"/>
    <w:rsid w:val="00A74B47"/>
    <w:rsid w:val="00A74B57"/>
    <w:rsid w:val="00A74C25"/>
    <w:rsid w:val="00A74CB2"/>
    <w:rsid w:val="00A74E48"/>
    <w:rsid w:val="00A75427"/>
    <w:rsid w:val="00A75472"/>
    <w:rsid w:val="00A75B9E"/>
    <w:rsid w:val="00A75F42"/>
    <w:rsid w:val="00A75FC8"/>
    <w:rsid w:val="00A7658E"/>
    <w:rsid w:val="00A7757E"/>
    <w:rsid w:val="00A776DC"/>
    <w:rsid w:val="00A77A29"/>
    <w:rsid w:val="00A77A43"/>
    <w:rsid w:val="00A77B65"/>
    <w:rsid w:val="00A80504"/>
    <w:rsid w:val="00A8095A"/>
    <w:rsid w:val="00A80EBC"/>
    <w:rsid w:val="00A8109C"/>
    <w:rsid w:val="00A8140D"/>
    <w:rsid w:val="00A8153B"/>
    <w:rsid w:val="00A81D4A"/>
    <w:rsid w:val="00A81E47"/>
    <w:rsid w:val="00A81FE3"/>
    <w:rsid w:val="00A824BA"/>
    <w:rsid w:val="00A8267C"/>
    <w:rsid w:val="00A82CF0"/>
    <w:rsid w:val="00A82D5B"/>
    <w:rsid w:val="00A82E43"/>
    <w:rsid w:val="00A8308E"/>
    <w:rsid w:val="00A83AC4"/>
    <w:rsid w:val="00A83C9C"/>
    <w:rsid w:val="00A83E23"/>
    <w:rsid w:val="00A83FD3"/>
    <w:rsid w:val="00A8412F"/>
    <w:rsid w:val="00A84155"/>
    <w:rsid w:val="00A84169"/>
    <w:rsid w:val="00A844CF"/>
    <w:rsid w:val="00A8464E"/>
    <w:rsid w:val="00A847B7"/>
    <w:rsid w:val="00A847DC"/>
    <w:rsid w:val="00A84B66"/>
    <w:rsid w:val="00A856B0"/>
    <w:rsid w:val="00A85914"/>
    <w:rsid w:val="00A85B79"/>
    <w:rsid w:val="00A85D7F"/>
    <w:rsid w:val="00A85F9F"/>
    <w:rsid w:val="00A85FDD"/>
    <w:rsid w:val="00A8626E"/>
    <w:rsid w:val="00A8657D"/>
    <w:rsid w:val="00A8661F"/>
    <w:rsid w:val="00A866D2"/>
    <w:rsid w:val="00A86815"/>
    <w:rsid w:val="00A86896"/>
    <w:rsid w:val="00A86ACA"/>
    <w:rsid w:val="00A87A0C"/>
    <w:rsid w:val="00A87D17"/>
    <w:rsid w:val="00A87F13"/>
    <w:rsid w:val="00A87FC3"/>
    <w:rsid w:val="00A90254"/>
    <w:rsid w:val="00A902A6"/>
    <w:rsid w:val="00A902D6"/>
    <w:rsid w:val="00A90D47"/>
    <w:rsid w:val="00A9130F"/>
    <w:rsid w:val="00A91465"/>
    <w:rsid w:val="00A91476"/>
    <w:rsid w:val="00A915F5"/>
    <w:rsid w:val="00A916B2"/>
    <w:rsid w:val="00A91A45"/>
    <w:rsid w:val="00A91B9F"/>
    <w:rsid w:val="00A92416"/>
    <w:rsid w:val="00A926DE"/>
    <w:rsid w:val="00A9277A"/>
    <w:rsid w:val="00A9293F"/>
    <w:rsid w:val="00A92E0D"/>
    <w:rsid w:val="00A930B9"/>
    <w:rsid w:val="00A930C1"/>
    <w:rsid w:val="00A9328F"/>
    <w:rsid w:val="00A93819"/>
    <w:rsid w:val="00A93B63"/>
    <w:rsid w:val="00A93EB9"/>
    <w:rsid w:val="00A9453F"/>
    <w:rsid w:val="00A94B02"/>
    <w:rsid w:val="00A94D70"/>
    <w:rsid w:val="00A95617"/>
    <w:rsid w:val="00A959E3"/>
    <w:rsid w:val="00A96068"/>
    <w:rsid w:val="00A96469"/>
    <w:rsid w:val="00A9734C"/>
    <w:rsid w:val="00A9767E"/>
    <w:rsid w:val="00A976C6"/>
    <w:rsid w:val="00A97764"/>
    <w:rsid w:val="00AA0248"/>
    <w:rsid w:val="00AA0591"/>
    <w:rsid w:val="00AA060F"/>
    <w:rsid w:val="00AA0ACB"/>
    <w:rsid w:val="00AA0BF8"/>
    <w:rsid w:val="00AA115F"/>
    <w:rsid w:val="00AA12AA"/>
    <w:rsid w:val="00AA1403"/>
    <w:rsid w:val="00AA1E71"/>
    <w:rsid w:val="00AA1FE9"/>
    <w:rsid w:val="00AA229F"/>
    <w:rsid w:val="00AA2BBF"/>
    <w:rsid w:val="00AA37E2"/>
    <w:rsid w:val="00AA38F8"/>
    <w:rsid w:val="00AA3EF5"/>
    <w:rsid w:val="00AA40CB"/>
    <w:rsid w:val="00AA4439"/>
    <w:rsid w:val="00AA463D"/>
    <w:rsid w:val="00AA56F3"/>
    <w:rsid w:val="00AA58F0"/>
    <w:rsid w:val="00AA597C"/>
    <w:rsid w:val="00AA5EE4"/>
    <w:rsid w:val="00AA5FE0"/>
    <w:rsid w:val="00AA6725"/>
    <w:rsid w:val="00AA6980"/>
    <w:rsid w:val="00AA6B6D"/>
    <w:rsid w:val="00AA6D67"/>
    <w:rsid w:val="00AA6F58"/>
    <w:rsid w:val="00AA75BC"/>
    <w:rsid w:val="00AA773B"/>
    <w:rsid w:val="00AA7BC0"/>
    <w:rsid w:val="00AA7F8D"/>
    <w:rsid w:val="00AA7F98"/>
    <w:rsid w:val="00AB03FE"/>
    <w:rsid w:val="00AB0A0C"/>
    <w:rsid w:val="00AB102F"/>
    <w:rsid w:val="00AB1711"/>
    <w:rsid w:val="00AB198B"/>
    <w:rsid w:val="00AB247D"/>
    <w:rsid w:val="00AB270E"/>
    <w:rsid w:val="00AB2CE5"/>
    <w:rsid w:val="00AB2DDE"/>
    <w:rsid w:val="00AB2FEB"/>
    <w:rsid w:val="00AB33D2"/>
    <w:rsid w:val="00AB368D"/>
    <w:rsid w:val="00AB36E4"/>
    <w:rsid w:val="00AB372F"/>
    <w:rsid w:val="00AB3B92"/>
    <w:rsid w:val="00AB3F4D"/>
    <w:rsid w:val="00AB45EF"/>
    <w:rsid w:val="00AB4771"/>
    <w:rsid w:val="00AB49A7"/>
    <w:rsid w:val="00AB4B90"/>
    <w:rsid w:val="00AB505B"/>
    <w:rsid w:val="00AB520E"/>
    <w:rsid w:val="00AB5EC1"/>
    <w:rsid w:val="00AB69C2"/>
    <w:rsid w:val="00AB6A5D"/>
    <w:rsid w:val="00AB6E30"/>
    <w:rsid w:val="00AB724F"/>
    <w:rsid w:val="00AB75E1"/>
    <w:rsid w:val="00AB7872"/>
    <w:rsid w:val="00AB79B5"/>
    <w:rsid w:val="00AB7A17"/>
    <w:rsid w:val="00AB7C9F"/>
    <w:rsid w:val="00AC0118"/>
    <w:rsid w:val="00AC026E"/>
    <w:rsid w:val="00AC096F"/>
    <w:rsid w:val="00AC0ABB"/>
    <w:rsid w:val="00AC0C8A"/>
    <w:rsid w:val="00AC0D92"/>
    <w:rsid w:val="00AC1175"/>
    <w:rsid w:val="00AC1260"/>
    <w:rsid w:val="00AC1442"/>
    <w:rsid w:val="00AC1D33"/>
    <w:rsid w:val="00AC223E"/>
    <w:rsid w:val="00AC2240"/>
    <w:rsid w:val="00AC23EC"/>
    <w:rsid w:val="00AC2507"/>
    <w:rsid w:val="00AC318B"/>
    <w:rsid w:val="00AC3ECA"/>
    <w:rsid w:val="00AC41E5"/>
    <w:rsid w:val="00AC426F"/>
    <w:rsid w:val="00AC4CB5"/>
    <w:rsid w:val="00AC52EB"/>
    <w:rsid w:val="00AC5899"/>
    <w:rsid w:val="00AC5D37"/>
    <w:rsid w:val="00AC5FD5"/>
    <w:rsid w:val="00AC62F2"/>
    <w:rsid w:val="00AC6BE8"/>
    <w:rsid w:val="00AC7592"/>
    <w:rsid w:val="00AC7635"/>
    <w:rsid w:val="00AC782E"/>
    <w:rsid w:val="00AC7F4F"/>
    <w:rsid w:val="00AD00F8"/>
    <w:rsid w:val="00AD0578"/>
    <w:rsid w:val="00AD0971"/>
    <w:rsid w:val="00AD0B83"/>
    <w:rsid w:val="00AD15AB"/>
    <w:rsid w:val="00AD164C"/>
    <w:rsid w:val="00AD172F"/>
    <w:rsid w:val="00AD1B79"/>
    <w:rsid w:val="00AD1DFC"/>
    <w:rsid w:val="00AD1FEC"/>
    <w:rsid w:val="00AD278C"/>
    <w:rsid w:val="00AD2EB5"/>
    <w:rsid w:val="00AD3285"/>
    <w:rsid w:val="00AD340A"/>
    <w:rsid w:val="00AD37DC"/>
    <w:rsid w:val="00AD44C4"/>
    <w:rsid w:val="00AD46F4"/>
    <w:rsid w:val="00AD491A"/>
    <w:rsid w:val="00AD4DDD"/>
    <w:rsid w:val="00AD4E97"/>
    <w:rsid w:val="00AD5767"/>
    <w:rsid w:val="00AD59E0"/>
    <w:rsid w:val="00AD5CEC"/>
    <w:rsid w:val="00AD62D0"/>
    <w:rsid w:val="00AD6C53"/>
    <w:rsid w:val="00AD72D6"/>
    <w:rsid w:val="00AD73DD"/>
    <w:rsid w:val="00AD7674"/>
    <w:rsid w:val="00AD784B"/>
    <w:rsid w:val="00AD7AB9"/>
    <w:rsid w:val="00AE000D"/>
    <w:rsid w:val="00AE03BE"/>
    <w:rsid w:val="00AE03E0"/>
    <w:rsid w:val="00AE0DAA"/>
    <w:rsid w:val="00AE0F7E"/>
    <w:rsid w:val="00AE1523"/>
    <w:rsid w:val="00AE1855"/>
    <w:rsid w:val="00AE1A52"/>
    <w:rsid w:val="00AE1ABC"/>
    <w:rsid w:val="00AE2B67"/>
    <w:rsid w:val="00AE32A0"/>
    <w:rsid w:val="00AE3410"/>
    <w:rsid w:val="00AE36AD"/>
    <w:rsid w:val="00AE3F6F"/>
    <w:rsid w:val="00AE4036"/>
    <w:rsid w:val="00AE458F"/>
    <w:rsid w:val="00AE46D1"/>
    <w:rsid w:val="00AE4942"/>
    <w:rsid w:val="00AE4A43"/>
    <w:rsid w:val="00AE4AFA"/>
    <w:rsid w:val="00AE4D23"/>
    <w:rsid w:val="00AE5311"/>
    <w:rsid w:val="00AE598D"/>
    <w:rsid w:val="00AE5A3C"/>
    <w:rsid w:val="00AE5D68"/>
    <w:rsid w:val="00AE60E3"/>
    <w:rsid w:val="00AE6116"/>
    <w:rsid w:val="00AE6393"/>
    <w:rsid w:val="00AE6570"/>
    <w:rsid w:val="00AE6DC6"/>
    <w:rsid w:val="00AE6EC3"/>
    <w:rsid w:val="00AE7117"/>
    <w:rsid w:val="00AE7833"/>
    <w:rsid w:val="00AE7937"/>
    <w:rsid w:val="00AE7A0C"/>
    <w:rsid w:val="00AE7BC8"/>
    <w:rsid w:val="00AE7ECA"/>
    <w:rsid w:val="00AF0175"/>
    <w:rsid w:val="00AF02A9"/>
    <w:rsid w:val="00AF037F"/>
    <w:rsid w:val="00AF03BF"/>
    <w:rsid w:val="00AF0590"/>
    <w:rsid w:val="00AF07AE"/>
    <w:rsid w:val="00AF0842"/>
    <w:rsid w:val="00AF0886"/>
    <w:rsid w:val="00AF0F5D"/>
    <w:rsid w:val="00AF0F88"/>
    <w:rsid w:val="00AF12C0"/>
    <w:rsid w:val="00AF21E9"/>
    <w:rsid w:val="00AF24ED"/>
    <w:rsid w:val="00AF274E"/>
    <w:rsid w:val="00AF29F0"/>
    <w:rsid w:val="00AF2B5A"/>
    <w:rsid w:val="00AF2C2D"/>
    <w:rsid w:val="00AF2E47"/>
    <w:rsid w:val="00AF2F35"/>
    <w:rsid w:val="00AF3251"/>
    <w:rsid w:val="00AF3286"/>
    <w:rsid w:val="00AF33B9"/>
    <w:rsid w:val="00AF45EC"/>
    <w:rsid w:val="00AF4703"/>
    <w:rsid w:val="00AF4D30"/>
    <w:rsid w:val="00AF4D9D"/>
    <w:rsid w:val="00AF4E3E"/>
    <w:rsid w:val="00AF4EA7"/>
    <w:rsid w:val="00AF4EC0"/>
    <w:rsid w:val="00AF51F0"/>
    <w:rsid w:val="00AF531C"/>
    <w:rsid w:val="00AF5B4B"/>
    <w:rsid w:val="00AF5FCA"/>
    <w:rsid w:val="00AF6190"/>
    <w:rsid w:val="00AF6246"/>
    <w:rsid w:val="00AF6777"/>
    <w:rsid w:val="00AF7154"/>
    <w:rsid w:val="00AF73F1"/>
    <w:rsid w:val="00AF7418"/>
    <w:rsid w:val="00AF7633"/>
    <w:rsid w:val="00B0025C"/>
    <w:rsid w:val="00B0145E"/>
    <w:rsid w:val="00B016F2"/>
    <w:rsid w:val="00B01743"/>
    <w:rsid w:val="00B0188B"/>
    <w:rsid w:val="00B01CD1"/>
    <w:rsid w:val="00B027F2"/>
    <w:rsid w:val="00B02C80"/>
    <w:rsid w:val="00B02D96"/>
    <w:rsid w:val="00B030C5"/>
    <w:rsid w:val="00B0330F"/>
    <w:rsid w:val="00B036C4"/>
    <w:rsid w:val="00B03AAF"/>
    <w:rsid w:val="00B03ECA"/>
    <w:rsid w:val="00B04623"/>
    <w:rsid w:val="00B046C9"/>
    <w:rsid w:val="00B0478C"/>
    <w:rsid w:val="00B047A3"/>
    <w:rsid w:val="00B04D79"/>
    <w:rsid w:val="00B05776"/>
    <w:rsid w:val="00B065A9"/>
    <w:rsid w:val="00B067FA"/>
    <w:rsid w:val="00B069B0"/>
    <w:rsid w:val="00B06FBC"/>
    <w:rsid w:val="00B073EF"/>
    <w:rsid w:val="00B0793D"/>
    <w:rsid w:val="00B07AF9"/>
    <w:rsid w:val="00B07D30"/>
    <w:rsid w:val="00B100AF"/>
    <w:rsid w:val="00B1052A"/>
    <w:rsid w:val="00B10864"/>
    <w:rsid w:val="00B10C87"/>
    <w:rsid w:val="00B10E7E"/>
    <w:rsid w:val="00B10F8E"/>
    <w:rsid w:val="00B118A0"/>
    <w:rsid w:val="00B1247F"/>
    <w:rsid w:val="00B12645"/>
    <w:rsid w:val="00B12676"/>
    <w:rsid w:val="00B12804"/>
    <w:rsid w:val="00B12CB4"/>
    <w:rsid w:val="00B1300A"/>
    <w:rsid w:val="00B13255"/>
    <w:rsid w:val="00B13BD5"/>
    <w:rsid w:val="00B13CD1"/>
    <w:rsid w:val="00B14029"/>
    <w:rsid w:val="00B14344"/>
    <w:rsid w:val="00B14591"/>
    <w:rsid w:val="00B14B03"/>
    <w:rsid w:val="00B14F90"/>
    <w:rsid w:val="00B150A2"/>
    <w:rsid w:val="00B1554E"/>
    <w:rsid w:val="00B15E54"/>
    <w:rsid w:val="00B160E4"/>
    <w:rsid w:val="00B16199"/>
    <w:rsid w:val="00B161B3"/>
    <w:rsid w:val="00B163FF"/>
    <w:rsid w:val="00B165F1"/>
    <w:rsid w:val="00B16745"/>
    <w:rsid w:val="00B169F6"/>
    <w:rsid w:val="00B17B03"/>
    <w:rsid w:val="00B20378"/>
    <w:rsid w:val="00B2049B"/>
    <w:rsid w:val="00B20888"/>
    <w:rsid w:val="00B20AB6"/>
    <w:rsid w:val="00B20BB1"/>
    <w:rsid w:val="00B20BEA"/>
    <w:rsid w:val="00B20FC0"/>
    <w:rsid w:val="00B2122E"/>
    <w:rsid w:val="00B2136C"/>
    <w:rsid w:val="00B21883"/>
    <w:rsid w:val="00B21F1D"/>
    <w:rsid w:val="00B22210"/>
    <w:rsid w:val="00B225A4"/>
    <w:rsid w:val="00B229DB"/>
    <w:rsid w:val="00B22BFB"/>
    <w:rsid w:val="00B2375E"/>
    <w:rsid w:val="00B23812"/>
    <w:rsid w:val="00B2390F"/>
    <w:rsid w:val="00B2393B"/>
    <w:rsid w:val="00B249CE"/>
    <w:rsid w:val="00B24C59"/>
    <w:rsid w:val="00B2542A"/>
    <w:rsid w:val="00B254FE"/>
    <w:rsid w:val="00B25535"/>
    <w:rsid w:val="00B25632"/>
    <w:rsid w:val="00B2583D"/>
    <w:rsid w:val="00B25C0D"/>
    <w:rsid w:val="00B25C49"/>
    <w:rsid w:val="00B26458"/>
    <w:rsid w:val="00B26542"/>
    <w:rsid w:val="00B2668F"/>
    <w:rsid w:val="00B269D8"/>
    <w:rsid w:val="00B26BC6"/>
    <w:rsid w:val="00B26FDF"/>
    <w:rsid w:val="00B27411"/>
    <w:rsid w:val="00B275E2"/>
    <w:rsid w:val="00B27A5A"/>
    <w:rsid w:val="00B300F8"/>
    <w:rsid w:val="00B302F0"/>
    <w:rsid w:val="00B30511"/>
    <w:rsid w:val="00B30520"/>
    <w:rsid w:val="00B30919"/>
    <w:rsid w:val="00B30948"/>
    <w:rsid w:val="00B30E74"/>
    <w:rsid w:val="00B3137E"/>
    <w:rsid w:val="00B31553"/>
    <w:rsid w:val="00B31874"/>
    <w:rsid w:val="00B31A11"/>
    <w:rsid w:val="00B31D84"/>
    <w:rsid w:val="00B31EDF"/>
    <w:rsid w:val="00B31F6F"/>
    <w:rsid w:val="00B320DA"/>
    <w:rsid w:val="00B327D5"/>
    <w:rsid w:val="00B32D9B"/>
    <w:rsid w:val="00B32E81"/>
    <w:rsid w:val="00B33406"/>
    <w:rsid w:val="00B33CB0"/>
    <w:rsid w:val="00B33D52"/>
    <w:rsid w:val="00B341E9"/>
    <w:rsid w:val="00B34CF0"/>
    <w:rsid w:val="00B34E88"/>
    <w:rsid w:val="00B350B8"/>
    <w:rsid w:val="00B351F7"/>
    <w:rsid w:val="00B3536B"/>
    <w:rsid w:val="00B357DA"/>
    <w:rsid w:val="00B35B61"/>
    <w:rsid w:val="00B35BA8"/>
    <w:rsid w:val="00B35BDF"/>
    <w:rsid w:val="00B35F49"/>
    <w:rsid w:val="00B36161"/>
    <w:rsid w:val="00B36683"/>
    <w:rsid w:val="00B36ABB"/>
    <w:rsid w:val="00B36FBB"/>
    <w:rsid w:val="00B372A5"/>
    <w:rsid w:val="00B376F1"/>
    <w:rsid w:val="00B37D20"/>
    <w:rsid w:val="00B40074"/>
    <w:rsid w:val="00B40158"/>
    <w:rsid w:val="00B40A37"/>
    <w:rsid w:val="00B40F7A"/>
    <w:rsid w:val="00B417FE"/>
    <w:rsid w:val="00B41EC2"/>
    <w:rsid w:val="00B41F22"/>
    <w:rsid w:val="00B41FCB"/>
    <w:rsid w:val="00B41FE8"/>
    <w:rsid w:val="00B424D8"/>
    <w:rsid w:val="00B428DF"/>
    <w:rsid w:val="00B42A5C"/>
    <w:rsid w:val="00B4320E"/>
    <w:rsid w:val="00B433B7"/>
    <w:rsid w:val="00B438A6"/>
    <w:rsid w:val="00B43907"/>
    <w:rsid w:val="00B43CA6"/>
    <w:rsid w:val="00B43E28"/>
    <w:rsid w:val="00B43EC0"/>
    <w:rsid w:val="00B44367"/>
    <w:rsid w:val="00B44A5F"/>
    <w:rsid w:val="00B44B5E"/>
    <w:rsid w:val="00B44CB7"/>
    <w:rsid w:val="00B44F78"/>
    <w:rsid w:val="00B451D9"/>
    <w:rsid w:val="00B45A74"/>
    <w:rsid w:val="00B465F6"/>
    <w:rsid w:val="00B4667E"/>
    <w:rsid w:val="00B468DE"/>
    <w:rsid w:val="00B469A9"/>
    <w:rsid w:val="00B46B7A"/>
    <w:rsid w:val="00B4711C"/>
    <w:rsid w:val="00B4716F"/>
    <w:rsid w:val="00B471C5"/>
    <w:rsid w:val="00B472F0"/>
    <w:rsid w:val="00B47527"/>
    <w:rsid w:val="00B503ED"/>
    <w:rsid w:val="00B50C7F"/>
    <w:rsid w:val="00B50EF0"/>
    <w:rsid w:val="00B51194"/>
    <w:rsid w:val="00B511E3"/>
    <w:rsid w:val="00B51892"/>
    <w:rsid w:val="00B51ADA"/>
    <w:rsid w:val="00B51DF0"/>
    <w:rsid w:val="00B51EA9"/>
    <w:rsid w:val="00B51F55"/>
    <w:rsid w:val="00B52319"/>
    <w:rsid w:val="00B52B41"/>
    <w:rsid w:val="00B531BE"/>
    <w:rsid w:val="00B5391B"/>
    <w:rsid w:val="00B53C7D"/>
    <w:rsid w:val="00B540AA"/>
    <w:rsid w:val="00B5428F"/>
    <w:rsid w:val="00B54589"/>
    <w:rsid w:val="00B54BB1"/>
    <w:rsid w:val="00B54DA9"/>
    <w:rsid w:val="00B5503F"/>
    <w:rsid w:val="00B55595"/>
    <w:rsid w:val="00B55750"/>
    <w:rsid w:val="00B557E5"/>
    <w:rsid w:val="00B558CB"/>
    <w:rsid w:val="00B55D1E"/>
    <w:rsid w:val="00B5625D"/>
    <w:rsid w:val="00B56692"/>
    <w:rsid w:val="00B56DC4"/>
    <w:rsid w:val="00B57039"/>
    <w:rsid w:val="00B57133"/>
    <w:rsid w:val="00B57284"/>
    <w:rsid w:val="00B575BC"/>
    <w:rsid w:val="00B57A13"/>
    <w:rsid w:val="00B57DFD"/>
    <w:rsid w:val="00B57E9D"/>
    <w:rsid w:val="00B605E5"/>
    <w:rsid w:val="00B60601"/>
    <w:rsid w:val="00B616F3"/>
    <w:rsid w:val="00B6173A"/>
    <w:rsid w:val="00B61EB6"/>
    <w:rsid w:val="00B620E7"/>
    <w:rsid w:val="00B62106"/>
    <w:rsid w:val="00B6227B"/>
    <w:rsid w:val="00B626A0"/>
    <w:rsid w:val="00B6365E"/>
    <w:rsid w:val="00B63692"/>
    <w:rsid w:val="00B63809"/>
    <w:rsid w:val="00B64337"/>
    <w:rsid w:val="00B646AA"/>
    <w:rsid w:val="00B650A7"/>
    <w:rsid w:val="00B65A17"/>
    <w:rsid w:val="00B65CD4"/>
    <w:rsid w:val="00B65D32"/>
    <w:rsid w:val="00B65F14"/>
    <w:rsid w:val="00B662DD"/>
    <w:rsid w:val="00B6645D"/>
    <w:rsid w:val="00B6675C"/>
    <w:rsid w:val="00B669B3"/>
    <w:rsid w:val="00B66EF7"/>
    <w:rsid w:val="00B671A2"/>
    <w:rsid w:val="00B672AD"/>
    <w:rsid w:val="00B67500"/>
    <w:rsid w:val="00B67D2D"/>
    <w:rsid w:val="00B67FAD"/>
    <w:rsid w:val="00B70073"/>
    <w:rsid w:val="00B702B3"/>
    <w:rsid w:val="00B70333"/>
    <w:rsid w:val="00B708CC"/>
    <w:rsid w:val="00B70B77"/>
    <w:rsid w:val="00B71112"/>
    <w:rsid w:val="00B71887"/>
    <w:rsid w:val="00B7228D"/>
    <w:rsid w:val="00B725AE"/>
    <w:rsid w:val="00B72E2F"/>
    <w:rsid w:val="00B72EED"/>
    <w:rsid w:val="00B731B0"/>
    <w:rsid w:val="00B73791"/>
    <w:rsid w:val="00B73ADD"/>
    <w:rsid w:val="00B73B41"/>
    <w:rsid w:val="00B73C50"/>
    <w:rsid w:val="00B73DC8"/>
    <w:rsid w:val="00B7475A"/>
    <w:rsid w:val="00B74AB9"/>
    <w:rsid w:val="00B74D79"/>
    <w:rsid w:val="00B752CA"/>
    <w:rsid w:val="00B7530C"/>
    <w:rsid w:val="00B75B45"/>
    <w:rsid w:val="00B75FE5"/>
    <w:rsid w:val="00B765F7"/>
    <w:rsid w:val="00B7668C"/>
    <w:rsid w:val="00B766E5"/>
    <w:rsid w:val="00B76AB9"/>
    <w:rsid w:val="00B76C1C"/>
    <w:rsid w:val="00B7737A"/>
    <w:rsid w:val="00B774B5"/>
    <w:rsid w:val="00B779F1"/>
    <w:rsid w:val="00B77CA0"/>
    <w:rsid w:val="00B8003A"/>
    <w:rsid w:val="00B80699"/>
    <w:rsid w:val="00B80CC6"/>
    <w:rsid w:val="00B80EC8"/>
    <w:rsid w:val="00B80FBA"/>
    <w:rsid w:val="00B81037"/>
    <w:rsid w:val="00B8144F"/>
    <w:rsid w:val="00B818B4"/>
    <w:rsid w:val="00B819FD"/>
    <w:rsid w:val="00B81D8F"/>
    <w:rsid w:val="00B8288E"/>
    <w:rsid w:val="00B832B6"/>
    <w:rsid w:val="00B834FA"/>
    <w:rsid w:val="00B8362C"/>
    <w:rsid w:val="00B838A4"/>
    <w:rsid w:val="00B83A1E"/>
    <w:rsid w:val="00B83D33"/>
    <w:rsid w:val="00B84298"/>
    <w:rsid w:val="00B8482D"/>
    <w:rsid w:val="00B84A22"/>
    <w:rsid w:val="00B84A78"/>
    <w:rsid w:val="00B84AA4"/>
    <w:rsid w:val="00B84EEA"/>
    <w:rsid w:val="00B85244"/>
    <w:rsid w:val="00B85546"/>
    <w:rsid w:val="00B8593C"/>
    <w:rsid w:val="00B85BA7"/>
    <w:rsid w:val="00B861B7"/>
    <w:rsid w:val="00B86243"/>
    <w:rsid w:val="00B8638C"/>
    <w:rsid w:val="00B86874"/>
    <w:rsid w:val="00B868C7"/>
    <w:rsid w:val="00B872BA"/>
    <w:rsid w:val="00B87378"/>
    <w:rsid w:val="00B87B95"/>
    <w:rsid w:val="00B87C88"/>
    <w:rsid w:val="00B9017C"/>
    <w:rsid w:val="00B902C2"/>
    <w:rsid w:val="00B910E5"/>
    <w:rsid w:val="00B920F1"/>
    <w:rsid w:val="00B92605"/>
    <w:rsid w:val="00B927CB"/>
    <w:rsid w:val="00B932C3"/>
    <w:rsid w:val="00B93310"/>
    <w:rsid w:val="00B9350F"/>
    <w:rsid w:val="00B937ED"/>
    <w:rsid w:val="00B93986"/>
    <w:rsid w:val="00B939EC"/>
    <w:rsid w:val="00B93EF3"/>
    <w:rsid w:val="00B940FD"/>
    <w:rsid w:val="00B9459F"/>
    <w:rsid w:val="00B94FC1"/>
    <w:rsid w:val="00B956F7"/>
    <w:rsid w:val="00B95750"/>
    <w:rsid w:val="00B95E0C"/>
    <w:rsid w:val="00B968FF"/>
    <w:rsid w:val="00B969D5"/>
    <w:rsid w:val="00B96AAE"/>
    <w:rsid w:val="00B96F8C"/>
    <w:rsid w:val="00B974DE"/>
    <w:rsid w:val="00B97660"/>
    <w:rsid w:val="00B979CA"/>
    <w:rsid w:val="00B97BD7"/>
    <w:rsid w:val="00BA13B1"/>
    <w:rsid w:val="00BA1408"/>
    <w:rsid w:val="00BA1E49"/>
    <w:rsid w:val="00BA216C"/>
    <w:rsid w:val="00BA22DF"/>
    <w:rsid w:val="00BA2639"/>
    <w:rsid w:val="00BA28F1"/>
    <w:rsid w:val="00BA2F20"/>
    <w:rsid w:val="00BA30A0"/>
    <w:rsid w:val="00BA387D"/>
    <w:rsid w:val="00BA39C5"/>
    <w:rsid w:val="00BA3D74"/>
    <w:rsid w:val="00BA47BA"/>
    <w:rsid w:val="00BA48D4"/>
    <w:rsid w:val="00BA4AB6"/>
    <w:rsid w:val="00BA4AFE"/>
    <w:rsid w:val="00BA4CF5"/>
    <w:rsid w:val="00BA4F13"/>
    <w:rsid w:val="00BA5847"/>
    <w:rsid w:val="00BA5AAB"/>
    <w:rsid w:val="00BA5B1F"/>
    <w:rsid w:val="00BA5CBB"/>
    <w:rsid w:val="00BA5CE7"/>
    <w:rsid w:val="00BA68E1"/>
    <w:rsid w:val="00BA694B"/>
    <w:rsid w:val="00BA69B0"/>
    <w:rsid w:val="00BA6A7B"/>
    <w:rsid w:val="00BA7B86"/>
    <w:rsid w:val="00BA7B92"/>
    <w:rsid w:val="00BB058E"/>
    <w:rsid w:val="00BB0EC1"/>
    <w:rsid w:val="00BB0FE5"/>
    <w:rsid w:val="00BB115A"/>
    <w:rsid w:val="00BB1759"/>
    <w:rsid w:val="00BB1F3F"/>
    <w:rsid w:val="00BB21E6"/>
    <w:rsid w:val="00BB2504"/>
    <w:rsid w:val="00BB25B2"/>
    <w:rsid w:val="00BB262A"/>
    <w:rsid w:val="00BB2950"/>
    <w:rsid w:val="00BB2A31"/>
    <w:rsid w:val="00BB3107"/>
    <w:rsid w:val="00BB32D7"/>
    <w:rsid w:val="00BB33AC"/>
    <w:rsid w:val="00BB3ED2"/>
    <w:rsid w:val="00BB4CE7"/>
    <w:rsid w:val="00BB5395"/>
    <w:rsid w:val="00BB567C"/>
    <w:rsid w:val="00BB5D4F"/>
    <w:rsid w:val="00BB6042"/>
    <w:rsid w:val="00BB60ED"/>
    <w:rsid w:val="00BB63F6"/>
    <w:rsid w:val="00BB6BD8"/>
    <w:rsid w:val="00BB6C82"/>
    <w:rsid w:val="00BB6D86"/>
    <w:rsid w:val="00BB6E75"/>
    <w:rsid w:val="00BB74F9"/>
    <w:rsid w:val="00BB75A1"/>
    <w:rsid w:val="00BB75D7"/>
    <w:rsid w:val="00BB7841"/>
    <w:rsid w:val="00BB7935"/>
    <w:rsid w:val="00BC0188"/>
    <w:rsid w:val="00BC01CE"/>
    <w:rsid w:val="00BC01DC"/>
    <w:rsid w:val="00BC0E66"/>
    <w:rsid w:val="00BC16D4"/>
    <w:rsid w:val="00BC16EE"/>
    <w:rsid w:val="00BC18CB"/>
    <w:rsid w:val="00BC1AF4"/>
    <w:rsid w:val="00BC1DD2"/>
    <w:rsid w:val="00BC1DFF"/>
    <w:rsid w:val="00BC21F7"/>
    <w:rsid w:val="00BC2787"/>
    <w:rsid w:val="00BC2A14"/>
    <w:rsid w:val="00BC2F82"/>
    <w:rsid w:val="00BC301D"/>
    <w:rsid w:val="00BC3710"/>
    <w:rsid w:val="00BC38BE"/>
    <w:rsid w:val="00BC3B95"/>
    <w:rsid w:val="00BC43D7"/>
    <w:rsid w:val="00BC4534"/>
    <w:rsid w:val="00BC46AD"/>
    <w:rsid w:val="00BC4BD4"/>
    <w:rsid w:val="00BC5712"/>
    <w:rsid w:val="00BC574C"/>
    <w:rsid w:val="00BC608F"/>
    <w:rsid w:val="00BC6AEE"/>
    <w:rsid w:val="00BC718A"/>
    <w:rsid w:val="00BC73D7"/>
    <w:rsid w:val="00BC7B4B"/>
    <w:rsid w:val="00BD02DB"/>
    <w:rsid w:val="00BD0314"/>
    <w:rsid w:val="00BD040D"/>
    <w:rsid w:val="00BD04BB"/>
    <w:rsid w:val="00BD1019"/>
    <w:rsid w:val="00BD1B02"/>
    <w:rsid w:val="00BD1FCC"/>
    <w:rsid w:val="00BD231A"/>
    <w:rsid w:val="00BD39C5"/>
    <w:rsid w:val="00BD43B6"/>
    <w:rsid w:val="00BD454A"/>
    <w:rsid w:val="00BD46CA"/>
    <w:rsid w:val="00BD4913"/>
    <w:rsid w:val="00BD4CA8"/>
    <w:rsid w:val="00BD5069"/>
    <w:rsid w:val="00BD55F7"/>
    <w:rsid w:val="00BD5A02"/>
    <w:rsid w:val="00BD5C63"/>
    <w:rsid w:val="00BD5FD7"/>
    <w:rsid w:val="00BD614D"/>
    <w:rsid w:val="00BD62D6"/>
    <w:rsid w:val="00BD6D5A"/>
    <w:rsid w:val="00BD6EC5"/>
    <w:rsid w:val="00BD6ECD"/>
    <w:rsid w:val="00BD6F98"/>
    <w:rsid w:val="00BD7708"/>
    <w:rsid w:val="00BD78CC"/>
    <w:rsid w:val="00BD7B21"/>
    <w:rsid w:val="00BD7F5D"/>
    <w:rsid w:val="00BD7F5E"/>
    <w:rsid w:val="00BE0821"/>
    <w:rsid w:val="00BE094E"/>
    <w:rsid w:val="00BE09AF"/>
    <w:rsid w:val="00BE130D"/>
    <w:rsid w:val="00BE1477"/>
    <w:rsid w:val="00BE157D"/>
    <w:rsid w:val="00BE2365"/>
    <w:rsid w:val="00BE2777"/>
    <w:rsid w:val="00BE34B2"/>
    <w:rsid w:val="00BE3886"/>
    <w:rsid w:val="00BE3E3B"/>
    <w:rsid w:val="00BE47E3"/>
    <w:rsid w:val="00BE4AFC"/>
    <w:rsid w:val="00BE4E76"/>
    <w:rsid w:val="00BE4EFE"/>
    <w:rsid w:val="00BE574F"/>
    <w:rsid w:val="00BE5E77"/>
    <w:rsid w:val="00BE5F86"/>
    <w:rsid w:val="00BE61C7"/>
    <w:rsid w:val="00BE64AB"/>
    <w:rsid w:val="00BE6ACE"/>
    <w:rsid w:val="00BE6C63"/>
    <w:rsid w:val="00BE748B"/>
    <w:rsid w:val="00BE75C5"/>
    <w:rsid w:val="00BE7AD6"/>
    <w:rsid w:val="00BE7F4E"/>
    <w:rsid w:val="00BF0110"/>
    <w:rsid w:val="00BF080E"/>
    <w:rsid w:val="00BF0DAD"/>
    <w:rsid w:val="00BF13F7"/>
    <w:rsid w:val="00BF14D7"/>
    <w:rsid w:val="00BF154C"/>
    <w:rsid w:val="00BF17D7"/>
    <w:rsid w:val="00BF208E"/>
    <w:rsid w:val="00BF2940"/>
    <w:rsid w:val="00BF2BD6"/>
    <w:rsid w:val="00BF39A5"/>
    <w:rsid w:val="00BF3E20"/>
    <w:rsid w:val="00BF401E"/>
    <w:rsid w:val="00BF40F3"/>
    <w:rsid w:val="00BF4466"/>
    <w:rsid w:val="00BF4782"/>
    <w:rsid w:val="00BF479D"/>
    <w:rsid w:val="00BF4986"/>
    <w:rsid w:val="00BF5142"/>
    <w:rsid w:val="00BF51BB"/>
    <w:rsid w:val="00BF574B"/>
    <w:rsid w:val="00BF5844"/>
    <w:rsid w:val="00BF5AF7"/>
    <w:rsid w:val="00BF63D9"/>
    <w:rsid w:val="00BF6522"/>
    <w:rsid w:val="00BF671B"/>
    <w:rsid w:val="00BF741A"/>
    <w:rsid w:val="00BF7A3C"/>
    <w:rsid w:val="00BF7DB2"/>
    <w:rsid w:val="00C001A1"/>
    <w:rsid w:val="00C00202"/>
    <w:rsid w:val="00C0048B"/>
    <w:rsid w:val="00C0055A"/>
    <w:rsid w:val="00C00721"/>
    <w:rsid w:val="00C00730"/>
    <w:rsid w:val="00C00A14"/>
    <w:rsid w:val="00C01141"/>
    <w:rsid w:val="00C014B2"/>
    <w:rsid w:val="00C01B2D"/>
    <w:rsid w:val="00C02553"/>
    <w:rsid w:val="00C02609"/>
    <w:rsid w:val="00C02AC4"/>
    <w:rsid w:val="00C02D80"/>
    <w:rsid w:val="00C03270"/>
    <w:rsid w:val="00C03489"/>
    <w:rsid w:val="00C03493"/>
    <w:rsid w:val="00C036E3"/>
    <w:rsid w:val="00C03F33"/>
    <w:rsid w:val="00C03FBE"/>
    <w:rsid w:val="00C040F0"/>
    <w:rsid w:val="00C04251"/>
    <w:rsid w:val="00C04597"/>
    <w:rsid w:val="00C04642"/>
    <w:rsid w:val="00C0486A"/>
    <w:rsid w:val="00C05015"/>
    <w:rsid w:val="00C05994"/>
    <w:rsid w:val="00C05A86"/>
    <w:rsid w:val="00C05D3E"/>
    <w:rsid w:val="00C05DAF"/>
    <w:rsid w:val="00C0604E"/>
    <w:rsid w:val="00C06078"/>
    <w:rsid w:val="00C062A5"/>
    <w:rsid w:val="00C0654F"/>
    <w:rsid w:val="00C067CC"/>
    <w:rsid w:val="00C06E9F"/>
    <w:rsid w:val="00C07A4F"/>
    <w:rsid w:val="00C07C49"/>
    <w:rsid w:val="00C07D04"/>
    <w:rsid w:val="00C10218"/>
    <w:rsid w:val="00C10FF5"/>
    <w:rsid w:val="00C1159A"/>
    <w:rsid w:val="00C1193A"/>
    <w:rsid w:val="00C1211E"/>
    <w:rsid w:val="00C124F5"/>
    <w:rsid w:val="00C12656"/>
    <w:rsid w:val="00C12E00"/>
    <w:rsid w:val="00C12FA3"/>
    <w:rsid w:val="00C12FF3"/>
    <w:rsid w:val="00C13DB8"/>
    <w:rsid w:val="00C14487"/>
    <w:rsid w:val="00C14529"/>
    <w:rsid w:val="00C14CB8"/>
    <w:rsid w:val="00C14D96"/>
    <w:rsid w:val="00C150F6"/>
    <w:rsid w:val="00C153D8"/>
    <w:rsid w:val="00C158B2"/>
    <w:rsid w:val="00C15917"/>
    <w:rsid w:val="00C160FA"/>
    <w:rsid w:val="00C1662E"/>
    <w:rsid w:val="00C16925"/>
    <w:rsid w:val="00C1722F"/>
    <w:rsid w:val="00C17475"/>
    <w:rsid w:val="00C200EF"/>
    <w:rsid w:val="00C2013C"/>
    <w:rsid w:val="00C202EF"/>
    <w:rsid w:val="00C203FD"/>
    <w:rsid w:val="00C207A4"/>
    <w:rsid w:val="00C207D9"/>
    <w:rsid w:val="00C20A25"/>
    <w:rsid w:val="00C20B3C"/>
    <w:rsid w:val="00C20E6B"/>
    <w:rsid w:val="00C2128A"/>
    <w:rsid w:val="00C2153E"/>
    <w:rsid w:val="00C22869"/>
    <w:rsid w:val="00C22A87"/>
    <w:rsid w:val="00C23278"/>
    <w:rsid w:val="00C23496"/>
    <w:rsid w:val="00C234C7"/>
    <w:rsid w:val="00C2360C"/>
    <w:rsid w:val="00C2364B"/>
    <w:rsid w:val="00C23D02"/>
    <w:rsid w:val="00C23E8C"/>
    <w:rsid w:val="00C2433F"/>
    <w:rsid w:val="00C24455"/>
    <w:rsid w:val="00C24488"/>
    <w:rsid w:val="00C246B8"/>
    <w:rsid w:val="00C24864"/>
    <w:rsid w:val="00C24CC4"/>
    <w:rsid w:val="00C24FC6"/>
    <w:rsid w:val="00C253DF"/>
    <w:rsid w:val="00C2587D"/>
    <w:rsid w:val="00C25B9D"/>
    <w:rsid w:val="00C25D5E"/>
    <w:rsid w:val="00C25D73"/>
    <w:rsid w:val="00C25F59"/>
    <w:rsid w:val="00C25FF3"/>
    <w:rsid w:val="00C260FE"/>
    <w:rsid w:val="00C264B5"/>
    <w:rsid w:val="00C26CBE"/>
    <w:rsid w:val="00C27191"/>
    <w:rsid w:val="00C271DC"/>
    <w:rsid w:val="00C27273"/>
    <w:rsid w:val="00C272AE"/>
    <w:rsid w:val="00C27672"/>
    <w:rsid w:val="00C27D44"/>
    <w:rsid w:val="00C27DFA"/>
    <w:rsid w:val="00C307D4"/>
    <w:rsid w:val="00C30E75"/>
    <w:rsid w:val="00C30EE1"/>
    <w:rsid w:val="00C313A1"/>
    <w:rsid w:val="00C3164D"/>
    <w:rsid w:val="00C319B4"/>
    <w:rsid w:val="00C31BCC"/>
    <w:rsid w:val="00C3270E"/>
    <w:rsid w:val="00C32D7F"/>
    <w:rsid w:val="00C33CCD"/>
    <w:rsid w:val="00C33FB6"/>
    <w:rsid w:val="00C33FF1"/>
    <w:rsid w:val="00C342E9"/>
    <w:rsid w:val="00C349FA"/>
    <w:rsid w:val="00C34C09"/>
    <w:rsid w:val="00C34DCC"/>
    <w:rsid w:val="00C3591D"/>
    <w:rsid w:val="00C35DE8"/>
    <w:rsid w:val="00C35F7B"/>
    <w:rsid w:val="00C36283"/>
    <w:rsid w:val="00C3687E"/>
    <w:rsid w:val="00C36CE8"/>
    <w:rsid w:val="00C37172"/>
    <w:rsid w:val="00C375D5"/>
    <w:rsid w:val="00C37B5A"/>
    <w:rsid w:val="00C4007A"/>
    <w:rsid w:val="00C4019A"/>
    <w:rsid w:val="00C40208"/>
    <w:rsid w:val="00C40706"/>
    <w:rsid w:val="00C40FDB"/>
    <w:rsid w:val="00C41551"/>
    <w:rsid w:val="00C41A99"/>
    <w:rsid w:val="00C41C42"/>
    <w:rsid w:val="00C41DA4"/>
    <w:rsid w:val="00C4250F"/>
    <w:rsid w:val="00C43627"/>
    <w:rsid w:val="00C4362F"/>
    <w:rsid w:val="00C43723"/>
    <w:rsid w:val="00C439E7"/>
    <w:rsid w:val="00C43A50"/>
    <w:rsid w:val="00C43A66"/>
    <w:rsid w:val="00C43E79"/>
    <w:rsid w:val="00C44236"/>
    <w:rsid w:val="00C44E54"/>
    <w:rsid w:val="00C44EE4"/>
    <w:rsid w:val="00C454DB"/>
    <w:rsid w:val="00C456FA"/>
    <w:rsid w:val="00C45EF7"/>
    <w:rsid w:val="00C46880"/>
    <w:rsid w:val="00C469C3"/>
    <w:rsid w:val="00C4739C"/>
    <w:rsid w:val="00C47B4F"/>
    <w:rsid w:val="00C47B7F"/>
    <w:rsid w:val="00C47C2E"/>
    <w:rsid w:val="00C47F91"/>
    <w:rsid w:val="00C50368"/>
    <w:rsid w:val="00C508D9"/>
    <w:rsid w:val="00C5091E"/>
    <w:rsid w:val="00C50E51"/>
    <w:rsid w:val="00C5100C"/>
    <w:rsid w:val="00C510C2"/>
    <w:rsid w:val="00C51283"/>
    <w:rsid w:val="00C514A3"/>
    <w:rsid w:val="00C51500"/>
    <w:rsid w:val="00C51B18"/>
    <w:rsid w:val="00C52093"/>
    <w:rsid w:val="00C52A4F"/>
    <w:rsid w:val="00C52A67"/>
    <w:rsid w:val="00C52AE7"/>
    <w:rsid w:val="00C52D57"/>
    <w:rsid w:val="00C530DE"/>
    <w:rsid w:val="00C53540"/>
    <w:rsid w:val="00C54427"/>
    <w:rsid w:val="00C549D6"/>
    <w:rsid w:val="00C549EF"/>
    <w:rsid w:val="00C54B65"/>
    <w:rsid w:val="00C54CDE"/>
    <w:rsid w:val="00C54D16"/>
    <w:rsid w:val="00C54F6B"/>
    <w:rsid w:val="00C555BD"/>
    <w:rsid w:val="00C55F92"/>
    <w:rsid w:val="00C56E36"/>
    <w:rsid w:val="00C57734"/>
    <w:rsid w:val="00C57A2C"/>
    <w:rsid w:val="00C57DF8"/>
    <w:rsid w:val="00C57E3C"/>
    <w:rsid w:val="00C60063"/>
    <w:rsid w:val="00C60291"/>
    <w:rsid w:val="00C60517"/>
    <w:rsid w:val="00C6053C"/>
    <w:rsid w:val="00C61FE3"/>
    <w:rsid w:val="00C620CC"/>
    <w:rsid w:val="00C6265F"/>
    <w:rsid w:val="00C6276F"/>
    <w:rsid w:val="00C62A10"/>
    <w:rsid w:val="00C62AEF"/>
    <w:rsid w:val="00C62F42"/>
    <w:rsid w:val="00C63330"/>
    <w:rsid w:val="00C63C2A"/>
    <w:rsid w:val="00C646A6"/>
    <w:rsid w:val="00C64C3A"/>
    <w:rsid w:val="00C64D56"/>
    <w:rsid w:val="00C65004"/>
    <w:rsid w:val="00C656D3"/>
    <w:rsid w:val="00C65744"/>
    <w:rsid w:val="00C65AAC"/>
    <w:rsid w:val="00C66BA4"/>
    <w:rsid w:val="00C66C69"/>
    <w:rsid w:val="00C67075"/>
    <w:rsid w:val="00C676F2"/>
    <w:rsid w:val="00C6782E"/>
    <w:rsid w:val="00C67890"/>
    <w:rsid w:val="00C67AAB"/>
    <w:rsid w:val="00C67B00"/>
    <w:rsid w:val="00C67B08"/>
    <w:rsid w:val="00C67C6F"/>
    <w:rsid w:val="00C67CD2"/>
    <w:rsid w:val="00C70064"/>
    <w:rsid w:val="00C70389"/>
    <w:rsid w:val="00C70917"/>
    <w:rsid w:val="00C709CB"/>
    <w:rsid w:val="00C70AD7"/>
    <w:rsid w:val="00C70BE9"/>
    <w:rsid w:val="00C70F19"/>
    <w:rsid w:val="00C711D3"/>
    <w:rsid w:val="00C715F0"/>
    <w:rsid w:val="00C7189B"/>
    <w:rsid w:val="00C718DD"/>
    <w:rsid w:val="00C72097"/>
    <w:rsid w:val="00C72231"/>
    <w:rsid w:val="00C72238"/>
    <w:rsid w:val="00C72376"/>
    <w:rsid w:val="00C72905"/>
    <w:rsid w:val="00C72A2E"/>
    <w:rsid w:val="00C7376F"/>
    <w:rsid w:val="00C73953"/>
    <w:rsid w:val="00C73D19"/>
    <w:rsid w:val="00C73E77"/>
    <w:rsid w:val="00C7445B"/>
    <w:rsid w:val="00C7452E"/>
    <w:rsid w:val="00C7464C"/>
    <w:rsid w:val="00C74DBF"/>
    <w:rsid w:val="00C752F6"/>
    <w:rsid w:val="00C7534B"/>
    <w:rsid w:val="00C755C2"/>
    <w:rsid w:val="00C75646"/>
    <w:rsid w:val="00C757AB"/>
    <w:rsid w:val="00C75F5E"/>
    <w:rsid w:val="00C7600D"/>
    <w:rsid w:val="00C7750E"/>
    <w:rsid w:val="00C77A42"/>
    <w:rsid w:val="00C8034A"/>
    <w:rsid w:val="00C80665"/>
    <w:rsid w:val="00C80944"/>
    <w:rsid w:val="00C80EA8"/>
    <w:rsid w:val="00C819CD"/>
    <w:rsid w:val="00C81D13"/>
    <w:rsid w:val="00C8232A"/>
    <w:rsid w:val="00C82450"/>
    <w:rsid w:val="00C825B3"/>
    <w:rsid w:val="00C8262F"/>
    <w:rsid w:val="00C8276C"/>
    <w:rsid w:val="00C82781"/>
    <w:rsid w:val="00C82A59"/>
    <w:rsid w:val="00C82C1D"/>
    <w:rsid w:val="00C82E6D"/>
    <w:rsid w:val="00C82FDE"/>
    <w:rsid w:val="00C8332F"/>
    <w:rsid w:val="00C8350D"/>
    <w:rsid w:val="00C83736"/>
    <w:rsid w:val="00C837D0"/>
    <w:rsid w:val="00C83898"/>
    <w:rsid w:val="00C8411C"/>
    <w:rsid w:val="00C84726"/>
    <w:rsid w:val="00C84806"/>
    <w:rsid w:val="00C84EB6"/>
    <w:rsid w:val="00C85128"/>
    <w:rsid w:val="00C8523F"/>
    <w:rsid w:val="00C85549"/>
    <w:rsid w:val="00C8574D"/>
    <w:rsid w:val="00C85BBF"/>
    <w:rsid w:val="00C85C2B"/>
    <w:rsid w:val="00C85F12"/>
    <w:rsid w:val="00C861F6"/>
    <w:rsid w:val="00C8622E"/>
    <w:rsid w:val="00C86808"/>
    <w:rsid w:val="00C86FCA"/>
    <w:rsid w:val="00C87099"/>
    <w:rsid w:val="00C870D3"/>
    <w:rsid w:val="00C87246"/>
    <w:rsid w:val="00C87462"/>
    <w:rsid w:val="00C87A08"/>
    <w:rsid w:val="00C87E69"/>
    <w:rsid w:val="00C9027C"/>
    <w:rsid w:val="00C9031E"/>
    <w:rsid w:val="00C907BF"/>
    <w:rsid w:val="00C90AE6"/>
    <w:rsid w:val="00C90D24"/>
    <w:rsid w:val="00C90E41"/>
    <w:rsid w:val="00C9111A"/>
    <w:rsid w:val="00C913C9"/>
    <w:rsid w:val="00C923F1"/>
    <w:rsid w:val="00C927B4"/>
    <w:rsid w:val="00C92E43"/>
    <w:rsid w:val="00C931CC"/>
    <w:rsid w:val="00C932E5"/>
    <w:rsid w:val="00C9369C"/>
    <w:rsid w:val="00C936CE"/>
    <w:rsid w:val="00C93835"/>
    <w:rsid w:val="00C93FDA"/>
    <w:rsid w:val="00C943F9"/>
    <w:rsid w:val="00C949A9"/>
    <w:rsid w:val="00C94F22"/>
    <w:rsid w:val="00C94FC9"/>
    <w:rsid w:val="00C95190"/>
    <w:rsid w:val="00C95665"/>
    <w:rsid w:val="00C95A75"/>
    <w:rsid w:val="00C95C82"/>
    <w:rsid w:val="00C962BE"/>
    <w:rsid w:val="00C96965"/>
    <w:rsid w:val="00C96A04"/>
    <w:rsid w:val="00C96A21"/>
    <w:rsid w:val="00C96EE2"/>
    <w:rsid w:val="00C975C7"/>
    <w:rsid w:val="00C97946"/>
    <w:rsid w:val="00C97C63"/>
    <w:rsid w:val="00C97FB5"/>
    <w:rsid w:val="00CA00B8"/>
    <w:rsid w:val="00CA08F9"/>
    <w:rsid w:val="00CA0EA5"/>
    <w:rsid w:val="00CA0F48"/>
    <w:rsid w:val="00CA1141"/>
    <w:rsid w:val="00CA1574"/>
    <w:rsid w:val="00CA1689"/>
    <w:rsid w:val="00CA1827"/>
    <w:rsid w:val="00CA1B69"/>
    <w:rsid w:val="00CA1EC0"/>
    <w:rsid w:val="00CA208B"/>
    <w:rsid w:val="00CA21F8"/>
    <w:rsid w:val="00CA248D"/>
    <w:rsid w:val="00CA27C3"/>
    <w:rsid w:val="00CA2A48"/>
    <w:rsid w:val="00CA2CF1"/>
    <w:rsid w:val="00CA39F3"/>
    <w:rsid w:val="00CA3C41"/>
    <w:rsid w:val="00CA3D37"/>
    <w:rsid w:val="00CA3E9E"/>
    <w:rsid w:val="00CA3EB7"/>
    <w:rsid w:val="00CA44EA"/>
    <w:rsid w:val="00CA4613"/>
    <w:rsid w:val="00CA4698"/>
    <w:rsid w:val="00CA489D"/>
    <w:rsid w:val="00CA4BDE"/>
    <w:rsid w:val="00CA4F22"/>
    <w:rsid w:val="00CA5D8D"/>
    <w:rsid w:val="00CA67D0"/>
    <w:rsid w:val="00CA6C84"/>
    <w:rsid w:val="00CA7095"/>
    <w:rsid w:val="00CA73A2"/>
    <w:rsid w:val="00CA73E9"/>
    <w:rsid w:val="00CA7AE7"/>
    <w:rsid w:val="00CA7C37"/>
    <w:rsid w:val="00CA7C99"/>
    <w:rsid w:val="00CA7D23"/>
    <w:rsid w:val="00CA7D58"/>
    <w:rsid w:val="00CB0B51"/>
    <w:rsid w:val="00CB0E80"/>
    <w:rsid w:val="00CB156F"/>
    <w:rsid w:val="00CB1B33"/>
    <w:rsid w:val="00CB1C3F"/>
    <w:rsid w:val="00CB1D7B"/>
    <w:rsid w:val="00CB1EB0"/>
    <w:rsid w:val="00CB1EE2"/>
    <w:rsid w:val="00CB2890"/>
    <w:rsid w:val="00CB29FD"/>
    <w:rsid w:val="00CB2C9B"/>
    <w:rsid w:val="00CB3A68"/>
    <w:rsid w:val="00CB3F12"/>
    <w:rsid w:val="00CB4215"/>
    <w:rsid w:val="00CB43F1"/>
    <w:rsid w:val="00CB454C"/>
    <w:rsid w:val="00CB4AF7"/>
    <w:rsid w:val="00CB4B35"/>
    <w:rsid w:val="00CB57AF"/>
    <w:rsid w:val="00CB60DA"/>
    <w:rsid w:val="00CB6AB6"/>
    <w:rsid w:val="00CB6FE4"/>
    <w:rsid w:val="00CB7165"/>
    <w:rsid w:val="00CB79F1"/>
    <w:rsid w:val="00CB7ADF"/>
    <w:rsid w:val="00CB7D77"/>
    <w:rsid w:val="00CC042E"/>
    <w:rsid w:val="00CC097E"/>
    <w:rsid w:val="00CC0BFD"/>
    <w:rsid w:val="00CC0D7C"/>
    <w:rsid w:val="00CC10D4"/>
    <w:rsid w:val="00CC12AA"/>
    <w:rsid w:val="00CC17D4"/>
    <w:rsid w:val="00CC2183"/>
    <w:rsid w:val="00CC2CDC"/>
    <w:rsid w:val="00CC2E03"/>
    <w:rsid w:val="00CC2F32"/>
    <w:rsid w:val="00CC3108"/>
    <w:rsid w:val="00CC3124"/>
    <w:rsid w:val="00CC32BE"/>
    <w:rsid w:val="00CC3628"/>
    <w:rsid w:val="00CC38A1"/>
    <w:rsid w:val="00CC3A95"/>
    <w:rsid w:val="00CC3F66"/>
    <w:rsid w:val="00CC438A"/>
    <w:rsid w:val="00CC492A"/>
    <w:rsid w:val="00CC5096"/>
    <w:rsid w:val="00CC5ACF"/>
    <w:rsid w:val="00CC5D55"/>
    <w:rsid w:val="00CC62EE"/>
    <w:rsid w:val="00CC6701"/>
    <w:rsid w:val="00CC6797"/>
    <w:rsid w:val="00CC6ADD"/>
    <w:rsid w:val="00CC6D2D"/>
    <w:rsid w:val="00CC73DF"/>
    <w:rsid w:val="00CC75B3"/>
    <w:rsid w:val="00CC7C86"/>
    <w:rsid w:val="00CC7FE1"/>
    <w:rsid w:val="00CD01DB"/>
    <w:rsid w:val="00CD02F8"/>
    <w:rsid w:val="00CD03BF"/>
    <w:rsid w:val="00CD04DB"/>
    <w:rsid w:val="00CD0551"/>
    <w:rsid w:val="00CD0853"/>
    <w:rsid w:val="00CD0AC9"/>
    <w:rsid w:val="00CD0D90"/>
    <w:rsid w:val="00CD0DCC"/>
    <w:rsid w:val="00CD1153"/>
    <w:rsid w:val="00CD1995"/>
    <w:rsid w:val="00CD1BB1"/>
    <w:rsid w:val="00CD2552"/>
    <w:rsid w:val="00CD286A"/>
    <w:rsid w:val="00CD2947"/>
    <w:rsid w:val="00CD2969"/>
    <w:rsid w:val="00CD2AA2"/>
    <w:rsid w:val="00CD2BD3"/>
    <w:rsid w:val="00CD2E46"/>
    <w:rsid w:val="00CD2EB1"/>
    <w:rsid w:val="00CD37A7"/>
    <w:rsid w:val="00CD407B"/>
    <w:rsid w:val="00CD40DF"/>
    <w:rsid w:val="00CD495F"/>
    <w:rsid w:val="00CD513C"/>
    <w:rsid w:val="00CD521C"/>
    <w:rsid w:val="00CD53A3"/>
    <w:rsid w:val="00CD5B36"/>
    <w:rsid w:val="00CD5F1D"/>
    <w:rsid w:val="00CD669A"/>
    <w:rsid w:val="00CD6BAD"/>
    <w:rsid w:val="00CE05C6"/>
    <w:rsid w:val="00CE06B2"/>
    <w:rsid w:val="00CE0DAF"/>
    <w:rsid w:val="00CE0DE7"/>
    <w:rsid w:val="00CE1503"/>
    <w:rsid w:val="00CE19E6"/>
    <w:rsid w:val="00CE1A03"/>
    <w:rsid w:val="00CE1A4A"/>
    <w:rsid w:val="00CE2916"/>
    <w:rsid w:val="00CE2A36"/>
    <w:rsid w:val="00CE2D60"/>
    <w:rsid w:val="00CE2D62"/>
    <w:rsid w:val="00CE34CE"/>
    <w:rsid w:val="00CE387A"/>
    <w:rsid w:val="00CE3D6D"/>
    <w:rsid w:val="00CE4516"/>
    <w:rsid w:val="00CE46C8"/>
    <w:rsid w:val="00CE474A"/>
    <w:rsid w:val="00CE4984"/>
    <w:rsid w:val="00CE4DE3"/>
    <w:rsid w:val="00CE6049"/>
    <w:rsid w:val="00CE6B78"/>
    <w:rsid w:val="00CE6D39"/>
    <w:rsid w:val="00CE6E46"/>
    <w:rsid w:val="00CE6E53"/>
    <w:rsid w:val="00CE7949"/>
    <w:rsid w:val="00CE7D99"/>
    <w:rsid w:val="00CE7EF6"/>
    <w:rsid w:val="00CE7F2C"/>
    <w:rsid w:val="00CF0447"/>
    <w:rsid w:val="00CF063F"/>
    <w:rsid w:val="00CF06B2"/>
    <w:rsid w:val="00CF0941"/>
    <w:rsid w:val="00CF115C"/>
    <w:rsid w:val="00CF1585"/>
    <w:rsid w:val="00CF1B33"/>
    <w:rsid w:val="00CF1E13"/>
    <w:rsid w:val="00CF225C"/>
    <w:rsid w:val="00CF240D"/>
    <w:rsid w:val="00CF24A2"/>
    <w:rsid w:val="00CF2807"/>
    <w:rsid w:val="00CF28B9"/>
    <w:rsid w:val="00CF2911"/>
    <w:rsid w:val="00CF294F"/>
    <w:rsid w:val="00CF2BF4"/>
    <w:rsid w:val="00CF308B"/>
    <w:rsid w:val="00CF38E8"/>
    <w:rsid w:val="00CF3A1E"/>
    <w:rsid w:val="00CF3C6B"/>
    <w:rsid w:val="00CF4376"/>
    <w:rsid w:val="00CF4839"/>
    <w:rsid w:val="00CF4987"/>
    <w:rsid w:val="00CF4F8F"/>
    <w:rsid w:val="00CF5170"/>
    <w:rsid w:val="00CF55F8"/>
    <w:rsid w:val="00CF5B96"/>
    <w:rsid w:val="00CF5BC5"/>
    <w:rsid w:val="00CF6087"/>
    <w:rsid w:val="00CF6373"/>
    <w:rsid w:val="00CF6865"/>
    <w:rsid w:val="00CF69C9"/>
    <w:rsid w:val="00CF6ACA"/>
    <w:rsid w:val="00D000F6"/>
    <w:rsid w:val="00D00396"/>
    <w:rsid w:val="00D014A3"/>
    <w:rsid w:val="00D015EF"/>
    <w:rsid w:val="00D017E6"/>
    <w:rsid w:val="00D019EE"/>
    <w:rsid w:val="00D01D21"/>
    <w:rsid w:val="00D01D77"/>
    <w:rsid w:val="00D01E68"/>
    <w:rsid w:val="00D02853"/>
    <w:rsid w:val="00D0288F"/>
    <w:rsid w:val="00D029AA"/>
    <w:rsid w:val="00D02AEC"/>
    <w:rsid w:val="00D02BC7"/>
    <w:rsid w:val="00D03572"/>
    <w:rsid w:val="00D037D7"/>
    <w:rsid w:val="00D03A11"/>
    <w:rsid w:val="00D041F4"/>
    <w:rsid w:val="00D0492B"/>
    <w:rsid w:val="00D049B4"/>
    <w:rsid w:val="00D049CC"/>
    <w:rsid w:val="00D04A3D"/>
    <w:rsid w:val="00D0512E"/>
    <w:rsid w:val="00D0523E"/>
    <w:rsid w:val="00D0542B"/>
    <w:rsid w:val="00D057D6"/>
    <w:rsid w:val="00D05AB4"/>
    <w:rsid w:val="00D068D2"/>
    <w:rsid w:val="00D07778"/>
    <w:rsid w:val="00D07AC2"/>
    <w:rsid w:val="00D07C59"/>
    <w:rsid w:val="00D10041"/>
    <w:rsid w:val="00D1011D"/>
    <w:rsid w:val="00D10412"/>
    <w:rsid w:val="00D104C6"/>
    <w:rsid w:val="00D1092A"/>
    <w:rsid w:val="00D10C26"/>
    <w:rsid w:val="00D10DCA"/>
    <w:rsid w:val="00D111DE"/>
    <w:rsid w:val="00D113B1"/>
    <w:rsid w:val="00D11F66"/>
    <w:rsid w:val="00D120B2"/>
    <w:rsid w:val="00D122DE"/>
    <w:rsid w:val="00D12434"/>
    <w:rsid w:val="00D14596"/>
    <w:rsid w:val="00D14A0C"/>
    <w:rsid w:val="00D14E95"/>
    <w:rsid w:val="00D14FBF"/>
    <w:rsid w:val="00D1511C"/>
    <w:rsid w:val="00D15269"/>
    <w:rsid w:val="00D157A0"/>
    <w:rsid w:val="00D15FD3"/>
    <w:rsid w:val="00D167DE"/>
    <w:rsid w:val="00D16975"/>
    <w:rsid w:val="00D16C89"/>
    <w:rsid w:val="00D16DD2"/>
    <w:rsid w:val="00D16E08"/>
    <w:rsid w:val="00D16ED9"/>
    <w:rsid w:val="00D17350"/>
    <w:rsid w:val="00D17369"/>
    <w:rsid w:val="00D17ACD"/>
    <w:rsid w:val="00D17C28"/>
    <w:rsid w:val="00D206C5"/>
    <w:rsid w:val="00D20727"/>
    <w:rsid w:val="00D20BC0"/>
    <w:rsid w:val="00D20C04"/>
    <w:rsid w:val="00D20C85"/>
    <w:rsid w:val="00D21094"/>
    <w:rsid w:val="00D21448"/>
    <w:rsid w:val="00D21AC1"/>
    <w:rsid w:val="00D221A4"/>
    <w:rsid w:val="00D22711"/>
    <w:rsid w:val="00D22852"/>
    <w:rsid w:val="00D22EF8"/>
    <w:rsid w:val="00D22F8B"/>
    <w:rsid w:val="00D232BA"/>
    <w:rsid w:val="00D24393"/>
    <w:rsid w:val="00D249F6"/>
    <w:rsid w:val="00D24AB6"/>
    <w:rsid w:val="00D254CA"/>
    <w:rsid w:val="00D2551F"/>
    <w:rsid w:val="00D25820"/>
    <w:rsid w:val="00D259DA"/>
    <w:rsid w:val="00D25C20"/>
    <w:rsid w:val="00D25DD4"/>
    <w:rsid w:val="00D25F38"/>
    <w:rsid w:val="00D2624B"/>
    <w:rsid w:val="00D26491"/>
    <w:rsid w:val="00D26652"/>
    <w:rsid w:val="00D266A0"/>
    <w:rsid w:val="00D26964"/>
    <w:rsid w:val="00D26983"/>
    <w:rsid w:val="00D27438"/>
    <w:rsid w:val="00D27463"/>
    <w:rsid w:val="00D274DB"/>
    <w:rsid w:val="00D277D7"/>
    <w:rsid w:val="00D27B1D"/>
    <w:rsid w:val="00D3076F"/>
    <w:rsid w:val="00D31085"/>
    <w:rsid w:val="00D312F4"/>
    <w:rsid w:val="00D31408"/>
    <w:rsid w:val="00D315CC"/>
    <w:rsid w:val="00D31A51"/>
    <w:rsid w:val="00D31AAD"/>
    <w:rsid w:val="00D31B43"/>
    <w:rsid w:val="00D31CD3"/>
    <w:rsid w:val="00D31D09"/>
    <w:rsid w:val="00D31EF5"/>
    <w:rsid w:val="00D32CCC"/>
    <w:rsid w:val="00D32DD3"/>
    <w:rsid w:val="00D32EE6"/>
    <w:rsid w:val="00D33313"/>
    <w:rsid w:val="00D336BA"/>
    <w:rsid w:val="00D34059"/>
    <w:rsid w:val="00D342CD"/>
    <w:rsid w:val="00D34CDF"/>
    <w:rsid w:val="00D354CA"/>
    <w:rsid w:val="00D356A8"/>
    <w:rsid w:val="00D357F1"/>
    <w:rsid w:val="00D35A95"/>
    <w:rsid w:val="00D369BA"/>
    <w:rsid w:val="00D36C5B"/>
    <w:rsid w:val="00D3722A"/>
    <w:rsid w:val="00D37529"/>
    <w:rsid w:val="00D376D7"/>
    <w:rsid w:val="00D378CA"/>
    <w:rsid w:val="00D378F8"/>
    <w:rsid w:val="00D402BD"/>
    <w:rsid w:val="00D40533"/>
    <w:rsid w:val="00D405B7"/>
    <w:rsid w:val="00D416FD"/>
    <w:rsid w:val="00D4178A"/>
    <w:rsid w:val="00D41838"/>
    <w:rsid w:val="00D4196E"/>
    <w:rsid w:val="00D41B10"/>
    <w:rsid w:val="00D41BF3"/>
    <w:rsid w:val="00D42123"/>
    <w:rsid w:val="00D424A9"/>
    <w:rsid w:val="00D42534"/>
    <w:rsid w:val="00D42FF4"/>
    <w:rsid w:val="00D43090"/>
    <w:rsid w:val="00D43112"/>
    <w:rsid w:val="00D4316E"/>
    <w:rsid w:val="00D4333D"/>
    <w:rsid w:val="00D43AB1"/>
    <w:rsid w:val="00D43E85"/>
    <w:rsid w:val="00D445D0"/>
    <w:rsid w:val="00D44B74"/>
    <w:rsid w:val="00D44FC6"/>
    <w:rsid w:val="00D45799"/>
    <w:rsid w:val="00D45C46"/>
    <w:rsid w:val="00D460EB"/>
    <w:rsid w:val="00D4610A"/>
    <w:rsid w:val="00D46A7D"/>
    <w:rsid w:val="00D47023"/>
    <w:rsid w:val="00D479A0"/>
    <w:rsid w:val="00D47AC1"/>
    <w:rsid w:val="00D47D15"/>
    <w:rsid w:val="00D47E9E"/>
    <w:rsid w:val="00D505BD"/>
    <w:rsid w:val="00D50A3B"/>
    <w:rsid w:val="00D50EA9"/>
    <w:rsid w:val="00D51517"/>
    <w:rsid w:val="00D518E4"/>
    <w:rsid w:val="00D51B52"/>
    <w:rsid w:val="00D52007"/>
    <w:rsid w:val="00D52179"/>
    <w:rsid w:val="00D52829"/>
    <w:rsid w:val="00D52B56"/>
    <w:rsid w:val="00D52EAE"/>
    <w:rsid w:val="00D52FE3"/>
    <w:rsid w:val="00D5335E"/>
    <w:rsid w:val="00D534B7"/>
    <w:rsid w:val="00D534CE"/>
    <w:rsid w:val="00D53BF1"/>
    <w:rsid w:val="00D542C5"/>
    <w:rsid w:val="00D54382"/>
    <w:rsid w:val="00D5453B"/>
    <w:rsid w:val="00D551C8"/>
    <w:rsid w:val="00D56372"/>
    <w:rsid w:val="00D56460"/>
    <w:rsid w:val="00D5651F"/>
    <w:rsid w:val="00D56685"/>
    <w:rsid w:val="00D56D1A"/>
    <w:rsid w:val="00D56D24"/>
    <w:rsid w:val="00D5705B"/>
    <w:rsid w:val="00D57077"/>
    <w:rsid w:val="00D5726E"/>
    <w:rsid w:val="00D573A4"/>
    <w:rsid w:val="00D5777B"/>
    <w:rsid w:val="00D57784"/>
    <w:rsid w:val="00D57F20"/>
    <w:rsid w:val="00D6032C"/>
    <w:rsid w:val="00D6034D"/>
    <w:rsid w:val="00D604EA"/>
    <w:rsid w:val="00D60555"/>
    <w:rsid w:val="00D606B7"/>
    <w:rsid w:val="00D60BBE"/>
    <w:rsid w:val="00D60D9B"/>
    <w:rsid w:val="00D60FAC"/>
    <w:rsid w:val="00D610E9"/>
    <w:rsid w:val="00D613B6"/>
    <w:rsid w:val="00D61544"/>
    <w:rsid w:val="00D619A4"/>
    <w:rsid w:val="00D61DB3"/>
    <w:rsid w:val="00D61EF5"/>
    <w:rsid w:val="00D62199"/>
    <w:rsid w:val="00D627D4"/>
    <w:rsid w:val="00D62B71"/>
    <w:rsid w:val="00D62F8C"/>
    <w:rsid w:val="00D63BD7"/>
    <w:rsid w:val="00D63C4E"/>
    <w:rsid w:val="00D64057"/>
    <w:rsid w:val="00D6413E"/>
    <w:rsid w:val="00D64254"/>
    <w:rsid w:val="00D6439E"/>
    <w:rsid w:val="00D644DF"/>
    <w:rsid w:val="00D64691"/>
    <w:rsid w:val="00D64BB4"/>
    <w:rsid w:val="00D650E1"/>
    <w:rsid w:val="00D653C6"/>
    <w:rsid w:val="00D6565D"/>
    <w:rsid w:val="00D65C7E"/>
    <w:rsid w:val="00D65DDB"/>
    <w:rsid w:val="00D65FCC"/>
    <w:rsid w:val="00D6629A"/>
    <w:rsid w:val="00D664E8"/>
    <w:rsid w:val="00D66633"/>
    <w:rsid w:val="00D66C56"/>
    <w:rsid w:val="00D66F83"/>
    <w:rsid w:val="00D67215"/>
    <w:rsid w:val="00D67533"/>
    <w:rsid w:val="00D6757C"/>
    <w:rsid w:val="00D67728"/>
    <w:rsid w:val="00D677A7"/>
    <w:rsid w:val="00D6796D"/>
    <w:rsid w:val="00D67B7A"/>
    <w:rsid w:val="00D67DDF"/>
    <w:rsid w:val="00D67E27"/>
    <w:rsid w:val="00D700CB"/>
    <w:rsid w:val="00D703B7"/>
    <w:rsid w:val="00D70551"/>
    <w:rsid w:val="00D70931"/>
    <w:rsid w:val="00D70AE7"/>
    <w:rsid w:val="00D70B28"/>
    <w:rsid w:val="00D70B8D"/>
    <w:rsid w:val="00D70E0F"/>
    <w:rsid w:val="00D70EAB"/>
    <w:rsid w:val="00D70F52"/>
    <w:rsid w:val="00D71205"/>
    <w:rsid w:val="00D7192E"/>
    <w:rsid w:val="00D719F8"/>
    <w:rsid w:val="00D71B43"/>
    <w:rsid w:val="00D722D0"/>
    <w:rsid w:val="00D72628"/>
    <w:rsid w:val="00D7265C"/>
    <w:rsid w:val="00D72E00"/>
    <w:rsid w:val="00D72E3C"/>
    <w:rsid w:val="00D7328A"/>
    <w:rsid w:val="00D73738"/>
    <w:rsid w:val="00D7444B"/>
    <w:rsid w:val="00D74A80"/>
    <w:rsid w:val="00D74C78"/>
    <w:rsid w:val="00D74D3E"/>
    <w:rsid w:val="00D757FC"/>
    <w:rsid w:val="00D75AA0"/>
    <w:rsid w:val="00D75B98"/>
    <w:rsid w:val="00D763DC"/>
    <w:rsid w:val="00D7664E"/>
    <w:rsid w:val="00D766FA"/>
    <w:rsid w:val="00D76B90"/>
    <w:rsid w:val="00D76CE3"/>
    <w:rsid w:val="00D76F56"/>
    <w:rsid w:val="00D76FA1"/>
    <w:rsid w:val="00D77187"/>
    <w:rsid w:val="00D77199"/>
    <w:rsid w:val="00D807DB"/>
    <w:rsid w:val="00D809B2"/>
    <w:rsid w:val="00D80AD7"/>
    <w:rsid w:val="00D80BEC"/>
    <w:rsid w:val="00D80C05"/>
    <w:rsid w:val="00D80CFC"/>
    <w:rsid w:val="00D8105C"/>
    <w:rsid w:val="00D811DC"/>
    <w:rsid w:val="00D816FA"/>
    <w:rsid w:val="00D81A42"/>
    <w:rsid w:val="00D81E7C"/>
    <w:rsid w:val="00D8233F"/>
    <w:rsid w:val="00D82C39"/>
    <w:rsid w:val="00D82D7D"/>
    <w:rsid w:val="00D82D89"/>
    <w:rsid w:val="00D82E34"/>
    <w:rsid w:val="00D82E61"/>
    <w:rsid w:val="00D832C7"/>
    <w:rsid w:val="00D83534"/>
    <w:rsid w:val="00D84173"/>
    <w:rsid w:val="00D84323"/>
    <w:rsid w:val="00D8458F"/>
    <w:rsid w:val="00D845D3"/>
    <w:rsid w:val="00D845DE"/>
    <w:rsid w:val="00D84684"/>
    <w:rsid w:val="00D85827"/>
    <w:rsid w:val="00D85D2F"/>
    <w:rsid w:val="00D85FDF"/>
    <w:rsid w:val="00D86194"/>
    <w:rsid w:val="00D86471"/>
    <w:rsid w:val="00D864EE"/>
    <w:rsid w:val="00D8767A"/>
    <w:rsid w:val="00D8784D"/>
    <w:rsid w:val="00D8792D"/>
    <w:rsid w:val="00D87CAD"/>
    <w:rsid w:val="00D902BC"/>
    <w:rsid w:val="00D90E17"/>
    <w:rsid w:val="00D90F08"/>
    <w:rsid w:val="00D911B3"/>
    <w:rsid w:val="00D91E7F"/>
    <w:rsid w:val="00D92453"/>
    <w:rsid w:val="00D92BDC"/>
    <w:rsid w:val="00D92EF0"/>
    <w:rsid w:val="00D931AA"/>
    <w:rsid w:val="00D932DA"/>
    <w:rsid w:val="00D9348F"/>
    <w:rsid w:val="00D93531"/>
    <w:rsid w:val="00D938E6"/>
    <w:rsid w:val="00D93968"/>
    <w:rsid w:val="00D93976"/>
    <w:rsid w:val="00D93B72"/>
    <w:rsid w:val="00D940C1"/>
    <w:rsid w:val="00D94288"/>
    <w:rsid w:val="00D945CB"/>
    <w:rsid w:val="00D95354"/>
    <w:rsid w:val="00D955A1"/>
    <w:rsid w:val="00D95A2C"/>
    <w:rsid w:val="00D96068"/>
    <w:rsid w:val="00D9606D"/>
    <w:rsid w:val="00D96100"/>
    <w:rsid w:val="00D966C6"/>
    <w:rsid w:val="00D96B76"/>
    <w:rsid w:val="00D96C65"/>
    <w:rsid w:val="00D96F8B"/>
    <w:rsid w:val="00DA036E"/>
    <w:rsid w:val="00DA07DA"/>
    <w:rsid w:val="00DA0A1B"/>
    <w:rsid w:val="00DA0A26"/>
    <w:rsid w:val="00DA11AF"/>
    <w:rsid w:val="00DA1261"/>
    <w:rsid w:val="00DA1ACD"/>
    <w:rsid w:val="00DA1B23"/>
    <w:rsid w:val="00DA1B65"/>
    <w:rsid w:val="00DA1BB1"/>
    <w:rsid w:val="00DA1C42"/>
    <w:rsid w:val="00DA1CA4"/>
    <w:rsid w:val="00DA20EE"/>
    <w:rsid w:val="00DA244C"/>
    <w:rsid w:val="00DA2902"/>
    <w:rsid w:val="00DA2C69"/>
    <w:rsid w:val="00DA2CCB"/>
    <w:rsid w:val="00DA2D1B"/>
    <w:rsid w:val="00DA3396"/>
    <w:rsid w:val="00DA4497"/>
    <w:rsid w:val="00DA4B3D"/>
    <w:rsid w:val="00DA5333"/>
    <w:rsid w:val="00DA54F7"/>
    <w:rsid w:val="00DA5EB6"/>
    <w:rsid w:val="00DA5F87"/>
    <w:rsid w:val="00DA60CA"/>
    <w:rsid w:val="00DA626C"/>
    <w:rsid w:val="00DA6359"/>
    <w:rsid w:val="00DA6651"/>
    <w:rsid w:val="00DA6779"/>
    <w:rsid w:val="00DA6B14"/>
    <w:rsid w:val="00DA6B48"/>
    <w:rsid w:val="00DA6F73"/>
    <w:rsid w:val="00DA73BF"/>
    <w:rsid w:val="00DA7660"/>
    <w:rsid w:val="00DA7685"/>
    <w:rsid w:val="00DB08AB"/>
    <w:rsid w:val="00DB0934"/>
    <w:rsid w:val="00DB0EB2"/>
    <w:rsid w:val="00DB18AC"/>
    <w:rsid w:val="00DB190E"/>
    <w:rsid w:val="00DB261B"/>
    <w:rsid w:val="00DB26EF"/>
    <w:rsid w:val="00DB2AB2"/>
    <w:rsid w:val="00DB2EC5"/>
    <w:rsid w:val="00DB2F26"/>
    <w:rsid w:val="00DB3CAD"/>
    <w:rsid w:val="00DB4064"/>
    <w:rsid w:val="00DB43DE"/>
    <w:rsid w:val="00DB4481"/>
    <w:rsid w:val="00DB44EB"/>
    <w:rsid w:val="00DB4AEA"/>
    <w:rsid w:val="00DB6214"/>
    <w:rsid w:val="00DB6667"/>
    <w:rsid w:val="00DB6759"/>
    <w:rsid w:val="00DB6A7B"/>
    <w:rsid w:val="00DB6B67"/>
    <w:rsid w:val="00DB7019"/>
    <w:rsid w:val="00DB74B5"/>
    <w:rsid w:val="00DB7574"/>
    <w:rsid w:val="00DC025D"/>
    <w:rsid w:val="00DC0458"/>
    <w:rsid w:val="00DC06DF"/>
    <w:rsid w:val="00DC0898"/>
    <w:rsid w:val="00DC0E52"/>
    <w:rsid w:val="00DC1011"/>
    <w:rsid w:val="00DC1734"/>
    <w:rsid w:val="00DC17A3"/>
    <w:rsid w:val="00DC17CE"/>
    <w:rsid w:val="00DC18CD"/>
    <w:rsid w:val="00DC1A6B"/>
    <w:rsid w:val="00DC20C8"/>
    <w:rsid w:val="00DC23B4"/>
    <w:rsid w:val="00DC252C"/>
    <w:rsid w:val="00DC2B37"/>
    <w:rsid w:val="00DC2E44"/>
    <w:rsid w:val="00DC2EEB"/>
    <w:rsid w:val="00DC304D"/>
    <w:rsid w:val="00DC3117"/>
    <w:rsid w:val="00DC3366"/>
    <w:rsid w:val="00DC3823"/>
    <w:rsid w:val="00DC3EDC"/>
    <w:rsid w:val="00DC41BB"/>
    <w:rsid w:val="00DC4906"/>
    <w:rsid w:val="00DC58BB"/>
    <w:rsid w:val="00DC5D08"/>
    <w:rsid w:val="00DC6453"/>
    <w:rsid w:val="00DC6C75"/>
    <w:rsid w:val="00DC6F6C"/>
    <w:rsid w:val="00DC6FE8"/>
    <w:rsid w:val="00DC7258"/>
    <w:rsid w:val="00DC7881"/>
    <w:rsid w:val="00DC7EB2"/>
    <w:rsid w:val="00DD0014"/>
    <w:rsid w:val="00DD04A6"/>
    <w:rsid w:val="00DD0635"/>
    <w:rsid w:val="00DD0647"/>
    <w:rsid w:val="00DD0795"/>
    <w:rsid w:val="00DD08DF"/>
    <w:rsid w:val="00DD093E"/>
    <w:rsid w:val="00DD0FFD"/>
    <w:rsid w:val="00DD108C"/>
    <w:rsid w:val="00DD11AF"/>
    <w:rsid w:val="00DD1274"/>
    <w:rsid w:val="00DD1284"/>
    <w:rsid w:val="00DD1426"/>
    <w:rsid w:val="00DD1429"/>
    <w:rsid w:val="00DD1560"/>
    <w:rsid w:val="00DD156C"/>
    <w:rsid w:val="00DD1700"/>
    <w:rsid w:val="00DD1CC5"/>
    <w:rsid w:val="00DD1E5E"/>
    <w:rsid w:val="00DD1EF7"/>
    <w:rsid w:val="00DD1F9E"/>
    <w:rsid w:val="00DD2027"/>
    <w:rsid w:val="00DD26EB"/>
    <w:rsid w:val="00DD29BD"/>
    <w:rsid w:val="00DD2A02"/>
    <w:rsid w:val="00DD2C53"/>
    <w:rsid w:val="00DD2C90"/>
    <w:rsid w:val="00DD2E8F"/>
    <w:rsid w:val="00DD309B"/>
    <w:rsid w:val="00DD351D"/>
    <w:rsid w:val="00DD3608"/>
    <w:rsid w:val="00DD3A16"/>
    <w:rsid w:val="00DD3AE1"/>
    <w:rsid w:val="00DD3CA7"/>
    <w:rsid w:val="00DD4228"/>
    <w:rsid w:val="00DD4A9C"/>
    <w:rsid w:val="00DD4ABC"/>
    <w:rsid w:val="00DD4AE6"/>
    <w:rsid w:val="00DD53F9"/>
    <w:rsid w:val="00DD54F6"/>
    <w:rsid w:val="00DD57D5"/>
    <w:rsid w:val="00DD5AF8"/>
    <w:rsid w:val="00DD5FDB"/>
    <w:rsid w:val="00DD604C"/>
    <w:rsid w:val="00DD6300"/>
    <w:rsid w:val="00DD6C78"/>
    <w:rsid w:val="00DD7078"/>
    <w:rsid w:val="00DD738F"/>
    <w:rsid w:val="00DD73C2"/>
    <w:rsid w:val="00DD7433"/>
    <w:rsid w:val="00DD7B84"/>
    <w:rsid w:val="00DD7CD6"/>
    <w:rsid w:val="00DE0074"/>
    <w:rsid w:val="00DE0973"/>
    <w:rsid w:val="00DE0A76"/>
    <w:rsid w:val="00DE0E22"/>
    <w:rsid w:val="00DE1091"/>
    <w:rsid w:val="00DE11C1"/>
    <w:rsid w:val="00DE156D"/>
    <w:rsid w:val="00DE1CC4"/>
    <w:rsid w:val="00DE2132"/>
    <w:rsid w:val="00DE23D0"/>
    <w:rsid w:val="00DE24A1"/>
    <w:rsid w:val="00DE2540"/>
    <w:rsid w:val="00DE25A0"/>
    <w:rsid w:val="00DE307C"/>
    <w:rsid w:val="00DE3331"/>
    <w:rsid w:val="00DE33D7"/>
    <w:rsid w:val="00DE36BC"/>
    <w:rsid w:val="00DE36CD"/>
    <w:rsid w:val="00DE3BEF"/>
    <w:rsid w:val="00DE3DBD"/>
    <w:rsid w:val="00DE4310"/>
    <w:rsid w:val="00DE43A2"/>
    <w:rsid w:val="00DE4636"/>
    <w:rsid w:val="00DE4967"/>
    <w:rsid w:val="00DE52F6"/>
    <w:rsid w:val="00DE53D9"/>
    <w:rsid w:val="00DE5444"/>
    <w:rsid w:val="00DE578C"/>
    <w:rsid w:val="00DE5AB0"/>
    <w:rsid w:val="00DE5E4C"/>
    <w:rsid w:val="00DE5F6F"/>
    <w:rsid w:val="00DE603C"/>
    <w:rsid w:val="00DE609F"/>
    <w:rsid w:val="00DE6C8F"/>
    <w:rsid w:val="00DE721F"/>
    <w:rsid w:val="00DE73DA"/>
    <w:rsid w:val="00DE75BB"/>
    <w:rsid w:val="00DE7A09"/>
    <w:rsid w:val="00DE7BBE"/>
    <w:rsid w:val="00DE7BFA"/>
    <w:rsid w:val="00DF02AB"/>
    <w:rsid w:val="00DF0883"/>
    <w:rsid w:val="00DF0A5C"/>
    <w:rsid w:val="00DF0B65"/>
    <w:rsid w:val="00DF0D04"/>
    <w:rsid w:val="00DF0D3C"/>
    <w:rsid w:val="00DF0FCC"/>
    <w:rsid w:val="00DF1531"/>
    <w:rsid w:val="00DF21C4"/>
    <w:rsid w:val="00DF2CE3"/>
    <w:rsid w:val="00DF39CB"/>
    <w:rsid w:val="00DF46B1"/>
    <w:rsid w:val="00DF4871"/>
    <w:rsid w:val="00DF4EE2"/>
    <w:rsid w:val="00DF6017"/>
    <w:rsid w:val="00DF662C"/>
    <w:rsid w:val="00DF6C1D"/>
    <w:rsid w:val="00DF6C92"/>
    <w:rsid w:val="00DF6D44"/>
    <w:rsid w:val="00DF7542"/>
    <w:rsid w:val="00DF762B"/>
    <w:rsid w:val="00DF768F"/>
    <w:rsid w:val="00DF784C"/>
    <w:rsid w:val="00DF7DA2"/>
    <w:rsid w:val="00DF7E83"/>
    <w:rsid w:val="00DF7FE9"/>
    <w:rsid w:val="00E00208"/>
    <w:rsid w:val="00E008ED"/>
    <w:rsid w:val="00E00C53"/>
    <w:rsid w:val="00E00EA0"/>
    <w:rsid w:val="00E00EDD"/>
    <w:rsid w:val="00E01094"/>
    <w:rsid w:val="00E011F4"/>
    <w:rsid w:val="00E0190C"/>
    <w:rsid w:val="00E01D6D"/>
    <w:rsid w:val="00E01F7A"/>
    <w:rsid w:val="00E02A77"/>
    <w:rsid w:val="00E02DDD"/>
    <w:rsid w:val="00E03238"/>
    <w:rsid w:val="00E03525"/>
    <w:rsid w:val="00E035B9"/>
    <w:rsid w:val="00E041F9"/>
    <w:rsid w:val="00E0426A"/>
    <w:rsid w:val="00E05242"/>
    <w:rsid w:val="00E05485"/>
    <w:rsid w:val="00E054E0"/>
    <w:rsid w:val="00E05607"/>
    <w:rsid w:val="00E058D6"/>
    <w:rsid w:val="00E0590A"/>
    <w:rsid w:val="00E05AFC"/>
    <w:rsid w:val="00E05CEC"/>
    <w:rsid w:val="00E05EB9"/>
    <w:rsid w:val="00E06656"/>
    <w:rsid w:val="00E06FBA"/>
    <w:rsid w:val="00E07151"/>
    <w:rsid w:val="00E0723A"/>
    <w:rsid w:val="00E07609"/>
    <w:rsid w:val="00E0779C"/>
    <w:rsid w:val="00E1027F"/>
    <w:rsid w:val="00E108F8"/>
    <w:rsid w:val="00E10A67"/>
    <w:rsid w:val="00E10DC4"/>
    <w:rsid w:val="00E11315"/>
    <w:rsid w:val="00E115B9"/>
    <w:rsid w:val="00E115D8"/>
    <w:rsid w:val="00E11EA5"/>
    <w:rsid w:val="00E12655"/>
    <w:rsid w:val="00E12A5C"/>
    <w:rsid w:val="00E13078"/>
    <w:rsid w:val="00E131B5"/>
    <w:rsid w:val="00E1353A"/>
    <w:rsid w:val="00E13824"/>
    <w:rsid w:val="00E13838"/>
    <w:rsid w:val="00E13D21"/>
    <w:rsid w:val="00E13DC2"/>
    <w:rsid w:val="00E13F20"/>
    <w:rsid w:val="00E14929"/>
    <w:rsid w:val="00E14B3A"/>
    <w:rsid w:val="00E14F46"/>
    <w:rsid w:val="00E15427"/>
    <w:rsid w:val="00E1562C"/>
    <w:rsid w:val="00E1568B"/>
    <w:rsid w:val="00E163B7"/>
    <w:rsid w:val="00E16A64"/>
    <w:rsid w:val="00E17053"/>
    <w:rsid w:val="00E174D1"/>
    <w:rsid w:val="00E17531"/>
    <w:rsid w:val="00E17625"/>
    <w:rsid w:val="00E176D9"/>
    <w:rsid w:val="00E17C5E"/>
    <w:rsid w:val="00E20156"/>
    <w:rsid w:val="00E20ABD"/>
    <w:rsid w:val="00E20DA9"/>
    <w:rsid w:val="00E20F22"/>
    <w:rsid w:val="00E2126A"/>
    <w:rsid w:val="00E215E4"/>
    <w:rsid w:val="00E216AA"/>
    <w:rsid w:val="00E21BD2"/>
    <w:rsid w:val="00E2215C"/>
    <w:rsid w:val="00E22A9E"/>
    <w:rsid w:val="00E22C52"/>
    <w:rsid w:val="00E22DE0"/>
    <w:rsid w:val="00E2335B"/>
    <w:rsid w:val="00E23D98"/>
    <w:rsid w:val="00E24355"/>
    <w:rsid w:val="00E24F25"/>
    <w:rsid w:val="00E25296"/>
    <w:rsid w:val="00E2553E"/>
    <w:rsid w:val="00E25710"/>
    <w:rsid w:val="00E2573C"/>
    <w:rsid w:val="00E25A1B"/>
    <w:rsid w:val="00E25C29"/>
    <w:rsid w:val="00E26560"/>
    <w:rsid w:val="00E268B6"/>
    <w:rsid w:val="00E268FA"/>
    <w:rsid w:val="00E269ED"/>
    <w:rsid w:val="00E26A11"/>
    <w:rsid w:val="00E26C1B"/>
    <w:rsid w:val="00E27566"/>
    <w:rsid w:val="00E276E0"/>
    <w:rsid w:val="00E27D4B"/>
    <w:rsid w:val="00E30710"/>
    <w:rsid w:val="00E30790"/>
    <w:rsid w:val="00E317C0"/>
    <w:rsid w:val="00E3181C"/>
    <w:rsid w:val="00E31834"/>
    <w:rsid w:val="00E31D16"/>
    <w:rsid w:val="00E323F1"/>
    <w:rsid w:val="00E32654"/>
    <w:rsid w:val="00E3268D"/>
    <w:rsid w:val="00E327C6"/>
    <w:rsid w:val="00E32E6F"/>
    <w:rsid w:val="00E33072"/>
    <w:rsid w:val="00E33703"/>
    <w:rsid w:val="00E345B8"/>
    <w:rsid w:val="00E347F1"/>
    <w:rsid w:val="00E34833"/>
    <w:rsid w:val="00E349AE"/>
    <w:rsid w:val="00E34D00"/>
    <w:rsid w:val="00E3516D"/>
    <w:rsid w:val="00E3521D"/>
    <w:rsid w:val="00E354A7"/>
    <w:rsid w:val="00E356B1"/>
    <w:rsid w:val="00E35A2E"/>
    <w:rsid w:val="00E35FA8"/>
    <w:rsid w:val="00E36173"/>
    <w:rsid w:val="00E36490"/>
    <w:rsid w:val="00E36779"/>
    <w:rsid w:val="00E368D4"/>
    <w:rsid w:val="00E36C9A"/>
    <w:rsid w:val="00E36ECA"/>
    <w:rsid w:val="00E37057"/>
    <w:rsid w:val="00E371B6"/>
    <w:rsid w:val="00E37452"/>
    <w:rsid w:val="00E376B7"/>
    <w:rsid w:val="00E37E9E"/>
    <w:rsid w:val="00E40082"/>
    <w:rsid w:val="00E400BC"/>
    <w:rsid w:val="00E4014A"/>
    <w:rsid w:val="00E40232"/>
    <w:rsid w:val="00E4045C"/>
    <w:rsid w:val="00E40750"/>
    <w:rsid w:val="00E40762"/>
    <w:rsid w:val="00E4078E"/>
    <w:rsid w:val="00E41123"/>
    <w:rsid w:val="00E411AA"/>
    <w:rsid w:val="00E4161F"/>
    <w:rsid w:val="00E41741"/>
    <w:rsid w:val="00E4249D"/>
    <w:rsid w:val="00E42D4A"/>
    <w:rsid w:val="00E42FF6"/>
    <w:rsid w:val="00E4303E"/>
    <w:rsid w:val="00E431ED"/>
    <w:rsid w:val="00E43388"/>
    <w:rsid w:val="00E43A68"/>
    <w:rsid w:val="00E440C5"/>
    <w:rsid w:val="00E44655"/>
    <w:rsid w:val="00E44E60"/>
    <w:rsid w:val="00E459D2"/>
    <w:rsid w:val="00E45A49"/>
    <w:rsid w:val="00E45A90"/>
    <w:rsid w:val="00E45DFD"/>
    <w:rsid w:val="00E460F0"/>
    <w:rsid w:val="00E462A6"/>
    <w:rsid w:val="00E504CE"/>
    <w:rsid w:val="00E5089A"/>
    <w:rsid w:val="00E50947"/>
    <w:rsid w:val="00E50C0B"/>
    <w:rsid w:val="00E50D61"/>
    <w:rsid w:val="00E511A6"/>
    <w:rsid w:val="00E518F6"/>
    <w:rsid w:val="00E51A58"/>
    <w:rsid w:val="00E51B9A"/>
    <w:rsid w:val="00E52763"/>
    <w:rsid w:val="00E52863"/>
    <w:rsid w:val="00E528B9"/>
    <w:rsid w:val="00E52E45"/>
    <w:rsid w:val="00E536AB"/>
    <w:rsid w:val="00E538DF"/>
    <w:rsid w:val="00E53A40"/>
    <w:rsid w:val="00E53A43"/>
    <w:rsid w:val="00E53AA5"/>
    <w:rsid w:val="00E53D59"/>
    <w:rsid w:val="00E53EDF"/>
    <w:rsid w:val="00E53FFD"/>
    <w:rsid w:val="00E54B6C"/>
    <w:rsid w:val="00E54FAD"/>
    <w:rsid w:val="00E5528B"/>
    <w:rsid w:val="00E5537F"/>
    <w:rsid w:val="00E55676"/>
    <w:rsid w:val="00E55778"/>
    <w:rsid w:val="00E5584D"/>
    <w:rsid w:val="00E5596D"/>
    <w:rsid w:val="00E55A8B"/>
    <w:rsid w:val="00E55FF7"/>
    <w:rsid w:val="00E56028"/>
    <w:rsid w:val="00E56130"/>
    <w:rsid w:val="00E56668"/>
    <w:rsid w:val="00E567B8"/>
    <w:rsid w:val="00E56BD2"/>
    <w:rsid w:val="00E56C39"/>
    <w:rsid w:val="00E56CAE"/>
    <w:rsid w:val="00E56FD7"/>
    <w:rsid w:val="00E57082"/>
    <w:rsid w:val="00E571C0"/>
    <w:rsid w:val="00E577BF"/>
    <w:rsid w:val="00E607CB"/>
    <w:rsid w:val="00E60B9B"/>
    <w:rsid w:val="00E61064"/>
    <w:rsid w:val="00E61200"/>
    <w:rsid w:val="00E6129C"/>
    <w:rsid w:val="00E614E2"/>
    <w:rsid w:val="00E61549"/>
    <w:rsid w:val="00E619BD"/>
    <w:rsid w:val="00E61BC5"/>
    <w:rsid w:val="00E61CAE"/>
    <w:rsid w:val="00E61DFA"/>
    <w:rsid w:val="00E62054"/>
    <w:rsid w:val="00E629FB"/>
    <w:rsid w:val="00E62A67"/>
    <w:rsid w:val="00E63467"/>
    <w:rsid w:val="00E63471"/>
    <w:rsid w:val="00E6388D"/>
    <w:rsid w:val="00E6394B"/>
    <w:rsid w:val="00E6395D"/>
    <w:rsid w:val="00E639B5"/>
    <w:rsid w:val="00E63C1C"/>
    <w:rsid w:val="00E63E87"/>
    <w:rsid w:val="00E6437B"/>
    <w:rsid w:val="00E6449D"/>
    <w:rsid w:val="00E647AF"/>
    <w:rsid w:val="00E64B70"/>
    <w:rsid w:val="00E64F07"/>
    <w:rsid w:val="00E65453"/>
    <w:rsid w:val="00E65601"/>
    <w:rsid w:val="00E65D48"/>
    <w:rsid w:val="00E65DD5"/>
    <w:rsid w:val="00E65F46"/>
    <w:rsid w:val="00E660D7"/>
    <w:rsid w:val="00E66C5E"/>
    <w:rsid w:val="00E67258"/>
    <w:rsid w:val="00E6799A"/>
    <w:rsid w:val="00E67AD6"/>
    <w:rsid w:val="00E67DC3"/>
    <w:rsid w:val="00E7031A"/>
    <w:rsid w:val="00E703D3"/>
    <w:rsid w:val="00E70B6A"/>
    <w:rsid w:val="00E71003"/>
    <w:rsid w:val="00E7141B"/>
    <w:rsid w:val="00E7195C"/>
    <w:rsid w:val="00E71B42"/>
    <w:rsid w:val="00E71DCA"/>
    <w:rsid w:val="00E71F01"/>
    <w:rsid w:val="00E71F7C"/>
    <w:rsid w:val="00E722FA"/>
    <w:rsid w:val="00E72727"/>
    <w:rsid w:val="00E72958"/>
    <w:rsid w:val="00E72A47"/>
    <w:rsid w:val="00E72DF9"/>
    <w:rsid w:val="00E7333D"/>
    <w:rsid w:val="00E7349E"/>
    <w:rsid w:val="00E7367F"/>
    <w:rsid w:val="00E73761"/>
    <w:rsid w:val="00E73767"/>
    <w:rsid w:val="00E739AF"/>
    <w:rsid w:val="00E73B2B"/>
    <w:rsid w:val="00E73B88"/>
    <w:rsid w:val="00E7467C"/>
    <w:rsid w:val="00E751A1"/>
    <w:rsid w:val="00E75758"/>
    <w:rsid w:val="00E75987"/>
    <w:rsid w:val="00E760F2"/>
    <w:rsid w:val="00E7610B"/>
    <w:rsid w:val="00E7639D"/>
    <w:rsid w:val="00E763E1"/>
    <w:rsid w:val="00E765A4"/>
    <w:rsid w:val="00E768CE"/>
    <w:rsid w:val="00E76AAD"/>
    <w:rsid w:val="00E76AC2"/>
    <w:rsid w:val="00E76C26"/>
    <w:rsid w:val="00E76F8C"/>
    <w:rsid w:val="00E77186"/>
    <w:rsid w:val="00E7721D"/>
    <w:rsid w:val="00E77277"/>
    <w:rsid w:val="00E773D0"/>
    <w:rsid w:val="00E775C0"/>
    <w:rsid w:val="00E775C1"/>
    <w:rsid w:val="00E777FB"/>
    <w:rsid w:val="00E778D5"/>
    <w:rsid w:val="00E77AC3"/>
    <w:rsid w:val="00E80067"/>
    <w:rsid w:val="00E80AB4"/>
    <w:rsid w:val="00E8127A"/>
    <w:rsid w:val="00E8144C"/>
    <w:rsid w:val="00E8196E"/>
    <w:rsid w:val="00E81F46"/>
    <w:rsid w:val="00E82105"/>
    <w:rsid w:val="00E82243"/>
    <w:rsid w:val="00E823BA"/>
    <w:rsid w:val="00E8254F"/>
    <w:rsid w:val="00E828FD"/>
    <w:rsid w:val="00E82E3E"/>
    <w:rsid w:val="00E83215"/>
    <w:rsid w:val="00E83371"/>
    <w:rsid w:val="00E83C29"/>
    <w:rsid w:val="00E83CBC"/>
    <w:rsid w:val="00E83CD4"/>
    <w:rsid w:val="00E84005"/>
    <w:rsid w:val="00E8417A"/>
    <w:rsid w:val="00E84B07"/>
    <w:rsid w:val="00E84CF5"/>
    <w:rsid w:val="00E85489"/>
    <w:rsid w:val="00E861F2"/>
    <w:rsid w:val="00E86BCE"/>
    <w:rsid w:val="00E86DFA"/>
    <w:rsid w:val="00E86E18"/>
    <w:rsid w:val="00E8753D"/>
    <w:rsid w:val="00E87825"/>
    <w:rsid w:val="00E90278"/>
    <w:rsid w:val="00E90353"/>
    <w:rsid w:val="00E9035B"/>
    <w:rsid w:val="00E9059B"/>
    <w:rsid w:val="00E90A25"/>
    <w:rsid w:val="00E90AD6"/>
    <w:rsid w:val="00E90B60"/>
    <w:rsid w:val="00E90B75"/>
    <w:rsid w:val="00E90E1D"/>
    <w:rsid w:val="00E90E98"/>
    <w:rsid w:val="00E90F47"/>
    <w:rsid w:val="00E91424"/>
    <w:rsid w:val="00E91501"/>
    <w:rsid w:val="00E917EB"/>
    <w:rsid w:val="00E9250B"/>
    <w:rsid w:val="00E9340E"/>
    <w:rsid w:val="00E93A53"/>
    <w:rsid w:val="00E94052"/>
    <w:rsid w:val="00E94377"/>
    <w:rsid w:val="00E949D1"/>
    <w:rsid w:val="00E94C07"/>
    <w:rsid w:val="00E94EF1"/>
    <w:rsid w:val="00E94F95"/>
    <w:rsid w:val="00E951D1"/>
    <w:rsid w:val="00E951DC"/>
    <w:rsid w:val="00E952FE"/>
    <w:rsid w:val="00E953C2"/>
    <w:rsid w:val="00E9560D"/>
    <w:rsid w:val="00E957C5"/>
    <w:rsid w:val="00E95836"/>
    <w:rsid w:val="00E9662A"/>
    <w:rsid w:val="00E97F2F"/>
    <w:rsid w:val="00E97F85"/>
    <w:rsid w:val="00E97FB4"/>
    <w:rsid w:val="00EA0031"/>
    <w:rsid w:val="00EA0038"/>
    <w:rsid w:val="00EA00BF"/>
    <w:rsid w:val="00EA076F"/>
    <w:rsid w:val="00EA0F5B"/>
    <w:rsid w:val="00EA1564"/>
    <w:rsid w:val="00EA1C16"/>
    <w:rsid w:val="00EA28CA"/>
    <w:rsid w:val="00EA2949"/>
    <w:rsid w:val="00EA3084"/>
    <w:rsid w:val="00EA3163"/>
    <w:rsid w:val="00EA3A0D"/>
    <w:rsid w:val="00EA41E9"/>
    <w:rsid w:val="00EA4217"/>
    <w:rsid w:val="00EA43FC"/>
    <w:rsid w:val="00EA470E"/>
    <w:rsid w:val="00EA4A3D"/>
    <w:rsid w:val="00EA4E53"/>
    <w:rsid w:val="00EA4EE6"/>
    <w:rsid w:val="00EA50C5"/>
    <w:rsid w:val="00EA516C"/>
    <w:rsid w:val="00EA5E21"/>
    <w:rsid w:val="00EA5FA0"/>
    <w:rsid w:val="00EA61F3"/>
    <w:rsid w:val="00EA624A"/>
    <w:rsid w:val="00EA6611"/>
    <w:rsid w:val="00EA736C"/>
    <w:rsid w:val="00EA7CD3"/>
    <w:rsid w:val="00EB01F3"/>
    <w:rsid w:val="00EB03A0"/>
    <w:rsid w:val="00EB0657"/>
    <w:rsid w:val="00EB0AE6"/>
    <w:rsid w:val="00EB0CE6"/>
    <w:rsid w:val="00EB0EEA"/>
    <w:rsid w:val="00EB147B"/>
    <w:rsid w:val="00EB1494"/>
    <w:rsid w:val="00EB1535"/>
    <w:rsid w:val="00EB1912"/>
    <w:rsid w:val="00EB19CA"/>
    <w:rsid w:val="00EB1B38"/>
    <w:rsid w:val="00EB1B59"/>
    <w:rsid w:val="00EB1E21"/>
    <w:rsid w:val="00EB1E94"/>
    <w:rsid w:val="00EB2075"/>
    <w:rsid w:val="00EB221D"/>
    <w:rsid w:val="00EB265A"/>
    <w:rsid w:val="00EB27C9"/>
    <w:rsid w:val="00EB281E"/>
    <w:rsid w:val="00EB28A7"/>
    <w:rsid w:val="00EB2BC8"/>
    <w:rsid w:val="00EB3295"/>
    <w:rsid w:val="00EB3EE7"/>
    <w:rsid w:val="00EB3F47"/>
    <w:rsid w:val="00EB3FAC"/>
    <w:rsid w:val="00EB45C6"/>
    <w:rsid w:val="00EB45F9"/>
    <w:rsid w:val="00EB4713"/>
    <w:rsid w:val="00EB53B4"/>
    <w:rsid w:val="00EB545F"/>
    <w:rsid w:val="00EB5CA2"/>
    <w:rsid w:val="00EB5EB5"/>
    <w:rsid w:val="00EB617C"/>
    <w:rsid w:val="00EB655B"/>
    <w:rsid w:val="00EB686A"/>
    <w:rsid w:val="00EB6906"/>
    <w:rsid w:val="00EB69E7"/>
    <w:rsid w:val="00EB6E8B"/>
    <w:rsid w:val="00EB6F2D"/>
    <w:rsid w:val="00EB71A6"/>
    <w:rsid w:val="00EB7366"/>
    <w:rsid w:val="00EB75F8"/>
    <w:rsid w:val="00EB77A7"/>
    <w:rsid w:val="00EB7B65"/>
    <w:rsid w:val="00EC0061"/>
    <w:rsid w:val="00EC07E4"/>
    <w:rsid w:val="00EC08A7"/>
    <w:rsid w:val="00EC0DBB"/>
    <w:rsid w:val="00EC1640"/>
    <w:rsid w:val="00EC1974"/>
    <w:rsid w:val="00EC1C75"/>
    <w:rsid w:val="00EC349E"/>
    <w:rsid w:val="00EC3556"/>
    <w:rsid w:val="00EC37EE"/>
    <w:rsid w:val="00EC387D"/>
    <w:rsid w:val="00EC4168"/>
    <w:rsid w:val="00EC42A2"/>
    <w:rsid w:val="00EC42AA"/>
    <w:rsid w:val="00EC45A2"/>
    <w:rsid w:val="00EC4714"/>
    <w:rsid w:val="00EC4971"/>
    <w:rsid w:val="00EC499C"/>
    <w:rsid w:val="00EC49B4"/>
    <w:rsid w:val="00EC4DAF"/>
    <w:rsid w:val="00EC501D"/>
    <w:rsid w:val="00EC5140"/>
    <w:rsid w:val="00EC5266"/>
    <w:rsid w:val="00EC58E9"/>
    <w:rsid w:val="00EC5CF5"/>
    <w:rsid w:val="00EC5FD1"/>
    <w:rsid w:val="00EC6125"/>
    <w:rsid w:val="00EC6229"/>
    <w:rsid w:val="00EC68DA"/>
    <w:rsid w:val="00EC6CB0"/>
    <w:rsid w:val="00EC6D2E"/>
    <w:rsid w:val="00EC6E51"/>
    <w:rsid w:val="00EC7004"/>
    <w:rsid w:val="00EC70C6"/>
    <w:rsid w:val="00EC748C"/>
    <w:rsid w:val="00EC74CD"/>
    <w:rsid w:val="00EC7808"/>
    <w:rsid w:val="00EC78BF"/>
    <w:rsid w:val="00ED0725"/>
    <w:rsid w:val="00ED0A26"/>
    <w:rsid w:val="00ED0E46"/>
    <w:rsid w:val="00ED1148"/>
    <w:rsid w:val="00ED12F8"/>
    <w:rsid w:val="00ED1BDC"/>
    <w:rsid w:val="00ED2377"/>
    <w:rsid w:val="00ED2522"/>
    <w:rsid w:val="00ED2596"/>
    <w:rsid w:val="00ED25B4"/>
    <w:rsid w:val="00ED2D13"/>
    <w:rsid w:val="00ED3260"/>
    <w:rsid w:val="00ED32FE"/>
    <w:rsid w:val="00ED358E"/>
    <w:rsid w:val="00ED3779"/>
    <w:rsid w:val="00ED3810"/>
    <w:rsid w:val="00ED4431"/>
    <w:rsid w:val="00ED45BC"/>
    <w:rsid w:val="00ED4998"/>
    <w:rsid w:val="00ED55AB"/>
    <w:rsid w:val="00ED593E"/>
    <w:rsid w:val="00ED5941"/>
    <w:rsid w:val="00ED6643"/>
    <w:rsid w:val="00ED68B4"/>
    <w:rsid w:val="00ED6E80"/>
    <w:rsid w:val="00ED6E9B"/>
    <w:rsid w:val="00ED6F8B"/>
    <w:rsid w:val="00ED7086"/>
    <w:rsid w:val="00ED73AA"/>
    <w:rsid w:val="00ED77A8"/>
    <w:rsid w:val="00ED7D88"/>
    <w:rsid w:val="00ED7EC5"/>
    <w:rsid w:val="00EE0687"/>
    <w:rsid w:val="00EE0DC7"/>
    <w:rsid w:val="00EE0DFD"/>
    <w:rsid w:val="00EE0E2E"/>
    <w:rsid w:val="00EE0E53"/>
    <w:rsid w:val="00EE0ECF"/>
    <w:rsid w:val="00EE12CB"/>
    <w:rsid w:val="00EE1910"/>
    <w:rsid w:val="00EE1A56"/>
    <w:rsid w:val="00EE1B15"/>
    <w:rsid w:val="00EE1D1F"/>
    <w:rsid w:val="00EE1D50"/>
    <w:rsid w:val="00EE2D14"/>
    <w:rsid w:val="00EE31F8"/>
    <w:rsid w:val="00EE3245"/>
    <w:rsid w:val="00EE3302"/>
    <w:rsid w:val="00EE3550"/>
    <w:rsid w:val="00EE35BE"/>
    <w:rsid w:val="00EE3C3B"/>
    <w:rsid w:val="00EE40C5"/>
    <w:rsid w:val="00EE4160"/>
    <w:rsid w:val="00EE4510"/>
    <w:rsid w:val="00EE4605"/>
    <w:rsid w:val="00EE48D5"/>
    <w:rsid w:val="00EE4AEE"/>
    <w:rsid w:val="00EE4C08"/>
    <w:rsid w:val="00EE5140"/>
    <w:rsid w:val="00EE531E"/>
    <w:rsid w:val="00EE5486"/>
    <w:rsid w:val="00EE56CD"/>
    <w:rsid w:val="00EE5A6F"/>
    <w:rsid w:val="00EE5C2E"/>
    <w:rsid w:val="00EE5E3A"/>
    <w:rsid w:val="00EE63FE"/>
    <w:rsid w:val="00EE7510"/>
    <w:rsid w:val="00EE7542"/>
    <w:rsid w:val="00EE7A68"/>
    <w:rsid w:val="00EE7C57"/>
    <w:rsid w:val="00EF017E"/>
    <w:rsid w:val="00EF044B"/>
    <w:rsid w:val="00EF07CE"/>
    <w:rsid w:val="00EF086A"/>
    <w:rsid w:val="00EF08D1"/>
    <w:rsid w:val="00EF09AE"/>
    <w:rsid w:val="00EF0A3F"/>
    <w:rsid w:val="00EF10C3"/>
    <w:rsid w:val="00EF23A9"/>
    <w:rsid w:val="00EF2476"/>
    <w:rsid w:val="00EF25F7"/>
    <w:rsid w:val="00EF292A"/>
    <w:rsid w:val="00EF29F8"/>
    <w:rsid w:val="00EF2F59"/>
    <w:rsid w:val="00EF3344"/>
    <w:rsid w:val="00EF35B9"/>
    <w:rsid w:val="00EF3650"/>
    <w:rsid w:val="00EF38FC"/>
    <w:rsid w:val="00EF3E20"/>
    <w:rsid w:val="00EF43B6"/>
    <w:rsid w:val="00EF46AE"/>
    <w:rsid w:val="00EF48B4"/>
    <w:rsid w:val="00EF4A13"/>
    <w:rsid w:val="00EF4B96"/>
    <w:rsid w:val="00EF4C0F"/>
    <w:rsid w:val="00EF4FBD"/>
    <w:rsid w:val="00EF502A"/>
    <w:rsid w:val="00EF50B5"/>
    <w:rsid w:val="00EF512C"/>
    <w:rsid w:val="00EF5286"/>
    <w:rsid w:val="00EF538F"/>
    <w:rsid w:val="00EF542E"/>
    <w:rsid w:val="00EF6185"/>
    <w:rsid w:val="00EF61D3"/>
    <w:rsid w:val="00EF6317"/>
    <w:rsid w:val="00EF6594"/>
    <w:rsid w:val="00EF6696"/>
    <w:rsid w:val="00EF6E90"/>
    <w:rsid w:val="00EF7181"/>
    <w:rsid w:val="00EF79BD"/>
    <w:rsid w:val="00EF7BD7"/>
    <w:rsid w:val="00F00182"/>
    <w:rsid w:val="00F002DC"/>
    <w:rsid w:val="00F00425"/>
    <w:rsid w:val="00F0065A"/>
    <w:rsid w:val="00F0067A"/>
    <w:rsid w:val="00F00C0E"/>
    <w:rsid w:val="00F01020"/>
    <w:rsid w:val="00F014A5"/>
    <w:rsid w:val="00F018E8"/>
    <w:rsid w:val="00F01D47"/>
    <w:rsid w:val="00F021D5"/>
    <w:rsid w:val="00F02771"/>
    <w:rsid w:val="00F028EF"/>
    <w:rsid w:val="00F03340"/>
    <w:rsid w:val="00F03514"/>
    <w:rsid w:val="00F035DF"/>
    <w:rsid w:val="00F03C3E"/>
    <w:rsid w:val="00F03FF1"/>
    <w:rsid w:val="00F0410B"/>
    <w:rsid w:val="00F04284"/>
    <w:rsid w:val="00F045F9"/>
    <w:rsid w:val="00F04B21"/>
    <w:rsid w:val="00F04C59"/>
    <w:rsid w:val="00F04D47"/>
    <w:rsid w:val="00F05A02"/>
    <w:rsid w:val="00F05BB2"/>
    <w:rsid w:val="00F06230"/>
    <w:rsid w:val="00F062E6"/>
    <w:rsid w:val="00F063AE"/>
    <w:rsid w:val="00F06A5F"/>
    <w:rsid w:val="00F06A61"/>
    <w:rsid w:val="00F06ADE"/>
    <w:rsid w:val="00F06C4A"/>
    <w:rsid w:val="00F0712F"/>
    <w:rsid w:val="00F071DF"/>
    <w:rsid w:val="00F07261"/>
    <w:rsid w:val="00F072FE"/>
    <w:rsid w:val="00F07551"/>
    <w:rsid w:val="00F07F87"/>
    <w:rsid w:val="00F104CD"/>
    <w:rsid w:val="00F1054A"/>
    <w:rsid w:val="00F105BC"/>
    <w:rsid w:val="00F105D8"/>
    <w:rsid w:val="00F108B4"/>
    <w:rsid w:val="00F10C08"/>
    <w:rsid w:val="00F10C29"/>
    <w:rsid w:val="00F10DC6"/>
    <w:rsid w:val="00F10E85"/>
    <w:rsid w:val="00F10EA4"/>
    <w:rsid w:val="00F1168A"/>
    <w:rsid w:val="00F118E3"/>
    <w:rsid w:val="00F11C7D"/>
    <w:rsid w:val="00F1214E"/>
    <w:rsid w:val="00F12C10"/>
    <w:rsid w:val="00F13C96"/>
    <w:rsid w:val="00F13F94"/>
    <w:rsid w:val="00F1416E"/>
    <w:rsid w:val="00F142F6"/>
    <w:rsid w:val="00F14515"/>
    <w:rsid w:val="00F14693"/>
    <w:rsid w:val="00F146D8"/>
    <w:rsid w:val="00F147AC"/>
    <w:rsid w:val="00F14DA2"/>
    <w:rsid w:val="00F14E7C"/>
    <w:rsid w:val="00F15429"/>
    <w:rsid w:val="00F154C8"/>
    <w:rsid w:val="00F156B2"/>
    <w:rsid w:val="00F16004"/>
    <w:rsid w:val="00F160C5"/>
    <w:rsid w:val="00F1636B"/>
    <w:rsid w:val="00F16AEE"/>
    <w:rsid w:val="00F16C1C"/>
    <w:rsid w:val="00F16CFE"/>
    <w:rsid w:val="00F16EA3"/>
    <w:rsid w:val="00F176CA"/>
    <w:rsid w:val="00F17D55"/>
    <w:rsid w:val="00F202A1"/>
    <w:rsid w:val="00F208FD"/>
    <w:rsid w:val="00F20E25"/>
    <w:rsid w:val="00F21101"/>
    <w:rsid w:val="00F2178B"/>
    <w:rsid w:val="00F219D1"/>
    <w:rsid w:val="00F22025"/>
    <w:rsid w:val="00F22172"/>
    <w:rsid w:val="00F22711"/>
    <w:rsid w:val="00F227F8"/>
    <w:rsid w:val="00F22D22"/>
    <w:rsid w:val="00F22E5F"/>
    <w:rsid w:val="00F230AB"/>
    <w:rsid w:val="00F23367"/>
    <w:rsid w:val="00F23B70"/>
    <w:rsid w:val="00F23C46"/>
    <w:rsid w:val="00F23D89"/>
    <w:rsid w:val="00F23E57"/>
    <w:rsid w:val="00F24082"/>
    <w:rsid w:val="00F2436B"/>
    <w:rsid w:val="00F2494F"/>
    <w:rsid w:val="00F26223"/>
    <w:rsid w:val="00F26702"/>
    <w:rsid w:val="00F26F38"/>
    <w:rsid w:val="00F27224"/>
    <w:rsid w:val="00F276E5"/>
    <w:rsid w:val="00F27905"/>
    <w:rsid w:val="00F279D5"/>
    <w:rsid w:val="00F30097"/>
    <w:rsid w:val="00F3037D"/>
    <w:rsid w:val="00F3070A"/>
    <w:rsid w:val="00F30722"/>
    <w:rsid w:val="00F30818"/>
    <w:rsid w:val="00F30989"/>
    <w:rsid w:val="00F31528"/>
    <w:rsid w:val="00F31898"/>
    <w:rsid w:val="00F319A0"/>
    <w:rsid w:val="00F31A7C"/>
    <w:rsid w:val="00F31F6A"/>
    <w:rsid w:val="00F31FF5"/>
    <w:rsid w:val="00F32108"/>
    <w:rsid w:val="00F323D0"/>
    <w:rsid w:val="00F32703"/>
    <w:rsid w:val="00F3271F"/>
    <w:rsid w:val="00F3278D"/>
    <w:rsid w:val="00F329FE"/>
    <w:rsid w:val="00F33112"/>
    <w:rsid w:val="00F33443"/>
    <w:rsid w:val="00F33676"/>
    <w:rsid w:val="00F33892"/>
    <w:rsid w:val="00F33A37"/>
    <w:rsid w:val="00F33BBA"/>
    <w:rsid w:val="00F33D33"/>
    <w:rsid w:val="00F347E5"/>
    <w:rsid w:val="00F34B4F"/>
    <w:rsid w:val="00F34E1E"/>
    <w:rsid w:val="00F356BA"/>
    <w:rsid w:val="00F35907"/>
    <w:rsid w:val="00F35C1F"/>
    <w:rsid w:val="00F36D7B"/>
    <w:rsid w:val="00F373CC"/>
    <w:rsid w:val="00F37612"/>
    <w:rsid w:val="00F37864"/>
    <w:rsid w:val="00F37ACA"/>
    <w:rsid w:val="00F4042E"/>
    <w:rsid w:val="00F40439"/>
    <w:rsid w:val="00F405C6"/>
    <w:rsid w:val="00F4082C"/>
    <w:rsid w:val="00F4090C"/>
    <w:rsid w:val="00F41024"/>
    <w:rsid w:val="00F412D5"/>
    <w:rsid w:val="00F413B8"/>
    <w:rsid w:val="00F41908"/>
    <w:rsid w:val="00F41A5F"/>
    <w:rsid w:val="00F41E13"/>
    <w:rsid w:val="00F424B7"/>
    <w:rsid w:val="00F424BF"/>
    <w:rsid w:val="00F425B9"/>
    <w:rsid w:val="00F42E09"/>
    <w:rsid w:val="00F42EBE"/>
    <w:rsid w:val="00F42F80"/>
    <w:rsid w:val="00F43086"/>
    <w:rsid w:val="00F43098"/>
    <w:rsid w:val="00F439DB"/>
    <w:rsid w:val="00F43A29"/>
    <w:rsid w:val="00F43ABB"/>
    <w:rsid w:val="00F44064"/>
    <w:rsid w:val="00F44851"/>
    <w:rsid w:val="00F4497E"/>
    <w:rsid w:val="00F449D8"/>
    <w:rsid w:val="00F453BB"/>
    <w:rsid w:val="00F453F1"/>
    <w:rsid w:val="00F455EB"/>
    <w:rsid w:val="00F45886"/>
    <w:rsid w:val="00F459C7"/>
    <w:rsid w:val="00F45A04"/>
    <w:rsid w:val="00F45B6E"/>
    <w:rsid w:val="00F45CE2"/>
    <w:rsid w:val="00F474BE"/>
    <w:rsid w:val="00F47500"/>
    <w:rsid w:val="00F477A0"/>
    <w:rsid w:val="00F47984"/>
    <w:rsid w:val="00F5040C"/>
    <w:rsid w:val="00F504B7"/>
    <w:rsid w:val="00F50B57"/>
    <w:rsid w:val="00F50CEF"/>
    <w:rsid w:val="00F50E75"/>
    <w:rsid w:val="00F50E7B"/>
    <w:rsid w:val="00F519CA"/>
    <w:rsid w:val="00F51F2E"/>
    <w:rsid w:val="00F52129"/>
    <w:rsid w:val="00F52333"/>
    <w:rsid w:val="00F52F4E"/>
    <w:rsid w:val="00F5339B"/>
    <w:rsid w:val="00F533CD"/>
    <w:rsid w:val="00F53651"/>
    <w:rsid w:val="00F53C13"/>
    <w:rsid w:val="00F54D14"/>
    <w:rsid w:val="00F551BF"/>
    <w:rsid w:val="00F5520E"/>
    <w:rsid w:val="00F55B1A"/>
    <w:rsid w:val="00F55CD0"/>
    <w:rsid w:val="00F5673D"/>
    <w:rsid w:val="00F568D9"/>
    <w:rsid w:val="00F56E30"/>
    <w:rsid w:val="00F579C2"/>
    <w:rsid w:val="00F57AB2"/>
    <w:rsid w:val="00F604AD"/>
    <w:rsid w:val="00F60595"/>
    <w:rsid w:val="00F606CC"/>
    <w:rsid w:val="00F60AC8"/>
    <w:rsid w:val="00F60C29"/>
    <w:rsid w:val="00F60E54"/>
    <w:rsid w:val="00F616BF"/>
    <w:rsid w:val="00F61EF2"/>
    <w:rsid w:val="00F62406"/>
    <w:rsid w:val="00F62AC1"/>
    <w:rsid w:val="00F62D66"/>
    <w:rsid w:val="00F63506"/>
    <w:rsid w:val="00F6390B"/>
    <w:rsid w:val="00F63989"/>
    <w:rsid w:val="00F651DA"/>
    <w:rsid w:val="00F65A9E"/>
    <w:rsid w:val="00F662AD"/>
    <w:rsid w:val="00F663A4"/>
    <w:rsid w:val="00F66DB0"/>
    <w:rsid w:val="00F67392"/>
    <w:rsid w:val="00F677AE"/>
    <w:rsid w:val="00F70401"/>
    <w:rsid w:val="00F708F5"/>
    <w:rsid w:val="00F70C6C"/>
    <w:rsid w:val="00F70E1C"/>
    <w:rsid w:val="00F71262"/>
    <w:rsid w:val="00F71292"/>
    <w:rsid w:val="00F7139F"/>
    <w:rsid w:val="00F713CF"/>
    <w:rsid w:val="00F7144B"/>
    <w:rsid w:val="00F714A4"/>
    <w:rsid w:val="00F71904"/>
    <w:rsid w:val="00F71A90"/>
    <w:rsid w:val="00F72197"/>
    <w:rsid w:val="00F7258A"/>
    <w:rsid w:val="00F72C6C"/>
    <w:rsid w:val="00F72FD3"/>
    <w:rsid w:val="00F7321E"/>
    <w:rsid w:val="00F733FC"/>
    <w:rsid w:val="00F73EE0"/>
    <w:rsid w:val="00F7430E"/>
    <w:rsid w:val="00F745FD"/>
    <w:rsid w:val="00F74E8C"/>
    <w:rsid w:val="00F750F1"/>
    <w:rsid w:val="00F75FEB"/>
    <w:rsid w:val="00F760BA"/>
    <w:rsid w:val="00F760F3"/>
    <w:rsid w:val="00F765F2"/>
    <w:rsid w:val="00F76801"/>
    <w:rsid w:val="00F7683A"/>
    <w:rsid w:val="00F76845"/>
    <w:rsid w:val="00F76F3A"/>
    <w:rsid w:val="00F77061"/>
    <w:rsid w:val="00F77074"/>
    <w:rsid w:val="00F771B2"/>
    <w:rsid w:val="00F773FE"/>
    <w:rsid w:val="00F77735"/>
    <w:rsid w:val="00F77D26"/>
    <w:rsid w:val="00F77DD4"/>
    <w:rsid w:val="00F8004D"/>
    <w:rsid w:val="00F80B6F"/>
    <w:rsid w:val="00F80BE6"/>
    <w:rsid w:val="00F80E1F"/>
    <w:rsid w:val="00F80EF4"/>
    <w:rsid w:val="00F81160"/>
    <w:rsid w:val="00F8127D"/>
    <w:rsid w:val="00F81B00"/>
    <w:rsid w:val="00F81B98"/>
    <w:rsid w:val="00F81E13"/>
    <w:rsid w:val="00F81E57"/>
    <w:rsid w:val="00F827FF"/>
    <w:rsid w:val="00F82979"/>
    <w:rsid w:val="00F831BD"/>
    <w:rsid w:val="00F8343F"/>
    <w:rsid w:val="00F8352F"/>
    <w:rsid w:val="00F836B4"/>
    <w:rsid w:val="00F83AF4"/>
    <w:rsid w:val="00F83FE5"/>
    <w:rsid w:val="00F842A4"/>
    <w:rsid w:val="00F8443C"/>
    <w:rsid w:val="00F844AA"/>
    <w:rsid w:val="00F8465A"/>
    <w:rsid w:val="00F84E8E"/>
    <w:rsid w:val="00F851FB"/>
    <w:rsid w:val="00F85340"/>
    <w:rsid w:val="00F8535A"/>
    <w:rsid w:val="00F85484"/>
    <w:rsid w:val="00F854A6"/>
    <w:rsid w:val="00F863EC"/>
    <w:rsid w:val="00F86ACB"/>
    <w:rsid w:val="00F86C43"/>
    <w:rsid w:val="00F8759F"/>
    <w:rsid w:val="00F875A8"/>
    <w:rsid w:val="00F87CA2"/>
    <w:rsid w:val="00F909DC"/>
    <w:rsid w:val="00F911E7"/>
    <w:rsid w:val="00F913DE"/>
    <w:rsid w:val="00F9145B"/>
    <w:rsid w:val="00F9148B"/>
    <w:rsid w:val="00F91E27"/>
    <w:rsid w:val="00F91E86"/>
    <w:rsid w:val="00F92232"/>
    <w:rsid w:val="00F9226E"/>
    <w:rsid w:val="00F92B00"/>
    <w:rsid w:val="00F92E05"/>
    <w:rsid w:val="00F92E41"/>
    <w:rsid w:val="00F92EBF"/>
    <w:rsid w:val="00F9309A"/>
    <w:rsid w:val="00F940D2"/>
    <w:rsid w:val="00F9430E"/>
    <w:rsid w:val="00F94340"/>
    <w:rsid w:val="00F94757"/>
    <w:rsid w:val="00F9523F"/>
    <w:rsid w:val="00F96309"/>
    <w:rsid w:val="00F9645F"/>
    <w:rsid w:val="00F967CD"/>
    <w:rsid w:val="00F96B81"/>
    <w:rsid w:val="00F96D88"/>
    <w:rsid w:val="00F96E02"/>
    <w:rsid w:val="00F975B3"/>
    <w:rsid w:val="00F97BCD"/>
    <w:rsid w:val="00F97F3C"/>
    <w:rsid w:val="00FA0CA9"/>
    <w:rsid w:val="00FA0E22"/>
    <w:rsid w:val="00FA0FD4"/>
    <w:rsid w:val="00FA1414"/>
    <w:rsid w:val="00FA1580"/>
    <w:rsid w:val="00FA1A4B"/>
    <w:rsid w:val="00FA1DAF"/>
    <w:rsid w:val="00FA1F52"/>
    <w:rsid w:val="00FA2026"/>
    <w:rsid w:val="00FA2140"/>
    <w:rsid w:val="00FA24BE"/>
    <w:rsid w:val="00FA281C"/>
    <w:rsid w:val="00FA283A"/>
    <w:rsid w:val="00FA28D9"/>
    <w:rsid w:val="00FA2BAB"/>
    <w:rsid w:val="00FA2F67"/>
    <w:rsid w:val="00FA3A83"/>
    <w:rsid w:val="00FA3ACA"/>
    <w:rsid w:val="00FA3BDC"/>
    <w:rsid w:val="00FA3BFB"/>
    <w:rsid w:val="00FA4555"/>
    <w:rsid w:val="00FA4615"/>
    <w:rsid w:val="00FA4655"/>
    <w:rsid w:val="00FA4712"/>
    <w:rsid w:val="00FA47E9"/>
    <w:rsid w:val="00FA489C"/>
    <w:rsid w:val="00FA623B"/>
    <w:rsid w:val="00FA6A2D"/>
    <w:rsid w:val="00FA723C"/>
    <w:rsid w:val="00FA7BB7"/>
    <w:rsid w:val="00FB0430"/>
    <w:rsid w:val="00FB0437"/>
    <w:rsid w:val="00FB0819"/>
    <w:rsid w:val="00FB0D22"/>
    <w:rsid w:val="00FB0E6E"/>
    <w:rsid w:val="00FB1086"/>
    <w:rsid w:val="00FB112E"/>
    <w:rsid w:val="00FB1424"/>
    <w:rsid w:val="00FB15E4"/>
    <w:rsid w:val="00FB16EC"/>
    <w:rsid w:val="00FB1768"/>
    <w:rsid w:val="00FB1799"/>
    <w:rsid w:val="00FB1906"/>
    <w:rsid w:val="00FB232F"/>
    <w:rsid w:val="00FB2401"/>
    <w:rsid w:val="00FB252C"/>
    <w:rsid w:val="00FB282C"/>
    <w:rsid w:val="00FB2CC6"/>
    <w:rsid w:val="00FB2DDC"/>
    <w:rsid w:val="00FB33DB"/>
    <w:rsid w:val="00FB341F"/>
    <w:rsid w:val="00FB4033"/>
    <w:rsid w:val="00FB439F"/>
    <w:rsid w:val="00FB43AD"/>
    <w:rsid w:val="00FB487E"/>
    <w:rsid w:val="00FB488E"/>
    <w:rsid w:val="00FB4E04"/>
    <w:rsid w:val="00FB500B"/>
    <w:rsid w:val="00FB50DD"/>
    <w:rsid w:val="00FB54D0"/>
    <w:rsid w:val="00FB56A2"/>
    <w:rsid w:val="00FB587D"/>
    <w:rsid w:val="00FB59D1"/>
    <w:rsid w:val="00FB5C53"/>
    <w:rsid w:val="00FB6015"/>
    <w:rsid w:val="00FB6070"/>
    <w:rsid w:val="00FB667F"/>
    <w:rsid w:val="00FB6831"/>
    <w:rsid w:val="00FB6E06"/>
    <w:rsid w:val="00FB71C9"/>
    <w:rsid w:val="00FB73AE"/>
    <w:rsid w:val="00FB74EE"/>
    <w:rsid w:val="00FB7E6A"/>
    <w:rsid w:val="00FB7EF7"/>
    <w:rsid w:val="00FC01FB"/>
    <w:rsid w:val="00FC0671"/>
    <w:rsid w:val="00FC096A"/>
    <w:rsid w:val="00FC0B03"/>
    <w:rsid w:val="00FC0C9B"/>
    <w:rsid w:val="00FC14A6"/>
    <w:rsid w:val="00FC1718"/>
    <w:rsid w:val="00FC178A"/>
    <w:rsid w:val="00FC1929"/>
    <w:rsid w:val="00FC1DD4"/>
    <w:rsid w:val="00FC25C6"/>
    <w:rsid w:val="00FC2BB1"/>
    <w:rsid w:val="00FC305E"/>
    <w:rsid w:val="00FC3248"/>
    <w:rsid w:val="00FC3265"/>
    <w:rsid w:val="00FC3A1D"/>
    <w:rsid w:val="00FC3D28"/>
    <w:rsid w:val="00FC4409"/>
    <w:rsid w:val="00FC46F0"/>
    <w:rsid w:val="00FC5414"/>
    <w:rsid w:val="00FC5991"/>
    <w:rsid w:val="00FC6AB0"/>
    <w:rsid w:val="00FC6E16"/>
    <w:rsid w:val="00FC75F9"/>
    <w:rsid w:val="00FC76EF"/>
    <w:rsid w:val="00FC77C8"/>
    <w:rsid w:val="00FC780B"/>
    <w:rsid w:val="00FC7A00"/>
    <w:rsid w:val="00FC7D2B"/>
    <w:rsid w:val="00FD000F"/>
    <w:rsid w:val="00FD025B"/>
    <w:rsid w:val="00FD0468"/>
    <w:rsid w:val="00FD0D8D"/>
    <w:rsid w:val="00FD112A"/>
    <w:rsid w:val="00FD13E6"/>
    <w:rsid w:val="00FD1611"/>
    <w:rsid w:val="00FD170B"/>
    <w:rsid w:val="00FD17B9"/>
    <w:rsid w:val="00FD1A5B"/>
    <w:rsid w:val="00FD22B5"/>
    <w:rsid w:val="00FD272A"/>
    <w:rsid w:val="00FD3179"/>
    <w:rsid w:val="00FD3492"/>
    <w:rsid w:val="00FD37CA"/>
    <w:rsid w:val="00FD3CD3"/>
    <w:rsid w:val="00FD4150"/>
    <w:rsid w:val="00FD41EA"/>
    <w:rsid w:val="00FD4939"/>
    <w:rsid w:val="00FD49B8"/>
    <w:rsid w:val="00FD4E68"/>
    <w:rsid w:val="00FD4F9D"/>
    <w:rsid w:val="00FD515A"/>
    <w:rsid w:val="00FD5182"/>
    <w:rsid w:val="00FD52F2"/>
    <w:rsid w:val="00FD53CF"/>
    <w:rsid w:val="00FD5400"/>
    <w:rsid w:val="00FD561D"/>
    <w:rsid w:val="00FD5882"/>
    <w:rsid w:val="00FD59CB"/>
    <w:rsid w:val="00FD5AEA"/>
    <w:rsid w:val="00FD636E"/>
    <w:rsid w:val="00FD6608"/>
    <w:rsid w:val="00FD6ACE"/>
    <w:rsid w:val="00FD6B56"/>
    <w:rsid w:val="00FD6C02"/>
    <w:rsid w:val="00FD6E3A"/>
    <w:rsid w:val="00FD7001"/>
    <w:rsid w:val="00FD72ED"/>
    <w:rsid w:val="00FD7300"/>
    <w:rsid w:val="00FD7877"/>
    <w:rsid w:val="00FD79E5"/>
    <w:rsid w:val="00FD7C88"/>
    <w:rsid w:val="00FE010E"/>
    <w:rsid w:val="00FE0333"/>
    <w:rsid w:val="00FE061F"/>
    <w:rsid w:val="00FE089A"/>
    <w:rsid w:val="00FE0B39"/>
    <w:rsid w:val="00FE0EDE"/>
    <w:rsid w:val="00FE101B"/>
    <w:rsid w:val="00FE1077"/>
    <w:rsid w:val="00FE1095"/>
    <w:rsid w:val="00FE10FF"/>
    <w:rsid w:val="00FE15E1"/>
    <w:rsid w:val="00FE17DE"/>
    <w:rsid w:val="00FE1E57"/>
    <w:rsid w:val="00FE2374"/>
    <w:rsid w:val="00FE2450"/>
    <w:rsid w:val="00FE2A96"/>
    <w:rsid w:val="00FE2F07"/>
    <w:rsid w:val="00FE2F74"/>
    <w:rsid w:val="00FE3122"/>
    <w:rsid w:val="00FE31A5"/>
    <w:rsid w:val="00FE3208"/>
    <w:rsid w:val="00FE328D"/>
    <w:rsid w:val="00FE352B"/>
    <w:rsid w:val="00FE3832"/>
    <w:rsid w:val="00FE3B0A"/>
    <w:rsid w:val="00FE3B6C"/>
    <w:rsid w:val="00FE3C9D"/>
    <w:rsid w:val="00FE3F0C"/>
    <w:rsid w:val="00FE40E5"/>
    <w:rsid w:val="00FE4172"/>
    <w:rsid w:val="00FE41BF"/>
    <w:rsid w:val="00FE41EF"/>
    <w:rsid w:val="00FE4470"/>
    <w:rsid w:val="00FE45DA"/>
    <w:rsid w:val="00FE4D16"/>
    <w:rsid w:val="00FE57D8"/>
    <w:rsid w:val="00FE611B"/>
    <w:rsid w:val="00FE6207"/>
    <w:rsid w:val="00FE63AE"/>
    <w:rsid w:val="00FE644F"/>
    <w:rsid w:val="00FE66AA"/>
    <w:rsid w:val="00FE7126"/>
    <w:rsid w:val="00FE7480"/>
    <w:rsid w:val="00FE765D"/>
    <w:rsid w:val="00FF009C"/>
    <w:rsid w:val="00FF0134"/>
    <w:rsid w:val="00FF1716"/>
    <w:rsid w:val="00FF17E1"/>
    <w:rsid w:val="00FF1B42"/>
    <w:rsid w:val="00FF1B8F"/>
    <w:rsid w:val="00FF23D7"/>
    <w:rsid w:val="00FF23DD"/>
    <w:rsid w:val="00FF2AA3"/>
    <w:rsid w:val="00FF2AA4"/>
    <w:rsid w:val="00FF2DFD"/>
    <w:rsid w:val="00FF35D0"/>
    <w:rsid w:val="00FF3AF0"/>
    <w:rsid w:val="00FF3AF9"/>
    <w:rsid w:val="00FF3B26"/>
    <w:rsid w:val="00FF3DF8"/>
    <w:rsid w:val="00FF3EF1"/>
    <w:rsid w:val="00FF4711"/>
    <w:rsid w:val="00FF471B"/>
    <w:rsid w:val="00FF4858"/>
    <w:rsid w:val="00FF4C5F"/>
    <w:rsid w:val="00FF4C72"/>
    <w:rsid w:val="00FF5C1D"/>
    <w:rsid w:val="00FF5DB2"/>
    <w:rsid w:val="00FF5EF9"/>
    <w:rsid w:val="00FF69BE"/>
    <w:rsid w:val="00FF6A3F"/>
    <w:rsid w:val="00FF6B4F"/>
    <w:rsid w:val="00FF6D1A"/>
    <w:rsid w:val="00FF71CF"/>
    <w:rsid w:val="00FF727D"/>
    <w:rsid w:val="00FF748F"/>
    <w:rsid w:val="00FF7DA7"/>
    <w:rsid w:val="00FF7F2E"/>
    <w:rsid w:val="022E010D"/>
    <w:rsid w:val="040F6216"/>
    <w:rsid w:val="071FD5DB"/>
    <w:rsid w:val="094D1F74"/>
    <w:rsid w:val="0DAD607A"/>
    <w:rsid w:val="0E46F379"/>
    <w:rsid w:val="0EAB4380"/>
    <w:rsid w:val="10941954"/>
    <w:rsid w:val="10C21935"/>
    <w:rsid w:val="18AFB04E"/>
    <w:rsid w:val="18B4CD06"/>
    <w:rsid w:val="1D4FDE36"/>
    <w:rsid w:val="1E651A3F"/>
    <w:rsid w:val="260940A0"/>
    <w:rsid w:val="2893085D"/>
    <w:rsid w:val="28B63F54"/>
    <w:rsid w:val="2A8C2BA5"/>
    <w:rsid w:val="2FF37DA6"/>
    <w:rsid w:val="314EADDE"/>
    <w:rsid w:val="317CF0EE"/>
    <w:rsid w:val="31BA9B1B"/>
    <w:rsid w:val="32527401"/>
    <w:rsid w:val="32D9E1C3"/>
    <w:rsid w:val="33B94DC0"/>
    <w:rsid w:val="341CA9E8"/>
    <w:rsid w:val="35123E6E"/>
    <w:rsid w:val="393A0E5C"/>
    <w:rsid w:val="43876F9C"/>
    <w:rsid w:val="4D431B3D"/>
    <w:rsid w:val="4DB3C549"/>
    <w:rsid w:val="5277BC01"/>
    <w:rsid w:val="56A450C2"/>
    <w:rsid w:val="587D188B"/>
    <w:rsid w:val="626DEDD0"/>
    <w:rsid w:val="62D0CF5F"/>
    <w:rsid w:val="6832BCD4"/>
    <w:rsid w:val="695446D4"/>
    <w:rsid w:val="6AB77F12"/>
    <w:rsid w:val="74BADB66"/>
    <w:rsid w:val="7622014D"/>
    <w:rsid w:val="78B4F613"/>
    <w:rsid w:val="7B5F23F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C834F9"/>
  <w15:chartTrackingRefBased/>
  <w15:docId w15:val="{C4432196-85E7-44A5-8939-B72F6F99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683"/>
  </w:style>
  <w:style w:type="paragraph" w:styleId="Titre1">
    <w:name w:val="heading 1"/>
    <w:basedOn w:val="Normal"/>
    <w:next w:val="Normal"/>
    <w:link w:val="Titre1Car"/>
    <w:uiPriority w:val="9"/>
    <w:qFormat/>
    <w:rsid w:val="00BA1E49"/>
    <w:pPr>
      <w:shd w:val="clear" w:color="auto" w:fill="3476B1" w:themeFill="accent2" w:themeFillShade="BF"/>
      <w:jc w:val="center"/>
      <w:outlineLvl w:val="0"/>
    </w:pPr>
    <w:rPr>
      <w:b/>
      <w:color w:val="FFFFFF" w:themeColor="background1"/>
      <w:sz w:val="96"/>
      <w:szCs w:val="96"/>
    </w:rPr>
  </w:style>
  <w:style w:type="paragraph" w:styleId="Titre2">
    <w:name w:val="heading 2"/>
    <w:basedOn w:val="Normal"/>
    <w:next w:val="Normal"/>
    <w:link w:val="Titre2Car"/>
    <w:uiPriority w:val="9"/>
    <w:unhideWhenUsed/>
    <w:qFormat/>
    <w:rsid w:val="00BA1E49"/>
    <w:pPr>
      <w:jc w:val="center"/>
      <w:outlineLvl w:val="1"/>
    </w:pPr>
    <w:rPr>
      <w:b/>
      <w:color w:val="002060"/>
      <w:sz w:val="52"/>
      <w:szCs w:val="52"/>
    </w:rPr>
  </w:style>
  <w:style w:type="paragraph" w:styleId="Titre3">
    <w:name w:val="heading 3"/>
    <w:basedOn w:val="Normal"/>
    <w:next w:val="Normal"/>
    <w:link w:val="Titre3Car"/>
    <w:uiPriority w:val="9"/>
    <w:unhideWhenUsed/>
    <w:qFormat/>
    <w:rsid w:val="00BA1E49"/>
    <w:pPr>
      <w:pBdr>
        <w:top w:val="single" w:sz="24" w:space="2" w:color="4A66AC" w:themeColor="accent1"/>
        <w:left w:val="single" w:sz="24" w:space="4" w:color="4A66AC" w:themeColor="accent1"/>
        <w:bottom w:val="single" w:sz="24" w:space="1" w:color="4A66AC" w:themeColor="accent1"/>
        <w:right w:val="single" w:sz="24" w:space="4" w:color="4A66AC" w:themeColor="accent1"/>
      </w:pBdr>
      <w:shd w:val="clear" w:color="auto" w:fill="4A66AC" w:themeFill="accent1"/>
      <w:spacing w:before="300" w:after="0"/>
      <w:outlineLvl w:val="2"/>
    </w:pPr>
    <w:rPr>
      <w:b/>
      <w:caps/>
      <w:color w:val="FFFFFF" w:themeColor="background1"/>
      <w:spacing w:val="15"/>
      <w:sz w:val="22"/>
    </w:rPr>
  </w:style>
  <w:style w:type="paragraph" w:styleId="Titre4">
    <w:name w:val="heading 4"/>
    <w:next w:val="Normal"/>
    <w:link w:val="Titre4Car"/>
    <w:uiPriority w:val="9"/>
    <w:unhideWhenUsed/>
    <w:qFormat/>
    <w:rsid w:val="00BA1E49"/>
    <w:pPr>
      <w:pBdr>
        <w:top w:val="single" w:sz="24" w:space="1" w:color="D9DFEF" w:themeColor="accent1" w:themeTint="33"/>
        <w:left w:val="single" w:sz="24" w:space="4" w:color="D9DFEF" w:themeColor="accent1" w:themeTint="33"/>
        <w:bottom w:val="single" w:sz="24" w:space="1" w:color="D9DFEF" w:themeColor="accent1" w:themeTint="33"/>
        <w:right w:val="single" w:sz="24" w:space="4" w:color="D9DFEF" w:themeColor="accent1" w:themeTint="33"/>
      </w:pBdr>
      <w:shd w:val="clear" w:color="auto" w:fill="D9DFEF" w:themeFill="accent1" w:themeFillTint="33"/>
      <w:outlineLvl w:val="3"/>
    </w:pPr>
    <w:rPr>
      <w:b/>
      <w:caps/>
      <w:spacing w:val="15"/>
    </w:rPr>
  </w:style>
  <w:style w:type="paragraph" w:styleId="Titre5">
    <w:name w:val="heading 5"/>
    <w:basedOn w:val="Normal"/>
    <w:next w:val="Normal"/>
    <w:link w:val="Titre5Car"/>
    <w:uiPriority w:val="9"/>
    <w:unhideWhenUsed/>
    <w:qFormat/>
    <w:rsid w:val="00B36683"/>
    <w:pPr>
      <w:pBdr>
        <w:bottom w:val="single" w:sz="6" w:space="1" w:color="4A66AC" w:themeColor="accent1"/>
      </w:pBdr>
      <w:spacing w:before="200" w:after="0"/>
      <w:outlineLvl w:val="4"/>
    </w:pPr>
    <w:rPr>
      <w:caps/>
      <w:color w:val="374C80" w:themeColor="accent1" w:themeShade="BF"/>
      <w:spacing w:val="10"/>
    </w:rPr>
  </w:style>
  <w:style w:type="paragraph" w:styleId="Titre6">
    <w:name w:val="heading 6"/>
    <w:basedOn w:val="Normal"/>
    <w:next w:val="Normal"/>
    <w:link w:val="Titre6Car"/>
    <w:uiPriority w:val="9"/>
    <w:semiHidden/>
    <w:unhideWhenUsed/>
    <w:qFormat/>
    <w:rsid w:val="00B36683"/>
    <w:pPr>
      <w:pBdr>
        <w:bottom w:val="dotted" w:sz="6" w:space="1" w:color="4A66AC" w:themeColor="accent1"/>
      </w:pBdr>
      <w:spacing w:before="200" w:after="0"/>
      <w:outlineLvl w:val="5"/>
    </w:pPr>
    <w:rPr>
      <w:caps/>
      <w:color w:val="374C80" w:themeColor="accent1" w:themeShade="BF"/>
      <w:spacing w:val="10"/>
    </w:rPr>
  </w:style>
  <w:style w:type="paragraph" w:styleId="Titre7">
    <w:name w:val="heading 7"/>
    <w:basedOn w:val="Normal"/>
    <w:next w:val="Normal"/>
    <w:link w:val="Titre7Car"/>
    <w:uiPriority w:val="9"/>
    <w:semiHidden/>
    <w:unhideWhenUsed/>
    <w:qFormat/>
    <w:rsid w:val="00B36683"/>
    <w:pPr>
      <w:spacing w:before="200" w:after="0"/>
      <w:outlineLvl w:val="6"/>
    </w:pPr>
    <w:rPr>
      <w:caps/>
      <w:color w:val="374C80" w:themeColor="accent1" w:themeShade="BF"/>
      <w:spacing w:val="10"/>
    </w:rPr>
  </w:style>
  <w:style w:type="paragraph" w:styleId="Titre8">
    <w:name w:val="heading 8"/>
    <w:basedOn w:val="Normal"/>
    <w:next w:val="Normal"/>
    <w:link w:val="Titre8Car"/>
    <w:uiPriority w:val="9"/>
    <w:semiHidden/>
    <w:unhideWhenUsed/>
    <w:qFormat/>
    <w:rsid w:val="00B36683"/>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B36683"/>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A07A8"/>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
    <w:name w:val="txt"/>
    <w:basedOn w:val="Policepardfaut"/>
    <w:rsid w:val="00FB0430"/>
  </w:style>
  <w:style w:type="character" w:customStyle="1" w:styleId="modif">
    <w:name w:val="modif"/>
    <w:basedOn w:val="Policepardfaut"/>
    <w:rsid w:val="00FB0430"/>
  </w:style>
  <w:style w:type="character" w:styleId="Lienhypertexte">
    <w:name w:val="Hyperlink"/>
    <w:basedOn w:val="Policepardfaut"/>
    <w:uiPriority w:val="99"/>
    <w:unhideWhenUsed/>
    <w:rsid w:val="00BD1019"/>
    <w:rPr>
      <w:color w:val="0000FF"/>
      <w:u w:val="single"/>
    </w:rPr>
  </w:style>
  <w:style w:type="character" w:customStyle="1" w:styleId="expos">
    <w:name w:val="expos"/>
    <w:basedOn w:val="Policepardfaut"/>
    <w:rsid w:val="00BD1019"/>
  </w:style>
  <w:style w:type="character" w:customStyle="1" w:styleId="art">
    <w:name w:val="art"/>
    <w:basedOn w:val="Policepardfaut"/>
    <w:rsid w:val="00BD1019"/>
  </w:style>
  <w:style w:type="paragraph" w:styleId="Paragraphedeliste">
    <w:name w:val="List Paragraph"/>
    <w:basedOn w:val="Normal"/>
    <w:uiPriority w:val="34"/>
    <w:qFormat/>
    <w:rsid w:val="00BD1019"/>
    <w:pPr>
      <w:ind w:left="720"/>
      <w:contextualSpacing/>
    </w:pPr>
  </w:style>
  <w:style w:type="character" w:customStyle="1" w:styleId="txtbold">
    <w:name w:val="txtbold"/>
    <w:basedOn w:val="Policepardfaut"/>
    <w:rsid w:val="005B4BAC"/>
  </w:style>
  <w:style w:type="character" w:styleId="Accentuation">
    <w:name w:val="Emphasis"/>
    <w:uiPriority w:val="20"/>
    <w:qFormat/>
    <w:rsid w:val="00B36683"/>
    <w:rPr>
      <w:caps/>
      <w:color w:val="243255" w:themeColor="accent1" w:themeShade="7F"/>
      <w:spacing w:val="5"/>
    </w:rPr>
  </w:style>
  <w:style w:type="character" w:styleId="lev">
    <w:name w:val="Strong"/>
    <w:uiPriority w:val="22"/>
    <w:qFormat/>
    <w:rsid w:val="00B36683"/>
    <w:rPr>
      <w:b/>
      <w:bCs/>
    </w:rPr>
  </w:style>
  <w:style w:type="character" w:customStyle="1" w:styleId="t6">
    <w:name w:val="t6"/>
    <w:basedOn w:val="Policepardfaut"/>
    <w:rsid w:val="0070675F"/>
  </w:style>
  <w:style w:type="paragraph" w:styleId="Textedebulles">
    <w:name w:val="Balloon Text"/>
    <w:basedOn w:val="Normal"/>
    <w:link w:val="TextedebullesCar"/>
    <w:uiPriority w:val="99"/>
    <w:semiHidden/>
    <w:unhideWhenUsed/>
    <w:rsid w:val="009808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084B"/>
    <w:rPr>
      <w:rFonts w:ascii="Segoe UI" w:hAnsi="Segoe UI" w:cs="Segoe UI"/>
      <w:sz w:val="18"/>
      <w:szCs w:val="18"/>
    </w:rPr>
  </w:style>
  <w:style w:type="character" w:customStyle="1" w:styleId="ctreference">
    <w:name w:val="ct_reference"/>
    <w:basedOn w:val="Policepardfaut"/>
    <w:rsid w:val="00803061"/>
  </w:style>
  <w:style w:type="character" w:customStyle="1" w:styleId="t8">
    <w:name w:val="t8"/>
    <w:basedOn w:val="Policepardfaut"/>
    <w:rsid w:val="00263DAB"/>
  </w:style>
  <w:style w:type="character" w:customStyle="1" w:styleId="t10">
    <w:name w:val="t10"/>
    <w:basedOn w:val="Policepardfaut"/>
    <w:rsid w:val="00263DAB"/>
  </w:style>
  <w:style w:type="character" w:customStyle="1" w:styleId="t7">
    <w:name w:val="t7"/>
    <w:basedOn w:val="Policepardfaut"/>
    <w:rsid w:val="005B2FBF"/>
  </w:style>
  <w:style w:type="paragraph" w:customStyle="1" w:styleId="ctparagraphetitre">
    <w:name w:val="ct_paragraphe_titre"/>
    <w:basedOn w:val="Normal"/>
    <w:uiPriority w:val="99"/>
    <w:rsid w:val="00802406"/>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3">
    <w:name w:val="t3"/>
    <w:basedOn w:val="Policepardfaut"/>
    <w:rsid w:val="00D35A95"/>
  </w:style>
  <w:style w:type="character" w:customStyle="1" w:styleId="txtnote">
    <w:name w:val="txtnote"/>
    <w:basedOn w:val="Policepardfaut"/>
    <w:rsid w:val="00A22B78"/>
  </w:style>
  <w:style w:type="paragraph" w:styleId="En-tte">
    <w:name w:val="header"/>
    <w:basedOn w:val="Normal"/>
    <w:link w:val="En-tteCar"/>
    <w:uiPriority w:val="99"/>
    <w:unhideWhenUsed/>
    <w:rsid w:val="00EA076F"/>
    <w:pPr>
      <w:tabs>
        <w:tab w:val="center" w:pos="4536"/>
        <w:tab w:val="right" w:pos="9072"/>
      </w:tabs>
      <w:spacing w:after="0" w:line="240" w:lineRule="auto"/>
    </w:pPr>
  </w:style>
  <w:style w:type="character" w:customStyle="1" w:styleId="En-tteCar">
    <w:name w:val="En-tête Car"/>
    <w:basedOn w:val="Policepardfaut"/>
    <w:link w:val="En-tte"/>
    <w:uiPriority w:val="99"/>
    <w:rsid w:val="00EA076F"/>
  </w:style>
  <w:style w:type="paragraph" w:styleId="Pieddepage">
    <w:name w:val="footer"/>
    <w:basedOn w:val="Normal"/>
    <w:link w:val="PieddepageCar"/>
    <w:uiPriority w:val="99"/>
    <w:unhideWhenUsed/>
    <w:rsid w:val="00EA07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076F"/>
  </w:style>
  <w:style w:type="table" w:styleId="Grilledutableau">
    <w:name w:val="Table Grid"/>
    <w:basedOn w:val="TableauNormal"/>
    <w:uiPriority w:val="59"/>
    <w:rsid w:val="00EA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BA1E49"/>
    <w:rPr>
      <w:b/>
      <w:color w:val="002060"/>
      <w:sz w:val="52"/>
      <w:szCs w:val="52"/>
    </w:rPr>
  </w:style>
  <w:style w:type="character" w:customStyle="1" w:styleId="Titre3Car">
    <w:name w:val="Titre 3 Car"/>
    <w:basedOn w:val="Policepardfaut"/>
    <w:link w:val="Titre3"/>
    <w:uiPriority w:val="9"/>
    <w:rsid w:val="00BA1E49"/>
    <w:rPr>
      <w:b/>
      <w:caps/>
      <w:color w:val="FFFFFF" w:themeColor="background1"/>
      <w:spacing w:val="15"/>
      <w:sz w:val="22"/>
      <w:shd w:val="clear" w:color="auto" w:fill="4A66AC" w:themeFill="accent1"/>
    </w:rPr>
  </w:style>
  <w:style w:type="paragraph" w:customStyle="1" w:styleId="highlighted">
    <w:name w:val="highlighted"/>
    <w:basedOn w:val="Normal"/>
    <w:uiPriority w:val="99"/>
    <w:rsid w:val="00EA076F"/>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BA1E49"/>
    <w:rPr>
      <w:b/>
      <w:color w:val="FFFFFF" w:themeColor="background1"/>
      <w:sz w:val="96"/>
      <w:szCs w:val="96"/>
      <w:shd w:val="clear" w:color="auto" w:fill="3476B1" w:themeFill="accent2" w:themeFillShade="BF"/>
    </w:rPr>
  </w:style>
  <w:style w:type="character" w:customStyle="1" w:styleId="Titre4Car">
    <w:name w:val="Titre 4 Car"/>
    <w:basedOn w:val="Policepardfaut"/>
    <w:link w:val="Titre4"/>
    <w:uiPriority w:val="9"/>
    <w:rsid w:val="00BA1E49"/>
    <w:rPr>
      <w:b/>
      <w:caps/>
      <w:spacing w:val="15"/>
      <w:shd w:val="clear" w:color="auto" w:fill="D9DFEF" w:themeFill="accent1" w:themeFillTint="33"/>
    </w:rPr>
  </w:style>
  <w:style w:type="character" w:customStyle="1" w:styleId="Titre5Car">
    <w:name w:val="Titre 5 Car"/>
    <w:basedOn w:val="Policepardfaut"/>
    <w:link w:val="Titre5"/>
    <w:uiPriority w:val="9"/>
    <w:rsid w:val="00B36683"/>
    <w:rPr>
      <w:caps/>
      <w:color w:val="374C80" w:themeColor="accent1" w:themeShade="BF"/>
      <w:spacing w:val="10"/>
    </w:rPr>
  </w:style>
  <w:style w:type="character" w:customStyle="1" w:styleId="Titre6Car">
    <w:name w:val="Titre 6 Car"/>
    <w:basedOn w:val="Policepardfaut"/>
    <w:link w:val="Titre6"/>
    <w:uiPriority w:val="9"/>
    <w:semiHidden/>
    <w:rsid w:val="00B36683"/>
    <w:rPr>
      <w:caps/>
      <w:color w:val="374C80" w:themeColor="accent1" w:themeShade="BF"/>
      <w:spacing w:val="10"/>
    </w:rPr>
  </w:style>
  <w:style w:type="character" w:customStyle="1" w:styleId="Titre7Car">
    <w:name w:val="Titre 7 Car"/>
    <w:basedOn w:val="Policepardfaut"/>
    <w:link w:val="Titre7"/>
    <w:uiPriority w:val="9"/>
    <w:semiHidden/>
    <w:rsid w:val="00B36683"/>
    <w:rPr>
      <w:caps/>
      <w:color w:val="374C80" w:themeColor="accent1" w:themeShade="BF"/>
      <w:spacing w:val="10"/>
    </w:rPr>
  </w:style>
  <w:style w:type="character" w:customStyle="1" w:styleId="Titre8Car">
    <w:name w:val="Titre 8 Car"/>
    <w:basedOn w:val="Policepardfaut"/>
    <w:link w:val="Titre8"/>
    <w:uiPriority w:val="9"/>
    <w:semiHidden/>
    <w:rsid w:val="00B36683"/>
    <w:rPr>
      <w:caps/>
      <w:spacing w:val="10"/>
      <w:sz w:val="18"/>
      <w:szCs w:val="18"/>
    </w:rPr>
  </w:style>
  <w:style w:type="character" w:customStyle="1" w:styleId="Titre9Car">
    <w:name w:val="Titre 9 Car"/>
    <w:basedOn w:val="Policepardfaut"/>
    <w:link w:val="Titre9"/>
    <w:uiPriority w:val="9"/>
    <w:semiHidden/>
    <w:rsid w:val="00B36683"/>
    <w:rPr>
      <w:i/>
      <w:iCs/>
      <w:caps/>
      <w:spacing w:val="10"/>
      <w:sz w:val="18"/>
      <w:szCs w:val="18"/>
    </w:rPr>
  </w:style>
  <w:style w:type="paragraph" w:styleId="Lgende">
    <w:name w:val="caption"/>
    <w:basedOn w:val="Normal"/>
    <w:next w:val="Normal"/>
    <w:uiPriority w:val="35"/>
    <w:semiHidden/>
    <w:unhideWhenUsed/>
    <w:qFormat/>
    <w:rsid w:val="00B36683"/>
    <w:rPr>
      <w:b/>
      <w:bCs/>
      <w:color w:val="374C80" w:themeColor="accent1" w:themeShade="BF"/>
      <w:sz w:val="16"/>
      <w:szCs w:val="16"/>
    </w:rPr>
  </w:style>
  <w:style w:type="paragraph" w:styleId="Titre">
    <w:name w:val="Title"/>
    <w:basedOn w:val="Normal"/>
    <w:next w:val="Normal"/>
    <w:link w:val="TitreCar"/>
    <w:uiPriority w:val="10"/>
    <w:qFormat/>
    <w:rsid w:val="00B36683"/>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reCar">
    <w:name w:val="Titre Car"/>
    <w:basedOn w:val="Policepardfaut"/>
    <w:link w:val="Titre"/>
    <w:uiPriority w:val="10"/>
    <w:rsid w:val="00B36683"/>
    <w:rPr>
      <w:rFonts w:asciiTheme="majorHAnsi" w:eastAsiaTheme="majorEastAsia" w:hAnsiTheme="majorHAnsi" w:cstheme="majorBidi"/>
      <w:caps/>
      <w:color w:val="4A66AC" w:themeColor="accent1"/>
      <w:spacing w:val="10"/>
      <w:sz w:val="52"/>
      <w:szCs w:val="52"/>
    </w:rPr>
  </w:style>
  <w:style w:type="paragraph" w:styleId="Sous-titre">
    <w:name w:val="Subtitle"/>
    <w:basedOn w:val="Normal"/>
    <w:next w:val="Normal"/>
    <w:link w:val="Sous-titreCar"/>
    <w:uiPriority w:val="11"/>
    <w:qFormat/>
    <w:rsid w:val="00B36683"/>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B36683"/>
    <w:rPr>
      <w:caps/>
      <w:color w:val="595959" w:themeColor="text1" w:themeTint="A6"/>
      <w:spacing w:val="10"/>
      <w:sz w:val="21"/>
      <w:szCs w:val="21"/>
    </w:rPr>
  </w:style>
  <w:style w:type="paragraph" w:styleId="Sansinterligne">
    <w:name w:val="No Spacing"/>
    <w:uiPriority w:val="1"/>
    <w:qFormat/>
    <w:rsid w:val="00B36683"/>
    <w:pPr>
      <w:spacing w:after="0" w:line="240" w:lineRule="auto"/>
    </w:pPr>
  </w:style>
  <w:style w:type="paragraph" w:styleId="Citation">
    <w:name w:val="Quote"/>
    <w:basedOn w:val="Normal"/>
    <w:next w:val="Normal"/>
    <w:link w:val="CitationCar"/>
    <w:uiPriority w:val="29"/>
    <w:qFormat/>
    <w:rsid w:val="00B36683"/>
    <w:rPr>
      <w:i/>
      <w:iCs/>
      <w:sz w:val="24"/>
      <w:szCs w:val="24"/>
    </w:rPr>
  </w:style>
  <w:style w:type="character" w:customStyle="1" w:styleId="CitationCar">
    <w:name w:val="Citation Car"/>
    <w:basedOn w:val="Policepardfaut"/>
    <w:link w:val="Citation"/>
    <w:uiPriority w:val="29"/>
    <w:rsid w:val="00B36683"/>
    <w:rPr>
      <w:i/>
      <w:iCs/>
      <w:sz w:val="24"/>
      <w:szCs w:val="24"/>
    </w:rPr>
  </w:style>
  <w:style w:type="paragraph" w:styleId="Citationintense">
    <w:name w:val="Intense Quote"/>
    <w:basedOn w:val="Normal"/>
    <w:next w:val="Normal"/>
    <w:link w:val="CitationintenseCar"/>
    <w:uiPriority w:val="30"/>
    <w:qFormat/>
    <w:rsid w:val="00B36683"/>
    <w:pPr>
      <w:spacing w:before="240" w:after="240" w:line="240" w:lineRule="auto"/>
      <w:ind w:left="1080" w:right="1080"/>
      <w:jc w:val="center"/>
    </w:pPr>
    <w:rPr>
      <w:color w:val="4A66AC" w:themeColor="accent1"/>
      <w:sz w:val="24"/>
      <w:szCs w:val="24"/>
    </w:rPr>
  </w:style>
  <w:style w:type="character" w:customStyle="1" w:styleId="CitationintenseCar">
    <w:name w:val="Citation intense Car"/>
    <w:basedOn w:val="Policepardfaut"/>
    <w:link w:val="Citationintense"/>
    <w:uiPriority w:val="30"/>
    <w:rsid w:val="00B36683"/>
    <w:rPr>
      <w:color w:val="4A66AC" w:themeColor="accent1"/>
      <w:sz w:val="24"/>
      <w:szCs w:val="24"/>
    </w:rPr>
  </w:style>
  <w:style w:type="character" w:styleId="Accentuationlgre">
    <w:name w:val="Subtle Emphasis"/>
    <w:uiPriority w:val="19"/>
    <w:qFormat/>
    <w:rsid w:val="00B36683"/>
    <w:rPr>
      <w:i/>
      <w:iCs/>
      <w:color w:val="243255" w:themeColor="accent1" w:themeShade="7F"/>
    </w:rPr>
  </w:style>
  <w:style w:type="character" w:styleId="Accentuationintense">
    <w:name w:val="Intense Emphasis"/>
    <w:uiPriority w:val="21"/>
    <w:qFormat/>
    <w:rsid w:val="00B36683"/>
    <w:rPr>
      <w:b/>
      <w:bCs/>
      <w:caps/>
      <w:color w:val="243255" w:themeColor="accent1" w:themeShade="7F"/>
      <w:spacing w:val="10"/>
    </w:rPr>
  </w:style>
  <w:style w:type="character" w:styleId="Rfrencelgre">
    <w:name w:val="Subtle Reference"/>
    <w:uiPriority w:val="31"/>
    <w:qFormat/>
    <w:rsid w:val="00B36683"/>
    <w:rPr>
      <w:b/>
      <w:bCs/>
      <w:color w:val="4A66AC" w:themeColor="accent1"/>
    </w:rPr>
  </w:style>
  <w:style w:type="character" w:styleId="Rfrenceintense">
    <w:name w:val="Intense Reference"/>
    <w:uiPriority w:val="32"/>
    <w:qFormat/>
    <w:rsid w:val="00B36683"/>
    <w:rPr>
      <w:b/>
      <w:bCs/>
      <w:i/>
      <w:iCs/>
      <w:caps/>
      <w:color w:val="4A66AC" w:themeColor="accent1"/>
    </w:rPr>
  </w:style>
  <w:style w:type="character" w:styleId="Titredulivre">
    <w:name w:val="Book Title"/>
    <w:uiPriority w:val="33"/>
    <w:qFormat/>
    <w:rsid w:val="00B36683"/>
    <w:rPr>
      <w:b/>
      <w:bCs/>
      <w:i/>
      <w:iCs/>
      <w:spacing w:val="0"/>
    </w:rPr>
  </w:style>
  <w:style w:type="paragraph" w:styleId="En-ttedetabledesmatires">
    <w:name w:val="TOC Heading"/>
    <w:basedOn w:val="Titre1"/>
    <w:next w:val="Normal"/>
    <w:uiPriority w:val="39"/>
    <w:unhideWhenUsed/>
    <w:qFormat/>
    <w:rsid w:val="00B36683"/>
    <w:pPr>
      <w:outlineLvl w:val="9"/>
    </w:pPr>
  </w:style>
  <w:style w:type="character" w:customStyle="1" w:styleId="txtexp">
    <w:name w:val="txtexp"/>
    <w:basedOn w:val="Policepardfaut"/>
    <w:rsid w:val="00EF5286"/>
  </w:style>
  <w:style w:type="character" w:customStyle="1" w:styleId="txtexpbold">
    <w:name w:val="txtexpbold"/>
    <w:basedOn w:val="Policepardfaut"/>
    <w:rsid w:val="00EF5286"/>
  </w:style>
  <w:style w:type="character" w:customStyle="1" w:styleId="linktargetnotfound">
    <w:name w:val="linktargetnotfound"/>
    <w:basedOn w:val="Policepardfaut"/>
    <w:rsid w:val="002B4DF5"/>
  </w:style>
  <w:style w:type="character" w:customStyle="1" w:styleId="p-fond">
    <w:name w:val="p-fond"/>
    <w:basedOn w:val="Policepardfaut"/>
    <w:rsid w:val="00DD738F"/>
  </w:style>
  <w:style w:type="character" w:customStyle="1" w:styleId="txtmodif">
    <w:name w:val="txtmodif"/>
    <w:basedOn w:val="Policepardfaut"/>
    <w:rsid w:val="00DD738F"/>
  </w:style>
  <w:style w:type="character" w:customStyle="1" w:styleId="st">
    <w:name w:val="st"/>
    <w:basedOn w:val="Policepardfaut"/>
    <w:rsid w:val="00EA00BF"/>
  </w:style>
  <w:style w:type="character" w:customStyle="1" w:styleId="Mentionnonrsolue1">
    <w:name w:val="Mention non résolue1"/>
    <w:basedOn w:val="Policepardfaut"/>
    <w:uiPriority w:val="99"/>
    <w:semiHidden/>
    <w:unhideWhenUsed/>
    <w:rsid w:val="006A7787"/>
    <w:rPr>
      <w:color w:val="808080"/>
      <w:shd w:val="clear" w:color="auto" w:fill="E6E6E6"/>
    </w:rPr>
  </w:style>
  <w:style w:type="paragraph" w:customStyle="1" w:styleId="c30dispositifalinea">
    <w:name w:val="c30dispositifalinea"/>
    <w:basedOn w:val="Normal"/>
    <w:uiPriority w:val="99"/>
    <w:rsid w:val="00D25F38"/>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licepardfaut1">
    <w:name w:val="Police par défaut1"/>
    <w:rsid w:val="00397EAD"/>
  </w:style>
  <w:style w:type="paragraph" w:customStyle="1" w:styleId="Standard">
    <w:name w:val="Standard"/>
    <w:uiPriority w:val="99"/>
    <w:rsid w:val="00397EAD"/>
    <w:pPr>
      <w:suppressAutoHyphens/>
      <w:autoSpaceDN w:val="0"/>
      <w:spacing w:before="0" w:after="160" w:line="249" w:lineRule="auto"/>
      <w:textAlignment w:val="baseline"/>
    </w:pPr>
    <w:rPr>
      <w:rFonts w:ascii="Calibri" w:eastAsia="FZSongTi" w:hAnsi="Calibri" w:cs="F"/>
      <w:kern w:val="3"/>
      <w:sz w:val="22"/>
      <w:szCs w:val="22"/>
    </w:rPr>
  </w:style>
  <w:style w:type="character" w:customStyle="1" w:styleId="txt1">
    <w:name w:val="txt1"/>
    <w:basedOn w:val="Policepardfaut"/>
    <w:rsid w:val="00831E42"/>
    <w:rPr>
      <w:rFonts w:ascii="Arial" w:hAnsi="Arial" w:cs="Arial" w:hint="default"/>
      <w:b w:val="0"/>
      <w:bCs w:val="0"/>
      <w:color w:val="000000"/>
      <w:sz w:val="18"/>
      <w:szCs w:val="18"/>
    </w:rPr>
  </w:style>
  <w:style w:type="character" w:customStyle="1" w:styleId="txtbold1">
    <w:name w:val="txtbold1"/>
    <w:basedOn w:val="Policepardfaut"/>
    <w:rsid w:val="00831E42"/>
    <w:rPr>
      <w:rFonts w:ascii="Arial" w:hAnsi="Arial" w:cs="Arial" w:hint="default"/>
      <w:b/>
      <w:bCs/>
      <w:color w:val="000000"/>
      <w:sz w:val="18"/>
      <w:szCs w:val="18"/>
    </w:rPr>
  </w:style>
  <w:style w:type="paragraph" w:customStyle="1" w:styleId="Style6">
    <w:name w:val="Style6"/>
    <w:basedOn w:val="Normal"/>
    <w:uiPriority w:val="99"/>
    <w:qFormat/>
    <w:rsid w:val="00CC5D55"/>
    <w:pPr>
      <w:tabs>
        <w:tab w:val="left" w:pos="709"/>
        <w:tab w:val="left" w:pos="993"/>
      </w:tabs>
      <w:spacing w:before="360" w:after="240" w:line="280" w:lineRule="exact"/>
      <w:ind w:left="709" w:hanging="709"/>
      <w:jc w:val="both"/>
    </w:pPr>
    <w:rPr>
      <w:rFonts w:ascii="Arial" w:eastAsia="Calibri" w:hAnsi="Arial" w:cs="Arial"/>
      <w:color w:val="374C80" w:themeColor="accent1" w:themeShade="BF"/>
      <w:u w:val="single"/>
    </w:rPr>
  </w:style>
  <w:style w:type="character" w:styleId="Marquedecommentaire">
    <w:name w:val="annotation reference"/>
    <w:basedOn w:val="Policepardfaut"/>
    <w:uiPriority w:val="99"/>
    <w:semiHidden/>
    <w:unhideWhenUsed/>
    <w:rsid w:val="00271495"/>
    <w:rPr>
      <w:sz w:val="16"/>
      <w:szCs w:val="16"/>
    </w:rPr>
  </w:style>
  <w:style w:type="paragraph" w:styleId="Commentaire">
    <w:name w:val="annotation text"/>
    <w:basedOn w:val="Normal"/>
    <w:link w:val="CommentaireCar"/>
    <w:uiPriority w:val="99"/>
    <w:semiHidden/>
    <w:unhideWhenUsed/>
    <w:rsid w:val="00271495"/>
    <w:pPr>
      <w:spacing w:line="240" w:lineRule="auto"/>
    </w:pPr>
  </w:style>
  <w:style w:type="character" w:customStyle="1" w:styleId="CommentaireCar">
    <w:name w:val="Commentaire Car"/>
    <w:basedOn w:val="Policepardfaut"/>
    <w:link w:val="Commentaire"/>
    <w:uiPriority w:val="99"/>
    <w:semiHidden/>
    <w:rsid w:val="00271495"/>
  </w:style>
  <w:style w:type="paragraph" w:styleId="Objetducommentaire">
    <w:name w:val="annotation subject"/>
    <w:basedOn w:val="Commentaire"/>
    <w:next w:val="Commentaire"/>
    <w:link w:val="ObjetducommentaireCar"/>
    <w:uiPriority w:val="99"/>
    <w:semiHidden/>
    <w:unhideWhenUsed/>
    <w:rsid w:val="00271495"/>
    <w:rPr>
      <w:b/>
      <w:bCs/>
    </w:rPr>
  </w:style>
  <w:style w:type="character" w:customStyle="1" w:styleId="ObjetducommentaireCar">
    <w:name w:val="Objet du commentaire Car"/>
    <w:basedOn w:val="CommentaireCar"/>
    <w:link w:val="Objetducommentaire"/>
    <w:uiPriority w:val="99"/>
    <w:semiHidden/>
    <w:rsid w:val="00271495"/>
    <w:rPr>
      <w:b/>
      <w:bCs/>
    </w:rPr>
  </w:style>
  <w:style w:type="character" w:styleId="Lienhypertextesuivivisit">
    <w:name w:val="FollowedHyperlink"/>
    <w:basedOn w:val="Policepardfaut"/>
    <w:uiPriority w:val="99"/>
    <w:semiHidden/>
    <w:unhideWhenUsed/>
    <w:rsid w:val="0050590F"/>
    <w:rPr>
      <w:color w:val="3EBBF0" w:themeColor="followedHyperlink"/>
      <w:u w:val="single"/>
    </w:rPr>
  </w:style>
  <w:style w:type="paragraph" w:customStyle="1" w:styleId="msonormal0">
    <w:name w:val="msonormal"/>
    <w:basedOn w:val="Normal"/>
    <w:uiPriority w:val="99"/>
    <w:rsid w:val="0050590F"/>
    <w:pPr>
      <w:spacing w:beforeAutospacing="1" w:after="100" w:afterAutospacing="1" w:line="240" w:lineRule="auto"/>
    </w:pPr>
    <w:rPr>
      <w:rFonts w:ascii="Times New Roman" w:eastAsia="Times New Roman" w:hAnsi="Times New Roman" w:cs="Times New Roman"/>
      <w:sz w:val="24"/>
      <w:szCs w:val="24"/>
      <w:lang w:eastAsia="fr-FR"/>
    </w:rPr>
  </w:style>
  <w:style w:type="paragraph" w:styleId="TM1">
    <w:name w:val="toc 1"/>
    <w:basedOn w:val="Normal"/>
    <w:next w:val="Normal"/>
    <w:autoRedefine/>
    <w:uiPriority w:val="39"/>
    <w:unhideWhenUsed/>
    <w:rsid w:val="0050590F"/>
    <w:pPr>
      <w:spacing w:after="100"/>
    </w:pPr>
  </w:style>
  <w:style w:type="paragraph" w:styleId="TM2">
    <w:name w:val="toc 2"/>
    <w:basedOn w:val="Normal"/>
    <w:next w:val="Normal"/>
    <w:autoRedefine/>
    <w:uiPriority w:val="39"/>
    <w:unhideWhenUsed/>
    <w:rsid w:val="0050590F"/>
    <w:pPr>
      <w:spacing w:after="100"/>
      <w:ind w:left="200"/>
    </w:pPr>
  </w:style>
  <w:style w:type="paragraph" w:styleId="TM3">
    <w:name w:val="toc 3"/>
    <w:basedOn w:val="Normal"/>
    <w:next w:val="Normal"/>
    <w:autoRedefine/>
    <w:uiPriority w:val="39"/>
    <w:unhideWhenUsed/>
    <w:rsid w:val="0050590F"/>
    <w:pPr>
      <w:spacing w:before="0" w:after="100" w:line="256" w:lineRule="auto"/>
      <w:ind w:left="440"/>
    </w:pPr>
    <w:rPr>
      <w:sz w:val="22"/>
      <w:szCs w:val="22"/>
      <w:lang w:eastAsia="fr-FR"/>
    </w:rPr>
  </w:style>
  <w:style w:type="paragraph" w:styleId="TM4">
    <w:name w:val="toc 4"/>
    <w:basedOn w:val="Normal"/>
    <w:next w:val="Normal"/>
    <w:autoRedefine/>
    <w:uiPriority w:val="39"/>
    <w:unhideWhenUsed/>
    <w:rsid w:val="0050590F"/>
    <w:pPr>
      <w:spacing w:before="0" w:after="100" w:line="256" w:lineRule="auto"/>
      <w:ind w:left="660"/>
    </w:pPr>
    <w:rPr>
      <w:sz w:val="22"/>
      <w:szCs w:val="22"/>
      <w:lang w:eastAsia="fr-FR"/>
    </w:rPr>
  </w:style>
  <w:style w:type="paragraph" w:styleId="TM5">
    <w:name w:val="toc 5"/>
    <w:basedOn w:val="Normal"/>
    <w:next w:val="Normal"/>
    <w:autoRedefine/>
    <w:uiPriority w:val="39"/>
    <w:unhideWhenUsed/>
    <w:rsid w:val="0050590F"/>
    <w:pPr>
      <w:spacing w:before="0" w:after="100" w:line="256" w:lineRule="auto"/>
      <w:ind w:left="880"/>
    </w:pPr>
    <w:rPr>
      <w:sz w:val="22"/>
      <w:szCs w:val="22"/>
      <w:lang w:eastAsia="fr-FR"/>
    </w:rPr>
  </w:style>
  <w:style w:type="paragraph" w:styleId="TM6">
    <w:name w:val="toc 6"/>
    <w:basedOn w:val="Normal"/>
    <w:next w:val="Normal"/>
    <w:autoRedefine/>
    <w:uiPriority w:val="39"/>
    <w:unhideWhenUsed/>
    <w:rsid w:val="0050590F"/>
    <w:pPr>
      <w:spacing w:before="0" w:after="100" w:line="256" w:lineRule="auto"/>
      <w:ind w:left="1100"/>
    </w:pPr>
    <w:rPr>
      <w:sz w:val="22"/>
      <w:szCs w:val="22"/>
      <w:lang w:eastAsia="fr-FR"/>
    </w:rPr>
  </w:style>
  <w:style w:type="paragraph" w:styleId="TM7">
    <w:name w:val="toc 7"/>
    <w:basedOn w:val="Normal"/>
    <w:next w:val="Normal"/>
    <w:autoRedefine/>
    <w:uiPriority w:val="39"/>
    <w:unhideWhenUsed/>
    <w:rsid w:val="0050590F"/>
    <w:pPr>
      <w:spacing w:before="0" w:after="100" w:line="256" w:lineRule="auto"/>
      <w:ind w:left="1320"/>
    </w:pPr>
    <w:rPr>
      <w:sz w:val="22"/>
      <w:szCs w:val="22"/>
      <w:lang w:eastAsia="fr-FR"/>
    </w:rPr>
  </w:style>
  <w:style w:type="paragraph" w:styleId="TM8">
    <w:name w:val="toc 8"/>
    <w:basedOn w:val="Normal"/>
    <w:next w:val="Normal"/>
    <w:autoRedefine/>
    <w:uiPriority w:val="39"/>
    <w:unhideWhenUsed/>
    <w:rsid w:val="0050590F"/>
    <w:pPr>
      <w:spacing w:before="0" w:after="100" w:line="256" w:lineRule="auto"/>
      <w:ind w:left="1540"/>
    </w:pPr>
    <w:rPr>
      <w:sz w:val="22"/>
      <w:szCs w:val="22"/>
      <w:lang w:eastAsia="fr-FR"/>
    </w:rPr>
  </w:style>
  <w:style w:type="paragraph" w:styleId="TM9">
    <w:name w:val="toc 9"/>
    <w:basedOn w:val="Normal"/>
    <w:next w:val="Normal"/>
    <w:autoRedefine/>
    <w:uiPriority w:val="39"/>
    <w:unhideWhenUsed/>
    <w:rsid w:val="0050590F"/>
    <w:pPr>
      <w:spacing w:before="0" w:after="100" w:line="256" w:lineRule="auto"/>
      <w:ind w:left="1760"/>
    </w:pPr>
    <w:rPr>
      <w:sz w:val="22"/>
      <w:szCs w:val="22"/>
      <w:lang w:eastAsia="fr-FR"/>
    </w:rPr>
  </w:style>
  <w:style w:type="character" w:customStyle="1" w:styleId="apple-converted-space">
    <w:name w:val="apple-converted-space"/>
    <w:basedOn w:val="Policepardfaut"/>
    <w:rsid w:val="00514139"/>
  </w:style>
  <w:style w:type="paragraph" w:customStyle="1" w:styleId="paragraphe-western">
    <w:name w:val="paragraphe-western"/>
    <w:basedOn w:val="Normal"/>
    <w:rsid w:val="00E63C1C"/>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2">
    <w:name w:val="Mention non résolue2"/>
    <w:basedOn w:val="Policepardfaut"/>
    <w:uiPriority w:val="99"/>
    <w:semiHidden/>
    <w:unhideWhenUsed/>
    <w:rsid w:val="005A48CF"/>
    <w:rPr>
      <w:color w:val="808080"/>
      <w:shd w:val="clear" w:color="auto" w:fill="E6E6E6"/>
    </w:rPr>
  </w:style>
  <w:style w:type="character" w:customStyle="1" w:styleId="Mentionnonrsolue3">
    <w:name w:val="Mention non résolue3"/>
    <w:basedOn w:val="Policepardfaut"/>
    <w:uiPriority w:val="99"/>
    <w:semiHidden/>
    <w:unhideWhenUsed/>
    <w:rsid w:val="00270135"/>
    <w:rPr>
      <w:color w:val="808080"/>
      <w:shd w:val="clear" w:color="auto" w:fill="E6E6E6"/>
    </w:rPr>
  </w:style>
  <w:style w:type="paragraph" w:customStyle="1" w:styleId="Default">
    <w:name w:val="Default"/>
    <w:rsid w:val="00C47F91"/>
    <w:pPr>
      <w:autoSpaceDE w:val="0"/>
      <w:autoSpaceDN w:val="0"/>
      <w:adjustRightInd w:val="0"/>
      <w:spacing w:before="0" w:after="0" w:line="240" w:lineRule="auto"/>
    </w:pPr>
    <w:rPr>
      <w:rFonts w:ascii="Times New Roman" w:hAnsi="Times New Roman" w:cs="Times New Roman"/>
      <w:color w:val="000000"/>
      <w:sz w:val="24"/>
      <w:szCs w:val="24"/>
    </w:rPr>
  </w:style>
  <w:style w:type="table" w:styleId="TableauGrille4-Accentuation5">
    <w:name w:val="Grid Table 4 Accent 5"/>
    <w:basedOn w:val="TableauNormal"/>
    <w:uiPriority w:val="49"/>
    <w:rsid w:val="004D029A"/>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character" w:customStyle="1" w:styleId="exposant">
    <w:name w:val="exposant"/>
    <w:basedOn w:val="Policepardfaut"/>
    <w:rsid w:val="008228FB"/>
  </w:style>
  <w:style w:type="character" w:styleId="Mentionnonrsolue">
    <w:name w:val="Unresolved Mention"/>
    <w:basedOn w:val="Policepardfaut"/>
    <w:uiPriority w:val="99"/>
    <w:semiHidden/>
    <w:unhideWhenUsed/>
    <w:rsid w:val="00EC0061"/>
    <w:rPr>
      <w:color w:val="605E5C"/>
      <w:shd w:val="clear" w:color="auto" w:fill="E1DFDD"/>
    </w:rPr>
  </w:style>
  <w:style w:type="paragraph" w:customStyle="1" w:styleId="3-text">
    <w:name w:val="3-text"/>
    <w:basedOn w:val="Normal"/>
    <w:rsid w:val="00D677A7"/>
    <w:pPr>
      <w:spacing w:before="0" w:after="20" w:line="280" w:lineRule="exact"/>
      <w:jc w:val="both"/>
    </w:pPr>
    <w:rPr>
      <w:rFonts w:ascii="Century Schoolbook" w:eastAsia="Times New Roman" w:hAnsi="Century Schoolbook" w:cs="Times New Roman"/>
      <w:spacing w:val="-6"/>
    </w:rPr>
  </w:style>
  <w:style w:type="character" w:customStyle="1" w:styleId="hgkelc">
    <w:name w:val="hgkelc"/>
    <w:basedOn w:val="Policepardfaut"/>
    <w:rsid w:val="00D677A7"/>
  </w:style>
  <w:style w:type="paragraph" w:customStyle="1" w:styleId="tctexte">
    <w:name w:val="tctexte"/>
    <w:basedOn w:val="Normal"/>
    <w:rsid w:val="00026177"/>
    <w:pPr>
      <w:spacing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2F5522"/>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8303">
      <w:bodyDiv w:val="1"/>
      <w:marLeft w:val="0"/>
      <w:marRight w:val="0"/>
      <w:marTop w:val="0"/>
      <w:marBottom w:val="0"/>
      <w:divBdr>
        <w:top w:val="none" w:sz="0" w:space="0" w:color="auto"/>
        <w:left w:val="none" w:sz="0" w:space="0" w:color="auto"/>
        <w:bottom w:val="none" w:sz="0" w:space="0" w:color="auto"/>
        <w:right w:val="none" w:sz="0" w:space="0" w:color="auto"/>
      </w:divBdr>
    </w:div>
    <w:div w:id="52895262">
      <w:bodyDiv w:val="1"/>
      <w:marLeft w:val="0"/>
      <w:marRight w:val="0"/>
      <w:marTop w:val="0"/>
      <w:marBottom w:val="0"/>
      <w:divBdr>
        <w:top w:val="none" w:sz="0" w:space="0" w:color="auto"/>
        <w:left w:val="none" w:sz="0" w:space="0" w:color="auto"/>
        <w:bottom w:val="none" w:sz="0" w:space="0" w:color="auto"/>
        <w:right w:val="none" w:sz="0" w:space="0" w:color="auto"/>
      </w:divBdr>
    </w:div>
    <w:div w:id="74136665">
      <w:bodyDiv w:val="1"/>
      <w:marLeft w:val="0"/>
      <w:marRight w:val="0"/>
      <w:marTop w:val="0"/>
      <w:marBottom w:val="0"/>
      <w:divBdr>
        <w:top w:val="none" w:sz="0" w:space="0" w:color="auto"/>
        <w:left w:val="none" w:sz="0" w:space="0" w:color="auto"/>
        <w:bottom w:val="none" w:sz="0" w:space="0" w:color="auto"/>
        <w:right w:val="none" w:sz="0" w:space="0" w:color="auto"/>
      </w:divBdr>
    </w:div>
    <w:div w:id="78797850">
      <w:bodyDiv w:val="1"/>
      <w:marLeft w:val="0"/>
      <w:marRight w:val="0"/>
      <w:marTop w:val="0"/>
      <w:marBottom w:val="0"/>
      <w:divBdr>
        <w:top w:val="none" w:sz="0" w:space="0" w:color="auto"/>
        <w:left w:val="none" w:sz="0" w:space="0" w:color="auto"/>
        <w:bottom w:val="none" w:sz="0" w:space="0" w:color="auto"/>
        <w:right w:val="none" w:sz="0" w:space="0" w:color="auto"/>
      </w:divBdr>
      <w:divsChild>
        <w:div w:id="693967955">
          <w:marLeft w:val="0"/>
          <w:marRight w:val="0"/>
          <w:marTop w:val="0"/>
          <w:marBottom w:val="0"/>
          <w:divBdr>
            <w:top w:val="none" w:sz="0" w:space="0" w:color="auto"/>
            <w:left w:val="none" w:sz="0" w:space="0" w:color="auto"/>
            <w:bottom w:val="none" w:sz="0" w:space="0" w:color="auto"/>
            <w:right w:val="none" w:sz="0" w:space="0" w:color="auto"/>
          </w:divBdr>
          <w:divsChild>
            <w:div w:id="212813163">
              <w:marLeft w:val="0"/>
              <w:marRight w:val="0"/>
              <w:marTop w:val="0"/>
              <w:marBottom w:val="0"/>
              <w:divBdr>
                <w:top w:val="none" w:sz="0" w:space="0" w:color="auto"/>
                <w:left w:val="none" w:sz="0" w:space="0" w:color="auto"/>
                <w:bottom w:val="none" w:sz="0" w:space="0" w:color="auto"/>
                <w:right w:val="none" w:sz="0" w:space="0" w:color="auto"/>
              </w:divBdr>
            </w:div>
            <w:div w:id="1348093941">
              <w:marLeft w:val="0"/>
              <w:marRight w:val="0"/>
              <w:marTop w:val="0"/>
              <w:marBottom w:val="0"/>
              <w:divBdr>
                <w:top w:val="none" w:sz="0" w:space="0" w:color="auto"/>
                <w:left w:val="none" w:sz="0" w:space="0" w:color="auto"/>
                <w:bottom w:val="none" w:sz="0" w:space="0" w:color="auto"/>
                <w:right w:val="none" w:sz="0" w:space="0" w:color="auto"/>
              </w:divBdr>
            </w:div>
          </w:divsChild>
        </w:div>
        <w:div w:id="857160743">
          <w:marLeft w:val="0"/>
          <w:marRight w:val="0"/>
          <w:marTop w:val="0"/>
          <w:marBottom w:val="0"/>
          <w:divBdr>
            <w:top w:val="none" w:sz="0" w:space="0" w:color="auto"/>
            <w:left w:val="none" w:sz="0" w:space="0" w:color="auto"/>
            <w:bottom w:val="none" w:sz="0" w:space="0" w:color="auto"/>
            <w:right w:val="none" w:sz="0" w:space="0" w:color="auto"/>
          </w:divBdr>
        </w:div>
      </w:divsChild>
    </w:div>
    <w:div w:id="86459957">
      <w:bodyDiv w:val="1"/>
      <w:marLeft w:val="0"/>
      <w:marRight w:val="0"/>
      <w:marTop w:val="0"/>
      <w:marBottom w:val="0"/>
      <w:divBdr>
        <w:top w:val="none" w:sz="0" w:space="0" w:color="auto"/>
        <w:left w:val="none" w:sz="0" w:space="0" w:color="auto"/>
        <w:bottom w:val="none" w:sz="0" w:space="0" w:color="auto"/>
        <w:right w:val="none" w:sz="0" w:space="0" w:color="auto"/>
      </w:divBdr>
      <w:divsChild>
        <w:div w:id="92743983">
          <w:marLeft w:val="0"/>
          <w:marRight w:val="0"/>
          <w:marTop w:val="0"/>
          <w:marBottom w:val="0"/>
          <w:divBdr>
            <w:top w:val="none" w:sz="0" w:space="0" w:color="auto"/>
            <w:left w:val="none" w:sz="0" w:space="0" w:color="auto"/>
            <w:bottom w:val="none" w:sz="0" w:space="0" w:color="auto"/>
            <w:right w:val="none" w:sz="0" w:space="0" w:color="auto"/>
          </w:divBdr>
        </w:div>
        <w:div w:id="1478186628">
          <w:marLeft w:val="0"/>
          <w:marRight w:val="0"/>
          <w:marTop w:val="0"/>
          <w:marBottom w:val="0"/>
          <w:divBdr>
            <w:top w:val="none" w:sz="0" w:space="0" w:color="auto"/>
            <w:left w:val="none" w:sz="0" w:space="0" w:color="auto"/>
            <w:bottom w:val="none" w:sz="0" w:space="0" w:color="auto"/>
            <w:right w:val="none" w:sz="0" w:space="0" w:color="auto"/>
          </w:divBdr>
        </w:div>
        <w:div w:id="1946040857">
          <w:marLeft w:val="0"/>
          <w:marRight w:val="0"/>
          <w:marTop w:val="0"/>
          <w:marBottom w:val="0"/>
          <w:divBdr>
            <w:top w:val="none" w:sz="0" w:space="0" w:color="auto"/>
            <w:left w:val="none" w:sz="0" w:space="0" w:color="auto"/>
            <w:bottom w:val="none" w:sz="0" w:space="0" w:color="auto"/>
            <w:right w:val="none" w:sz="0" w:space="0" w:color="auto"/>
          </w:divBdr>
        </w:div>
      </w:divsChild>
    </w:div>
    <w:div w:id="88549320">
      <w:bodyDiv w:val="1"/>
      <w:marLeft w:val="0"/>
      <w:marRight w:val="0"/>
      <w:marTop w:val="0"/>
      <w:marBottom w:val="0"/>
      <w:divBdr>
        <w:top w:val="none" w:sz="0" w:space="0" w:color="auto"/>
        <w:left w:val="none" w:sz="0" w:space="0" w:color="auto"/>
        <w:bottom w:val="none" w:sz="0" w:space="0" w:color="auto"/>
        <w:right w:val="none" w:sz="0" w:space="0" w:color="auto"/>
      </w:divBdr>
    </w:div>
    <w:div w:id="105197594">
      <w:bodyDiv w:val="1"/>
      <w:marLeft w:val="0"/>
      <w:marRight w:val="0"/>
      <w:marTop w:val="0"/>
      <w:marBottom w:val="0"/>
      <w:divBdr>
        <w:top w:val="none" w:sz="0" w:space="0" w:color="auto"/>
        <w:left w:val="none" w:sz="0" w:space="0" w:color="auto"/>
        <w:bottom w:val="none" w:sz="0" w:space="0" w:color="auto"/>
        <w:right w:val="none" w:sz="0" w:space="0" w:color="auto"/>
      </w:divBdr>
      <w:divsChild>
        <w:div w:id="150365801">
          <w:marLeft w:val="0"/>
          <w:marRight w:val="0"/>
          <w:marTop w:val="0"/>
          <w:marBottom w:val="0"/>
          <w:divBdr>
            <w:top w:val="none" w:sz="0" w:space="0" w:color="auto"/>
            <w:left w:val="none" w:sz="0" w:space="0" w:color="auto"/>
            <w:bottom w:val="none" w:sz="0" w:space="0" w:color="auto"/>
            <w:right w:val="none" w:sz="0" w:space="0" w:color="auto"/>
          </w:divBdr>
        </w:div>
        <w:div w:id="187110210">
          <w:marLeft w:val="0"/>
          <w:marRight w:val="0"/>
          <w:marTop w:val="0"/>
          <w:marBottom w:val="0"/>
          <w:divBdr>
            <w:top w:val="none" w:sz="0" w:space="0" w:color="auto"/>
            <w:left w:val="none" w:sz="0" w:space="0" w:color="auto"/>
            <w:bottom w:val="none" w:sz="0" w:space="0" w:color="auto"/>
            <w:right w:val="none" w:sz="0" w:space="0" w:color="auto"/>
          </w:divBdr>
        </w:div>
        <w:div w:id="517044575">
          <w:marLeft w:val="0"/>
          <w:marRight w:val="0"/>
          <w:marTop w:val="0"/>
          <w:marBottom w:val="0"/>
          <w:divBdr>
            <w:top w:val="none" w:sz="0" w:space="0" w:color="auto"/>
            <w:left w:val="none" w:sz="0" w:space="0" w:color="auto"/>
            <w:bottom w:val="none" w:sz="0" w:space="0" w:color="auto"/>
            <w:right w:val="none" w:sz="0" w:space="0" w:color="auto"/>
          </w:divBdr>
        </w:div>
        <w:div w:id="816336372">
          <w:marLeft w:val="0"/>
          <w:marRight w:val="0"/>
          <w:marTop w:val="0"/>
          <w:marBottom w:val="0"/>
          <w:divBdr>
            <w:top w:val="none" w:sz="0" w:space="0" w:color="auto"/>
            <w:left w:val="none" w:sz="0" w:space="0" w:color="auto"/>
            <w:bottom w:val="none" w:sz="0" w:space="0" w:color="auto"/>
            <w:right w:val="none" w:sz="0" w:space="0" w:color="auto"/>
          </w:divBdr>
        </w:div>
        <w:div w:id="869148087">
          <w:marLeft w:val="0"/>
          <w:marRight w:val="0"/>
          <w:marTop w:val="0"/>
          <w:marBottom w:val="0"/>
          <w:divBdr>
            <w:top w:val="none" w:sz="0" w:space="0" w:color="auto"/>
            <w:left w:val="none" w:sz="0" w:space="0" w:color="auto"/>
            <w:bottom w:val="none" w:sz="0" w:space="0" w:color="auto"/>
            <w:right w:val="none" w:sz="0" w:space="0" w:color="auto"/>
          </w:divBdr>
        </w:div>
        <w:div w:id="1693922370">
          <w:marLeft w:val="0"/>
          <w:marRight w:val="0"/>
          <w:marTop w:val="0"/>
          <w:marBottom w:val="0"/>
          <w:divBdr>
            <w:top w:val="none" w:sz="0" w:space="0" w:color="auto"/>
            <w:left w:val="none" w:sz="0" w:space="0" w:color="auto"/>
            <w:bottom w:val="none" w:sz="0" w:space="0" w:color="auto"/>
            <w:right w:val="none" w:sz="0" w:space="0" w:color="auto"/>
          </w:divBdr>
        </w:div>
        <w:div w:id="1955089570">
          <w:marLeft w:val="0"/>
          <w:marRight w:val="0"/>
          <w:marTop w:val="0"/>
          <w:marBottom w:val="0"/>
          <w:divBdr>
            <w:top w:val="none" w:sz="0" w:space="0" w:color="auto"/>
            <w:left w:val="none" w:sz="0" w:space="0" w:color="auto"/>
            <w:bottom w:val="none" w:sz="0" w:space="0" w:color="auto"/>
            <w:right w:val="none" w:sz="0" w:space="0" w:color="auto"/>
          </w:divBdr>
        </w:div>
        <w:div w:id="2036494017">
          <w:marLeft w:val="0"/>
          <w:marRight w:val="0"/>
          <w:marTop w:val="0"/>
          <w:marBottom w:val="0"/>
          <w:divBdr>
            <w:top w:val="none" w:sz="0" w:space="0" w:color="auto"/>
            <w:left w:val="none" w:sz="0" w:space="0" w:color="auto"/>
            <w:bottom w:val="none" w:sz="0" w:space="0" w:color="auto"/>
            <w:right w:val="none" w:sz="0" w:space="0" w:color="auto"/>
          </w:divBdr>
        </w:div>
        <w:div w:id="2073652723">
          <w:marLeft w:val="0"/>
          <w:marRight w:val="0"/>
          <w:marTop w:val="0"/>
          <w:marBottom w:val="0"/>
          <w:divBdr>
            <w:top w:val="none" w:sz="0" w:space="0" w:color="auto"/>
            <w:left w:val="none" w:sz="0" w:space="0" w:color="auto"/>
            <w:bottom w:val="none" w:sz="0" w:space="0" w:color="auto"/>
            <w:right w:val="none" w:sz="0" w:space="0" w:color="auto"/>
          </w:divBdr>
        </w:div>
      </w:divsChild>
    </w:div>
    <w:div w:id="132255029">
      <w:bodyDiv w:val="1"/>
      <w:marLeft w:val="0"/>
      <w:marRight w:val="0"/>
      <w:marTop w:val="0"/>
      <w:marBottom w:val="0"/>
      <w:divBdr>
        <w:top w:val="none" w:sz="0" w:space="0" w:color="auto"/>
        <w:left w:val="none" w:sz="0" w:space="0" w:color="auto"/>
        <w:bottom w:val="none" w:sz="0" w:space="0" w:color="auto"/>
        <w:right w:val="none" w:sz="0" w:space="0" w:color="auto"/>
      </w:divBdr>
      <w:divsChild>
        <w:div w:id="217206841">
          <w:marLeft w:val="0"/>
          <w:marRight w:val="0"/>
          <w:marTop w:val="0"/>
          <w:marBottom w:val="0"/>
          <w:divBdr>
            <w:top w:val="none" w:sz="0" w:space="0" w:color="auto"/>
            <w:left w:val="none" w:sz="0" w:space="0" w:color="auto"/>
            <w:bottom w:val="none" w:sz="0" w:space="0" w:color="auto"/>
            <w:right w:val="none" w:sz="0" w:space="0" w:color="auto"/>
          </w:divBdr>
        </w:div>
        <w:div w:id="396050205">
          <w:marLeft w:val="0"/>
          <w:marRight w:val="0"/>
          <w:marTop w:val="0"/>
          <w:marBottom w:val="0"/>
          <w:divBdr>
            <w:top w:val="none" w:sz="0" w:space="0" w:color="auto"/>
            <w:left w:val="none" w:sz="0" w:space="0" w:color="auto"/>
            <w:bottom w:val="none" w:sz="0" w:space="0" w:color="auto"/>
            <w:right w:val="none" w:sz="0" w:space="0" w:color="auto"/>
          </w:divBdr>
        </w:div>
        <w:div w:id="424502510">
          <w:marLeft w:val="0"/>
          <w:marRight w:val="0"/>
          <w:marTop w:val="0"/>
          <w:marBottom w:val="0"/>
          <w:divBdr>
            <w:top w:val="none" w:sz="0" w:space="0" w:color="auto"/>
            <w:left w:val="none" w:sz="0" w:space="0" w:color="auto"/>
            <w:bottom w:val="none" w:sz="0" w:space="0" w:color="auto"/>
            <w:right w:val="none" w:sz="0" w:space="0" w:color="auto"/>
          </w:divBdr>
        </w:div>
        <w:div w:id="429744953">
          <w:marLeft w:val="0"/>
          <w:marRight w:val="0"/>
          <w:marTop w:val="0"/>
          <w:marBottom w:val="0"/>
          <w:divBdr>
            <w:top w:val="none" w:sz="0" w:space="0" w:color="auto"/>
            <w:left w:val="none" w:sz="0" w:space="0" w:color="auto"/>
            <w:bottom w:val="none" w:sz="0" w:space="0" w:color="auto"/>
            <w:right w:val="none" w:sz="0" w:space="0" w:color="auto"/>
          </w:divBdr>
        </w:div>
        <w:div w:id="479152931">
          <w:marLeft w:val="0"/>
          <w:marRight w:val="0"/>
          <w:marTop w:val="0"/>
          <w:marBottom w:val="0"/>
          <w:divBdr>
            <w:top w:val="none" w:sz="0" w:space="0" w:color="auto"/>
            <w:left w:val="none" w:sz="0" w:space="0" w:color="auto"/>
            <w:bottom w:val="none" w:sz="0" w:space="0" w:color="auto"/>
            <w:right w:val="none" w:sz="0" w:space="0" w:color="auto"/>
          </w:divBdr>
        </w:div>
        <w:div w:id="965891174">
          <w:marLeft w:val="0"/>
          <w:marRight w:val="0"/>
          <w:marTop w:val="0"/>
          <w:marBottom w:val="0"/>
          <w:divBdr>
            <w:top w:val="none" w:sz="0" w:space="0" w:color="auto"/>
            <w:left w:val="none" w:sz="0" w:space="0" w:color="auto"/>
            <w:bottom w:val="none" w:sz="0" w:space="0" w:color="auto"/>
            <w:right w:val="none" w:sz="0" w:space="0" w:color="auto"/>
          </w:divBdr>
        </w:div>
        <w:div w:id="1064180057">
          <w:marLeft w:val="0"/>
          <w:marRight w:val="0"/>
          <w:marTop w:val="0"/>
          <w:marBottom w:val="0"/>
          <w:divBdr>
            <w:top w:val="none" w:sz="0" w:space="0" w:color="auto"/>
            <w:left w:val="none" w:sz="0" w:space="0" w:color="auto"/>
            <w:bottom w:val="none" w:sz="0" w:space="0" w:color="auto"/>
            <w:right w:val="none" w:sz="0" w:space="0" w:color="auto"/>
          </w:divBdr>
        </w:div>
        <w:div w:id="1074544811">
          <w:marLeft w:val="0"/>
          <w:marRight w:val="0"/>
          <w:marTop w:val="0"/>
          <w:marBottom w:val="0"/>
          <w:divBdr>
            <w:top w:val="none" w:sz="0" w:space="0" w:color="auto"/>
            <w:left w:val="none" w:sz="0" w:space="0" w:color="auto"/>
            <w:bottom w:val="none" w:sz="0" w:space="0" w:color="auto"/>
            <w:right w:val="none" w:sz="0" w:space="0" w:color="auto"/>
          </w:divBdr>
        </w:div>
        <w:div w:id="1269122217">
          <w:marLeft w:val="0"/>
          <w:marRight w:val="0"/>
          <w:marTop w:val="0"/>
          <w:marBottom w:val="0"/>
          <w:divBdr>
            <w:top w:val="none" w:sz="0" w:space="0" w:color="auto"/>
            <w:left w:val="none" w:sz="0" w:space="0" w:color="auto"/>
            <w:bottom w:val="none" w:sz="0" w:space="0" w:color="auto"/>
            <w:right w:val="none" w:sz="0" w:space="0" w:color="auto"/>
          </w:divBdr>
        </w:div>
        <w:div w:id="1271164497">
          <w:marLeft w:val="0"/>
          <w:marRight w:val="0"/>
          <w:marTop w:val="0"/>
          <w:marBottom w:val="0"/>
          <w:divBdr>
            <w:top w:val="none" w:sz="0" w:space="0" w:color="auto"/>
            <w:left w:val="none" w:sz="0" w:space="0" w:color="auto"/>
            <w:bottom w:val="none" w:sz="0" w:space="0" w:color="auto"/>
            <w:right w:val="none" w:sz="0" w:space="0" w:color="auto"/>
          </w:divBdr>
        </w:div>
        <w:div w:id="1329333491">
          <w:marLeft w:val="0"/>
          <w:marRight w:val="0"/>
          <w:marTop w:val="0"/>
          <w:marBottom w:val="0"/>
          <w:divBdr>
            <w:top w:val="none" w:sz="0" w:space="0" w:color="auto"/>
            <w:left w:val="none" w:sz="0" w:space="0" w:color="auto"/>
            <w:bottom w:val="none" w:sz="0" w:space="0" w:color="auto"/>
            <w:right w:val="none" w:sz="0" w:space="0" w:color="auto"/>
          </w:divBdr>
        </w:div>
        <w:div w:id="1638991077">
          <w:marLeft w:val="0"/>
          <w:marRight w:val="0"/>
          <w:marTop w:val="0"/>
          <w:marBottom w:val="0"/>
          <w:divBdr>
            <w:top w:val="none" w:sz="0" w:space="0" w:color="auto"/>
            <w:left w:val="none" w:sz="0" w:space="0" w:color="auto"/>
            <w:bottom w:val="none" w:sz="0" w:space="0" w:color="auto"/>
            <w:right w:val="none" w:sz="0" w:space="0" w:color="auto"/>
          </w:divBdr>
        </w:div>
        <w:div w:id="1752316578">
          <w:marLeft w:val="0"/>
          <w:marRight w:val="0"/>
          <w:marTop w:val="0"/>
          <w:marBottom w:val="0"/>
          <w:divBdr>
            <w:top w:val="none" w:sz="0" w:space="0" w:color="auto"/>
            <w:left w:val="none" w:sz="0" w:space="0" w:color="auto"/>
            <w:bottom w:val="none" w:sz="0" w:space="0" w:color="auto"/>
            <w:right w:val="none" w:sz="0" w:space="0" w:color="auto"/>
          </w:divBdr>
        </w:div>
        <w:div w:id="1779059394">
          <w:marLeft w:val="0"/>
          <w:marRight w:val="0"/>
          <w:marTop w:val="0"/>
          <w:marBottom w:val="0"/>
          <w:divBdr>
            <w:top w:val="none" w:sz="0" w:space="0" w:color="auto"/>
            <w:left w:val="none" w:sz="0" w:space="0" w:color="auto"/>
            <w:bottom w:val="none" w:sz="0" w:space="0" w:color="auto"/>
            <w:right w:val="none" w:sz="0" w:space="0" w:color="auto"/>
          </w:divBdr>
        </w:div>
        <w:div w:id="1876498373">
          <w:marLeft w:val="0"/>
          <w:marRight w:val="0"/>
          <w:marTop w:val="0"/>
          <w:marBottom w:val="0"/>
          <w:divBdr>
            <w:top w:val="none" w:sz="0" w:space="0" w:color="auto"/>
            <w:left w:val="none" w:sz="0" w:space="0" w:color="auto"/>
            <w:bottom w:val="none" w:sz="0" w:space="0" w:color="auto"/>
            <w:right w:val="none" w:sz="0" w:space="0" w:color="auto"/>
          </w:divBdr>
        </w:div>
        <w:div w:id="1951088105">
          <w:marLeft w:val="0"/>
          <w:marRight w:val="0"/>
          <w:marTop w:val="0"/>
          <w:marBottom w:val="0"/>
          <w:divBdr>
            <w:top w:val="none" w:sz="0" w:space="0" w:color="auto"/>
            <w:left w:val="none" w:sz="0" w:space="0" w:color="auto"/>
            <w:bottom w:val="none" w:sz="0" w:space="0" w:color="auto"/>
            <w:right w:val="none" w:sz="0" w:space="0" w:color="auto"/>
          </w:divBdr>
        </w:div>
        <w:div w:id="1986231066">
          <w:marLeft w:val="0"/>
          <w:marRight w:val="0"/>
          <w:marTop w:val="0"/>
          <w:marBottom w:val="0"/>
          <w:divBdr>
            <w:top w:val="none" w:sz="0" w:space="0" w:color="auto"/>
            <w:left w:val="none" w:sz="0" w:space="0" w:color="auto"/>
            <w:bottom w:val="none" w:sz="0" w:space="0" w:color="auto"/>
            <w:right w:val="none" w:sz="0" w:space="0" w:color="auto"/>
          </w:divBdr>
        </w:div>
      </w:divsChild>
    </w:div>
    <w:div w:id="135218460">
      <w:bodyDiv w:val="1"/>
      <w:marLeft w:val="0"/>
      <w:marRight w:val="0"/>
      <w:marTop w:val="0"/>
      <w:marBottom w:val="0"/>
      <w:divBdr>
        <w:top w:val="none" w:sz="0" w:space="0" w:color="auto"/>
        <w:left w:val="none" w:sz="0" w:space="0" w:color="auto"/>
        <w:bottom w:val="none" w:sz="0" w:space="0" w:color="auto"/>
        <w:right w:val="none" w:sz="0" w:space="0" w:color="auto"/>
      </w:divBdr>
    </w:div>
    <w:div w:id="150174196">
      <w:bodyDiv w:val="1"/>
      <w:marLeft w:val="0"/>
      <w:marRight w:val="0"/>
      <w:marTop w:val="0"/>
      <w:marBottom w:val="0"/>
      <w:divBdr>
        <w:top w:val="none" w:sz="0" w:space="0" w:color="auto"/>
        <w:left w:val="none" w:sz="0" w:space="0" w:color="auto"/>
        <w:bottom w:val="none" w:sz="0" w:space="0" w:color="auto"/>
        <w:right w:val="none" w:sz="0" w:space="0" w:color="auto"/>
      </w:divBdr>
      <w:divsChild>
        <w:div w:id="509023921">
          <w:marLeft w:val="0"/>
          <w:marRight w:val="0"/>
          <w:marTop w:val="0"/>
          <w:marBottom w:val="0"/>
          <w:divBdr>
            <w:top w:val="none" w:sz="0" w:space="0" w:color="auto"/>
            <w:left w:val="none" w:sz="0" w:space="0" w:color="auto"/>
            <w:bottom w:val="none" w:sz="0" w:space="0" w:color="auto"/>
            <w:right w:val="none" w:sz="0" w:space="0" w:color="auto"/>
          </w:divBdr>
        </w:div>
        <w:div w:id="1511407304">
          <w:marLeft w:val="0"/>
          <w:marRight w:val="0"/>
          <w:marTop w:val="0"/>
          <w:marBottom w:val="0"/>
          <w:divBdr>
            <w:top w:val="none" w:sz="0" w:space="0" w:color="auto"/>
            <w:left w:val="none" w:sz="0" w:space="0" w:color="auto"/>
            <w:bottom w:val="none" w:sz="0" w:space="0" w:color="auto"/>
            <w:right w:val="none" w:sz="0" w:space="0" w:color="auto"/>
          </w:divBdr>
        </w:div>
      </w:divsChild>
    </w:div>
    <w:div w:id="174392689">
      <w:bodyDiv w:val="1"/>
      <w:marLeft w:val="0"/>
      <w:marRight w:val="0"/>
      <w:marTop w:val="0"/>
      <w:marBottom w:val="0"/>
      <w:divBdr>
        <w:top w:val="none" w:sz="0" w:space="0" w:color="auto"/>
        <w:left w:val="none" w:sz="0" w:space="0" w:color="auto"/>
        <w:bottom w:val="none" w:sz="0" w:space="0" w:color="auto"/>
        <w:right w:val="none" w:sz="0" w:space="0" w:color="auto"/>
      </w:divBdr>
    </w:div>
    <w:div w:id="181404609">
      <w:bodyDiv w:val="1"/>
      <w:marLeft w:val="0"/>
      <w:marRight w:val="0"/>
      <w:marTop w:val="0"/>
      <w:marBottom w:val="0"/>
      <w:divBdr>
        <w:top w:val="none" w:sz="0" w:space="0" w:color="auto"/>
        <w:left w:val="none" w:sz="0" w:space="0" w:color="auto"/>
        <w:bottom w:val="none" w:sz="0" w:space="0" w:color="auto"/>
        <w:right w:val="none" w:sz="0" w:space="0" w:color="auto"/>
      </w:divBdr>
    </w:div>
    <w:div w:id="189152827">
      <w:bodyDiv w:val="1"/>
      <w:marLeft w:val="0"/>
      <w:marRight w:val="0"/>
      <w:marTop w:val="0"/>
      <w:marBottom w:val="0"/>
      <w:divBdr>
        <w:top w:val="none" w:sz="0" w:space="0" w:color="auto"/>
        <w:left w:val="none" w:sz="0" w:space="0" w:color="auto"/>
        <w:bottom w:val="none" w:sz="0" w:space="0" w:color="auto"/>
        <w:right w:val="none" w:sz="0" w:space="0" w:color="auto"/>
      </w:divBdr>
      <w:divsChild>
        <w:div w:id="21710079">
          <w:marLeft w:val="0"/>
          <w:marRight w:val="0"/>
          <w:marTop w:val="0"/>
          <w:marBottom w:val="0"/>
          <w:divBdr>
            <w:top w:val="none" w:sz="0" w:space="0" w:color="auto"/>
            <w:left w:val="none" w:sz="0" w:space="0" w:color="auto"/>
            <w:bottom w:val="none" w:sz="0" w:space="0" w:color="auto"/>
            <w:right w:val="none" w:sz="0" w:space="0" w:color="auto"/>
          </w:divBdr>
        </w:div>
        <w:div w:id="397871593">
          <w:marLeft w:val="0"/>
          <w:marRight w:val="0"/>
          <w:marTop w:val="0"/>
          <w:marBottom w:val="0"/>
          <w:divBdr>
            <w:top w:val="none" w:sz="0" w:space="0" w:color="auto"/>
            <w:left w:val="none" w:sz="0" w:space="0" w:color="auto"/>
            <w:bottom w:val="none" w:sz="0" w:space="0" w:color="auto"/>
            <w:right w:val="none" w:sz="0" w:space="0" w:color="auto"/>
          </w:divBdr>
        </w:div>
        <w:div w:id="510293564">
          <w:marLeft w:val="0"/>
          <w:marRight w:val="0"/>
          <w:marTop w:val="0"/>
          <w:marBottom w:val="0"/>
          <w:divBdr>
            <w:top w:val="none" w:sz="0" w:space="0" w:color="auto"/>
            <w:left w:val="none" w:sz="0" w:space="0" w:color="auto"/>
            <w:bottom w:val="none" w:sz="0" w:space="0" w:color="auto"/>
            <w:right w:val="none" w:sz="0" w:space="0" w:color="auto"/>
          </w:divBdr>
        </w:div>
        <w:div w:id="926500726">
          <w:marLeft w:val="0"/>
          <w:marRight w:val="0"/>
          <w:marTop w:val="0"/>
          <w:marBottom w:val="0"/>
          <w:divBdr>
            <w:top w:val="none" w:sz="0" w:space="0" w:color="auto"/>
            <w:left w:val="none" w:sz="0" w:space="0" w:color="auto"/>
            <w:bottom w:val="none" w:sz="0" w:space="0" w:color="auto"/>
            <w:right w:val="none" w:sz="0" w:space="0" w:color="auto"/>
          </w:divBdr>
        </w:div>
        <w:div w:id="1280531744">
          <w:marLeft w:val="0"/>
          <w:marRight w:val="0"/>
          <w:marTop w:val="0"/>
          <w:marBottom w:val="0"/>
          <w:divBdr>
            <w:top w:val="none" w:sz="0" w:space="0" w:color="auto"/>
            <w:left w:val="none" w:sz="0" w:space="0" w:color="auto"/>
            <w:bottom w:val="none" w:sz="0" w:space="0" w:color="auto"/>
            <w:right w:val="none" w:sz="0" w:space="0" w:color="auto"/>
          </w:divBdr>
        </w:div>
      </w:divsChild>
    </w:div>
    <w:div w:id="190071297">
      <w:bodyDiv w:val="1"/>
      <w:marLeft w:val="0"/>
      <w:marRight w:val="0"/>
      <w:marTop w:val="0"/>
      <w:marBottom w:val="0"/>
      <w:divBdr>
        <w:top w:val="none" w:sz="0" w:space="0" w:color="auto"/>
        <w:left w:val="none" w:sz="0" w:space="0" w:color="auto"/>
        <w:bottom w:val="none" w:sz="0" w:space="0" w:color="auto"/>
        <w:right w:val="none" w:sz="0" w:space="0" w:color="auto"/>
      </w:divBdr>
    </w:div>
    <w:div w:id="191461052">
      <w:bodyDiv w:val="1"/>
      <w:marLeft w:val="0"/>
      <w:marRight w:val="0"/>
      <w:marTop w:val="0"/>
      <w:marBottom w:val="0"/>
      <w:divBdr>
        <w:top w:val="none" w:sz="0" w:space="0" w:color="auto"/>
        <w:left w:val="none" w:sz="0" w:space="0" w:color="auto"/>
        <w:bottom w:val="none" w:sz="0" w:space="0" w:color="auto"/>
        <w:right w:val="none" w:sz="0" w:space="0" w:color="auto"/>
      </w:divBdr>
      <w:divsChild>
        <w:div w:id="869993136">
          <w:marLeft w:val="1080"/>
          <w:marRight w:val="0"/>
          <w:marTop w:val="100"/>
          <w:marBottom w:val="0"/>
          <w:divBdr>
            <w:top w:val="none" w:sz="0" w:space="0" w:color="auto"/>
            <w:left w:val="none" w:sz="0" w:space="0" w:color="auto"/>
            <w:bottom w:val="none" w:sz="0" w:space="0" w:color="auto"/>
            <w:right w:val="none" w:sz="0" w:space="0" w:color="auto"/>
          </w:divBdr>
        </w:div>
      </w:divsChild>
    </w:div>
    <w:div w:id="208764777">
      <w:bodyDiv w:val="1"/>
      <w:marLeft w:val="0"/>
      <w:marRight w:val="0"/>
      <w:marTop w:val="0"/>
      <w:marBottom w:val="0"/>
      <w:divBdr>
        <w:top w:val="none" w:sz="0" w:space="0" w:color="auto"/>
        <w:left w:val="none" w:sz="0" w:space="0" w:color="auto"/>
        <w:bottom w:val="none" w:sz="0" w:space="0" w:color="auto"/>
        <w:right w:val="none" w:sz="0" w:space="0" w:color="auto"/>
      </w:divBdr>
    </w:div>
    <w:div w:id="217977579">
      <w:bodyDiv w:val="1"/>
      <w:marLeft w:val="0"/>
      <w:marRight w:val="0"/>
      <w:marTop w:val="0"/>
      <w:marBottom w:val="0"/>
      <w:divBdr>
        <w:top w:val="none" w:sz="0" w:space="0" w:color="auto"/>
        <w:left w:val="none" w:sz="0" w:space="0" w:color="auto"/>
        <w:bottom w:val="none" w:sz="0" w:space="0" w:color="auto"/>
        <w:right w:val="none" w:sz="0" w:space="0" w:color="auto"/>
      </w:divBdr>
      <w:divsChild>
        <w:div w:id="137115278">
          <w:marLeft w:val="2250"/>
          <w:marRight w:val="0"/>
          <w:marTop w:val="375"/>
          <w:marBottom w:val="375"/>
          <w:divBdr>
            <w:top w:val="none" w:sz="0" w:space="0" w:color="auto"/>
            <w:left w:val="none" w:sz="0" w:space="0" w:color="auto"/>
            <w:bottom w:val="none" w:sz="0" w:space="0" w:color="auto"/>
            <w:right w:val="none" w:sz="0" w:space="0" w:color="auto"/>
          </w:divBdr>
        </w:div>
        <w:div w:id="502546828">
          <w:marLeft w:val="2250"/>
          <w:marRight w:val="0"/>
          <w:marTop w:val="375"/>
          <w:marBottom w:val="375"/>
          <w:divBdr>
            <w:top w:val="none" w:sz="0" w:space="0" w:color="auto"/>
            <w:left w:val="none" w:sz="0" w:space="0" w:color="auto"/>
            <w:bottom w:val="none" w:sz="0" w:space="0" w:color="auto"/>
            <w:right w:val="none" w:sz="0" w:space="0" w:color="auto"/>
          </w:divBdr>
        </w:div>
        <w:div w:id="1610889918">
          <w:marLeft w:val="2250"/>
          <w:marRight w:val="0"/>
          <w:marTop w:val="375"/>
          <w:marBottom w:val="375"/>
          <w:divBdr>
            <w:top w:val="none" w:sz="0" w:space="0" w:color="auto"/>
            <w:left w:val="none" w:sz="0" w:space="0" w:color="auto"/>
            <w:bottom w:val="none" w:sz="0" w:space="0" w:color="auto"/>
            <w:right w:val="none" w:sz="0" w:space="0" w:color="auto"/>
          </w:divBdr>
        </w:div>
        <w:div w:id="1842549320">
          <w:marLeft w:val="2250"/>
          <w:marRight w:val="0"/>
          <w:marTop w:val="375"/>
          <w:marBottom w:val="375"/>
          <w:divBdr>
            <w:top w:val="none" w:sz="0" w:space="0" w:color="auto"/>
            <w:left w:val="none" w:sz="0" w:space="0" w:color="auto"/>
            <w:bottom w:val="none" w:sz="0" w:space="0" w:color="auto"/>
            <w:right w:val="none" w:sz="0" w:space="0" w:color="auto"/>
          </w:divBdr>
        </w:div>
        <w:div w:id="1924945612">
          <w:marLeft w:val="2250"/>
          <w:marRight w:val="0"/>
          <w:marTop w:val="375"/>
          <w:marBottom w:val="375"/>
          <w:divBdr>
            <w:top w:val="none" w:sz="0" w:space="0" w:color="auto"/>
            <w:left w:val="none" w:sz="0" w:space="0" w:color="auto"/>
            <w:bottom w:val="none" w:sz="0" w:space="0" w:color="auto"/>
            <w:right w:val="none" w:sz="0" w:space="0" w:color="auto"/>
          </w:divBdr>
        </w:div>
        <w:div w:id="1955669936">
          <w:marLeft w:val="2250"/>
          <w:marRight w:val="0"/>
          <w:marTop w:val="375"/>
          <w:marBottom w:val="375"/>
          <w:divBdr>
            <w:top w:val="none" w:sz="0" w:space="0" w:color="auto"/>
            <w:left w:val="none" w:sz="0" w:space="0" w:color="auto"/>
            <w:bottom w:val="none" w:sz="0" w:space="0" w:color="auto"/>
            <w:right w:val="none" w:sz="0" w:space="0" w:color="auto"/>
          </w:divBdr>
        </w:div>
      </w:divsChild>
    </w:div>
    <w:div w:id="232207049">
      <w:bodyDiv w:val="1"/>
      <w:marLeft w:val="0"/>
      <w:marRight w:val="0"/>
      <w:marTop w:val="0"/>
      <w:marBottom w:val="0"/>
      <w:divBdr>
        <w:top w:val="none" w:sz="0" w:space="0" w:color="auto"/>
        <w:left w:val="none" w:sz="0" w:space="0" w:color="auto"/>
        <w:bottom w:val="none" w:sz="0" w:space="0" w:color="auto"/>
        <w:right w:val="none" w:sz="0" w:space="0" w:color="auto"/>
      </w:divBdr>
    </w:div>
    <w:div w:id="259803265">
      <w:bodyDiv w:val="1"/>
      <w:marLeft w:val="0"/>
      <w:marRight w:val="0"/>
      <w:marTop w:val="0"/>
      <w:marBottom w:val="0"/>
      <w:divBdr>
        <w:top w:val="none" w:sz="0" w:space="0" w:color="auto"/>
        <w:left w:val="none" w:sz="0" w:space="0" w:color="auto"/>
        <w:bottom w:val="none" w:sz="0" w:space="0" w:color="auto"/>
        <w:right w:val="none" w:sz="0" w:space="0" w:color="auto"/>
      </w:divBdr>
      <w:divsChild>
        <w:div w:id="62064417">
          <w:marLeft w:val="0"/>
          <w:marRight w:val="0"/>
          <w:marTop w:val="0"/>
          <w:marBottom w:val="0"/>
          <w:divBdr>
            <w:top w:val="none" w:sz="0" w:space="0" w:color="auto"/>
            <w:left w:val="none" w:sz="0" w:space="0" w:color="auto"/>
            <w:bottom w:val="none" w:sz="0" w:space="0" w:color="auto"/>
            <w:right w:val="none" w:sz="0" w:space="0" w:color="auto"/>
          </w:divBdr>
        </w:div>
        <w:div w:id="852379115">
          <w:marLeft w:val="0"/>
          <w:marRight w:val="0"/>
          <w:marTop w:val="0"/>
          <w:marBottom w:val="0"/>
          <w:divBdr>
            <w:top w:val="none" w:sz="0" w:space="0" w:color="auto"/>
            <w:left w:val="none" w:sz="0" w:space="0" w:color="auto"/>
            <w:bottom w:val="none" w:sz="0" w:space="0" w:color="auto"/>
            <w:right w:val="none" w:sz="0" w:space="0" w:color="auto"/>
          </w:divBdr>
        </w:div>
        <w:div w:id="2007510159">
          <w:marLeft w:val="0"/>
          <w:marRight w:val="0"/>
          <w:marTop w:val="0"/>
          <w:marBottom w:val="0"/>
          <w:divBdr>
            <w:top w:val="none" w:sz="0" w:space="0" w:color="auto"/>
            <w:left w:val="none" w:sz="0" w:space="0" w:color="auto"/>
            <w:bottom w:val="none" w:sz="0" w:space="0" w:color="auto"/>
            <w:right w:val="none" w:sz="0" w:space="0" w:color="auto"/>
          </w:divBdr>
        </w:div>
      </w:divsChild>
    </w:div>
    <w:div w:id="261575393">
      <w:bodyDiv w:val="1"/>
      <w:marLeft w:val="0"/>
      <w:marRight w:val="0"/>
      <w:marTop w:val="0"/>
      <w:marBottom w:val="0"/>
      <w:divBdr>
        <w:top w:val="none" w:sz="0" w:space="0" w:color="auto"/>
        <w:left w:val="none" w:sz="0" w:space="0" w:color="auto"/>
        <w:bottom w:val="none" w:sz="0" w:space="0" w:color="auto"/>
        <w:right w:val="none" w:sz="0" w:space="0" w:color="auto"/>
      </w:divBdr>
    </w:div>
    <w:div w:id="262802854">
      <w:bodyDiv w:val="1"/>
      <w:marLeft w:val="0"/>
      <w:marRight w:val="0"/>
      <w:marTop w:val="0"/>
      <w:marBottom w:val="0"/>
      <w:divBdr>
        <w:top w:val="none" w:sz="0" w:space="0" w:color="auto"/>
        <w:left w:val="none" w:sz="0" w:space="0" w:color="auto"/>
        <w:bottom w:val="none" w:sz="0" w:space="0" w:color="auto"/>
        <w:right w:val="none" w:sz="0" w:space="0" w:color="auto"/>
      </w:divBdr>
    </w:div>
    <w:div w:id="266546737">
      <w:bodyDiv w:val="1"/>
      <w:marLeft w:val="0"/>
      <w:marRight w:val="0"/>
      <w:marTop w:val="0"/>
      <w:marBottom w:val="0"/>
      <w:divBdr>
        <w:top w:val="none" w:sz="0" w:space="0" w:color="auto"/>
        <w:left w:val="none" w:sz="0" w:space="0" w:color="auto"/>
        <w:bottom w:val="none" w:sz="0" w:space="0" w:color="auto"/>
        <w:right w:val="none" w:sz="0" w:space="0" w:color="auto"/>
      </w:divBdr>
      <w:divsChild>
        <w:div w:id="1027829178">
          <w:marLeft w:val="274"/>
          <w:marRight w:val="0"/>
          <w:marTop w:val="0"/>
          <w:marBottom w:val="0"/>
          <w:divBdr>
            <w:top w:val="none" w:sz="0" w:space="0" w:color="auto"/>
            <w:left w:val="none" w:sz="0" w:space="0" w:color="auto"/>
            <w:bottom w:val="none" w:sz="0" w:space="0" w:color="auto"/>
            <w:right w:val="none" w:sz="0" w:space="0" w:color="auto"/>
          </w:divBdr>
        </w:div>
        <w:div w:id="1461387411">
          <w:marLeft w:val="274"/>
          <w:marRight w:val="0"/>
          <w:marTop w:val="0"/>
          <w:marBottom w:val="0"/>
          <w:divBdr>
            <w:top w:val="none" w:sz="0" w:space="0" w:color="auto"/>
            <w:left w:val="none" w:sz="0" w:space="0" w:color="auto"/>
            <w:bottom w:val="none" w:sz="0" w:space="0" w:color="auto"/>
            <w:right w:val="none" w:sz="0" w:space="0" w:color="auto"/>
          </w:divBdr>
        </w:div>
        <w:div w:id="1756396675">
          <w:marLeft w:val="274"/>
          <w:marRight w:val="0"/>
          <w:marTop w:val="0"/>
          <w:marBottom w:val="0"/>
          <w:divBdr>
            <w:top w:val="none" w:sz="0" w:space="0" w:color="auto"/>
            <w:left w:val="none" w:sz="0" w:space="0" w:color="auto"/>
            <w:bottom w:val="none" w:sz="0" w:space="0" w:color="auto"/>
            <w:right w:val="none" w:sz="0" w:space="0" w:color="auto"/>
          </w:divBdr>
        </w:div>
      </w:divsChild>
    </w:div>
    <w:div w:id="271715310">
      <w:bodyDiv w:val="1"/>
      <w:marLeft w:val="0"/>
      <w:marRight w:val="0"/>
      <w:marTop w:val="0"/>
      <w:marBottom w:val="0"/>
      <w:divBdr>
        <w:top w:val="none" w:sz="0" w:space="0" w:color="auto"/>
        <w:left w:val="none" w:sz="0" w:space="0" w:color="auto"/>
        <w:bottom w:val="none" w:sz="0" w:space="0" w:color="auto"/>
        <w:right w:val="none" w:sz="0" w:space="0" w:color="auto"/>
      </w:divBdr>
      <w:divsChild>
        <w:div w:id="587159381">
          <w:marLeft w:val="547"/>
          <w:marRight w:val="0"/>
          <w:marTop w:val="0"/>
          <w:marBottom w:val="0"/>
          <w:divBdr>
            <w:top w:val="none" w:sz="0" w:space="0" w:color="auto"/>
            <w:left w:val="none" w:sz="0" w:space="0" w:color="auto"/>
            <w:bottom w:val="none" w:sz="0" w:space="0" w:color="auto"/>
            <w:right w:val="none" w:sz="0" w:space="0" w:color="auto"/>
          </w:divBdr>
        </w:div>
        <w:div w:id="639387046">
          <w:marLeft w:val="547"/>
          <w:marRight w:val="0"/>
          <w:marTop w:val="0"/>
          <w:marBottom w:val="0"/>
          <w:divBdr>
            <w:top w:val="none" w:sz="0" w:space="0" w:color="auto"/>
            <w:left w:val="none" w:sz="0" w:space="0" w:color="auto"/>
            <w:bottom w:val="none" w:sz="0" w:space="0" w:color="auto"/>
            <w:right w:val="none" w:sz="0" w:space="0" w:color="auto"/>
          </w:divBdr>
        </w:div>
        <w:div w:id="772826296">
          <w:marLeft w:val="547"/>
          <w:marRight w:val="0"/>
          <w:marTop w:val="0"/>
          <w:marBottom w:val="0"/>
          <w:divBdr>
            <w:top w:val="none" w:sz="0" w:space="0" w:color="auto"/>
            <w:left w:val="none" w:sz="0" w:space="0" w:color="auto"/>
            <w:bottom w:val="none" w:sz="0" w:space="0" w:color="auto"/>
            <w:right w:val="none" w:sz="0" w:space="0" w:color="auto"/>
          </w:divBdr>
        </w:div>
        <w:div w:id="2016685789">
          <w:marLeft w:val="547"/>
          <w:marRight w:val="0"/>
          <w:marTop w:val="0"/>
          <w:marBottom w:val="0"/>
          <w:divBdr>
            <w:top w:val="none" w:sz="0" w:space="0" w:color="auto"/>
            <w:left w:val="none" w:sz="0" w:space="0" w:color="auto"/>
            <w:bottom w:val="none" w:sz="0" w:space="0" w:color="auto"/>
            <w:right w:val="none" w:sz="0" w:space="0" w:color="auto"/>
          </w:divBdr>
        </w:div>
      </w:divsChild>
    </w:div>
    <w:div w:id="278488660">
      <w:bodyDiv w:val="1"/>
      <w:marLeft w:val="0"/>
      <w:marRight w:val="0"/>
      <w:marTop w:val="0"/>
      <w:marBottom w:val="0"/>
      <w:divBdr>
        <w:top w:val="none" w:sz="0" w:space="0" w:color="auto"/>
        <w:left w:val="none" w:sz="0" w:space="0" w:color="auto"/>
        <w:bottom w:val="none" w:sz="0" w:space="0" w:color="auto"/>
        <w:right w:val="none" w:sz="0" w:space="0" w:color="auto"/>
      </w:divBdr>
      <w:divsChild>
        <w:div w:id="1459488689">
          <w:marLeft w:val="274"/>
          <w:marRight w:val="0"/>
          <w:marTop w:val="0"/>
          <w:marBottom w:val="0"/>
          <w:divBdr>
            <w:top w:val="none" w:sz="0" w:space="0" w:color="auto"/>
            <w:left w:val="none" w:sz="0" w:space="0" w:color="auto"/>
            <w:bottom w:val="none" w:sz="0" w:space="0" w:color="auto"/>
            <w:right w:val="none" w:sz="0" w:space="0" w:color="auto"/>
          </w:divBdr>
        </w:div>
        <w:div w:id="1640768772">
          <w:marLeft w:val="274"/>
          <w:marRight w:val="0"/>
          <w:marTop w:val="0"/>
          <w:marBottom w:val="0"/>
          <w:divBdr>
            <w:top w:val="none" w:sz="0" w:space="0" w:color="auto"/>
            <w:left w:val="none" w:sz="0" w:space="0" w:color="auto"/>
            <w:bottom w:val="none" w:sz="0" w:space="0" w:color="auto"/>
            <w:right w:val="none" w:sz="0" w:space="0" w:color="auto"/>
          </w:divBdr>
        </w:div>
      </w:divsChild>
    </w:div>
    <w:div w:id="282536506">
      <w:bodyDiv w:val="1"/>
      <w:marLeft w:val="0"/>
      <w:marRight w:val="0"/>
      <w:marTop w:val="0"/>
      <w:marBottom w:val="0"/>
      <w:divBdr>
        <w:top w:val="none" w:sz="0" w:space="0" w:color="auto"/>
        <w:left w:val="none" w:sz="0" w:space="0" w:color="auto"/>
        <w:bottom w:val="none" w:sz="0" w:space="0" w:color="auto"/>
        <w:right w:val="none" w:sz="0" w:space="0" w:color="auto"/>
      </w:divBdr>
    </w:div>
    <w:div w:id="296449028">
      <w:bodyDiv w:val="1"/>
      <w:marLeft w:val="0"/>
      <w:marRight w:val="0"/>
      <w:marTop w:val="0"/>
      <w:marBottom w:val="0"/>
      <w:divBdr>
        <w:top w:val="none" w:sz="0" w:space="0" w:color="auto"/>
        <w:left w:val="none" w:sz="0" w:space="0" w:color="auto"/>
        <w:bottom w:val="none" w:sz="0" w:space="0" w:color="auto"/>
        <w:right w:val="none" w:sz="0" w:space="0" w:color="auto"/>
      </w:divBdr>
    </w:div>
    <w:div w:id="300692114">
      <w:bodyDiv w:val="1"/>
      <w:marLeft w:val="0"/>
      <w:marRight w:val="0"/>
      <w:marTop w:val="0"/>
      <w:marBottom w:val="0"/>
      <w:divBdr>
        <w:top w:val="none" w:sz="0" w:space="0" w:color="auto"/>
        <w:left w:val="none" w:sz="0" w:space="0" w:color="auto"/>
        <w:bottom w:val="none" w:sz="0" w:space="0" w:color="auto"/>
        <w:right w:val="none" w:sz="0" w:space="0" w:color="auto"/>
      </w:divBdr>
      <w:divsChild>
        <w:div w:id="1020200006">
          <w:marLeft w:val="0"/>
          <w:marRight w:val="0"/>
          <w:marTop w:val="0"/>
          <w:marBottom w:val="0"/>
          <w:divBdr>
            <w:top w:val="none" w:sz="0" w:space="0" w:color="auto"/>
            <w:left w:val="none" w:sz="0" w:space="0" w:color="auto"/>
            <w:bottom w:val="none" w:sz="0" w:space="0" w:color="auto"/>
            <w:right w:val="none" w:sz="0" w:space="0" w:color="auto"/>
          </w:divBdr>
        </w:div>
        <w:div w:id="1207716242">
          <w:marLeft w:val="0"/>
          <w:marRight w:val="0"/>
          <w:marTop w:val="0"/>
          <w:marBottom w:val="0"/>
          <w:divBdr>
            <w:top w:val="none" w:sz="0" w:space="0" w:color="auto"/>
            <w:left w:val="none" w:sz="0" w:space="0" w:color="auto"/>
            <w:bottom w:val="none" w:sz="0" w:space="0" w:color="auto"/>
            <w:right w:val="none" w:sz="0" w:space="0" w:color="auto"/>
          </w:divBdr>
        </w:div>
        <w:div w:id="2090619242">
          <w:marLeft w:val="0"/>
          <w:marRight w:val="0"/>
          <w:marTop w:val="0"/>
          <w:marBottom w:val="0"/>
          <w:divBdr>
            <w:top w:val="none" w:sz="0" w:space="0" w:color="auto"/>
            <w:left w:val="none" w:sz="0" w:space="0" w:color="auto"/>
            <w:bottom w:val="none" w:sz="0" w:space="0" w:color="auto"/>
            <w:right w:val="none" w:sz="0" w:space="0" w:color="auto"/>
          </w:divBdr>
        </w:div>
      </w:divsChild>
    </w:div>
    <w:div w:id="309289037">
      <w:bodyDiv w:val="1"/>
      <w:marLeft w:val="0"/>
      <w:marRight w:val="0"/>
      <w:marTop w:val="0"/>
      <w:marBottom w:val="0"/>
      <w:divBdr>
        <w:top w:val="none" w:sz="0" w:space="0" w:color="auto"/>
        <w:left w:val="none" w:sz="0" w:space="0" w:color="auto"/>
        <w:bottom w:val="none" w:sz="0" w:space="0" w:color="auto"/>
        <w:right w:val="none" w:sz="0" w:space="0" w:color="auto"/>
      </w:divBdr>
    </w:div>
    <w:div w:id="314995379">
      <w:bodyDiv w:val="1"/>
      <w:marLeft w:val="0"/>
      <w:marRight w:val="0"/>
      <w:marTop w:val="0"/>
      <w:marBottom w:val="0"/>
      <w:divBdr>
        <w:top w:val="none" w:sz="0" w:space="0" w:color="auto"/>
        <w:left w:val="none" w:sz="0" w:space="0" w:color="auto"/>
        <w:bottom w:val="none" w:sz="0" w:space="0" w:color="auto"/>
        <w:right w:val="none" w:sz="0" w:space="0" w:color="auto"/>
      </w:divBdr>
    </w:div>
    <w:div w:id="316498217">
      <w:bodyDiv w:val="1"/>
      <w:marLeft w:val="0"/>
      <w:marRight w:val="0"/>
      <w:marTop w:val="0"/>
      <w:marBottom w:val="0"/>
      <w:divBdr>
        <w:top w:val="none" w:sz="0" w:space="0" w:color="auto"/>
        <w:left w:val="none" w:sz="0" w:space="0" w:color="auto"/>
        <w:bottom w:val="none" w:sz="0" w:space="0" w:color="auto"/>
        <w:right w:val="none" w:sz="0" w:space="0" w:color="auto"/>
      </w:divBdr>
    </w:div>
    <w:div w:id="330526100">
      <w:bodyDiv w:val="1"/>
      <w:marLeft w:val="0"/>
      <w:marRight w:val="0"/>
      <w:marTop w:val="0"/>
      <w:marBottom w:val="0"/>
      <w:divBdr>
        <w:top w:val="none" w:sz="0" w:space="0" w:color="auto"/>
        <w:left w:val="none" w:sz="0" w:space="0" w:color="auto"/>
        <w:bottom w:val="none" w:sz="0" w:space="0" w:color="auto"/>
        <w:right w:val="none" w:sz="0" w:space="0" w:color="auto"/>
      </w:divBdr>
    </w:div>
    <w:div w:id="337466953">
      <w:bodyDiv w:val="1"/>
      <w:marLeft w:val="0"/>
      <w:marRight w:val="0"/>
      <w:marTop w:val="0"/>
      <w:marBottom w:val="0"/>
      <w:divBdr>
        <w:top w:val="none" w:sz="0" w:space="0" w:color="auto"/>
        <w:left w:val="none" w:sz="0" w:space="0" w:color="auto"/>
        <w:bottom w:val="none" w:sz="0" w:space="0" w:color="auto"/>
        <w:right w:val="none" w:sz="0" w:space="0" w:color="auto"/>
      </w:divBdr>
      <w:divsChild>
        <w:div w:id="1046220747">
          <w:marLeft w:val="0"/>
          <w:marRight w:val="0"/>
          <w:marTop w:val="0"/>
          <w:marBottom w:val="0"/>
          <w:divBdr>
            <w:top w:val="none" w:sz="0" w:space="0" w:color="auto"/>
            <w:left w:val="none" w:sz="0" w:space="0" w:color="auto"/>
            <w:bottom w:val="none" w:sz="0" w:space="0" w:color="auto"/>
            <w:right w:val="none" w:sz="0" w:space="0" w:color="auto"/>
          </w:divBdr>
        </w:div>
        <w:div w:id="1523350870">
          <w:marLeft w:val="0"/>
          <w:marRight w:val="0"/>
          <w:marTop w:val="0"/>
          <w:marBottom w:val="0"/>
          <w:divBdr>
            <w:top w:val="none" w:sz="0" w:space="0" w:color="auto"/>
            <w:left w:val="none" w:sz="0" w:space="0" w:color="auto"/>
            <w:bottom w:val="none" w:sz="0" w:space="0" w:color="auto"/>
            <w:right w:val="none" w:sz="0" w:space="0" w:color="auto"/>
          </w:divBdr>
        </w:div>
        <w:div w:id="1924870826">
          <w:marLeft w:val="0"/>
          <w:marRight w:val="0"/>
          <w:marTop w:val="0"/>
          <w:marBottom w:val="0"/>
          <w:divBdr>
            <w:top w:val="none" w:sz="0" w:space="0" w:color="auto"/>
            <w:left w:val="none" w:sz="0" w:space="0" w:color="auto"/>
            <w:bottom w:val="none" w:sz="0" w:space="0" w:color="auto"/>
            <w:right w:val="none" w:sz="0" w:space="0" w:color="auto"/>
          </w:divBdr>
        </w:div>
        <w:div w:id="1993949062">
          <w:marLeft w:val="0"/>
          <w:marRight w:val="0"/>
          <w:marTop w:val="0"/>
          <w:marBottom w:val="0"/>
          <w:divBdr>
            <w:top w:val="none" w:sz="0" w:space="0" w:color="auto"/>
            <w:left w:val="none" w:sz="0" w:space="0" w:color="auto"/>
            <w:bottom w:val="none" w:sz="0" w:space="0" w:color="auto"/>
            <w:right w:val="none" w:sz="0" w:space="0" w:color="auto"/>
          </w:divBdr>
        </w:div>
      </w:divsChild>
    </w:div>
    <w:div w:id="362748855">
      <w:bodyDiv w:val="1"/>
      <w:marLeft w:val="0"/>
      <w:marRight w:val="0"/>
      <w:marTop w:val="0"/>
      <w:marBottom w:val="0"/>
      <w:divBdr>
        <w:top w:val="none" w:sz="0" w:space="0" w:color="auto"/>
        <w:left w:val="none" w:sz="0" w:space="0" w:color="auto"/>
        <w:bottom w:val="none" w:sz="0" w:space="0" w:color="auto"/>
        <w:right w:val="none" w:sz="0" w:space="0" w:color="auto"/>
      </w:divBdr>
      <w:divsChild>
        <w:div w:id="164900634">
          <w:marLeft w:val="0"/>
          <w:marRight w:val="0"/>
          <w:marTop w:val="0"/>
          <w:marBottom w:val="0"/>
          <w:divBdr>
            <w:top w:val="none" w:sz="0" w:space="0" w:color="auto"/>
            <w:left w:val="none" w:sz="0" w:space="0" w:color="auto"/>
            <w:bottom w:val="none" w:sz="0" w:space="0" w:color="auto"/>
            <w:right w:val="none" w:sz="0" w:space="0" w:color="auto"/>
          </w:divBdr>
        </w:div>
      </w:divsChild>
    </w:div>
    <w:div w:id="362902775">
      <w:bodyDiv w:val="1"/>
      <w:marLeft w:val="0"/>
      <w:marRight w:val="0"/>
      <w:marTop w:val="0"/>
      <w:marBottom w:val="0"/>
      <w:divBdr>
        <w:top w:val="none" w:sz="0" w:space="0" w:color="auto"/>
        <w:left w:val="none" w:sz="0" w:space="0" w:color="auto"/>
        <w:bottom w:val="none" w:sz="0" w:space="0" w:color="auto"/>
        <w:right w:val="none" w:sz="0" w:space="0" w:color="auto"/>
      </w:divBdr>
    </w:div>
    <w:div w:id="363676147">
      <w:bodyDiv w:val="1"/>
      <w:marLeft w:val="0"/>
      <w:marRight w:val="0"/>
      <w:marTop w:val="0"/>
      <w:marBottom w:val="0"/>
      <w:divBdr>
        <w:top w:val="none" w:sz="0" w:space="0" w:color="auto"/>
        <w:left w:val="none" w:sz="0" w:space="0" w:color="auto"/>
        <w:bottom w:val="none" w:sz="0" w:space="0" w:color="auto"/>
        <w:right w:val="none" w:sz="0" w:space="0" w:color="auto"/>
      </w:divBdr>
    </w:div>
    <w:div w:id="366178842">
      <w:bodyDiv w:val="1"/>
      <w:marLeft w:val="0"/>
      <w:marRight w:val="0"/>
      <w:marTop w:val="0"/>
      <w:marBottom w:val="0"/>
      <w:divBdr>
        <w:top w:val="none" w:sz="0" w:space="0" w:color="auto"/>
        <w:left w:val="none" w:sz="0" w:space="0" w:color="auto"/>
        <w:bottom w:val="none" w:sz="0" w:space="0" w:color="auto"/>
        <w:right w:val="none" w:sz="0" w:space="0" w:color="auto"/>
      </w:divBdr>
    </w:div>
    <w:div w:id="397631674">
      <w:bodyDiv w:val="1"/>
      <w:marLeft w:val="0"/>
      <w:marRight w:val="0"/>
      <w:marTop w:val="0"/>
      <w:marBottom w:val="0"/>
      <w:divBdr>
        <w:top w:val="none" w:sz="0" w:space="0" w:color="auto"/>
        <w:left w:val="none" w:sz="0" w:space="0" w:color="auto"/>
        <w:bottom w:val="none" w:sz="0" w:space="0" w:color="auto"/>
        <w:right w:val="none" w:sz="0" w:space="0" w:color="auto"/>
      </w:divBdr>
      <w:divsChild>
        <w:div w:id="61755148">
          <w:marLeft w:val="994"/>
          <w:marRight w:val="0"/>
          <w:marTop w:val="86"/>
          <w:marBottom w:val="0"/>
          <w:divBdr>
            <w:top w:val="none" w:sz="0" w:space="0" w:color="auto"/>
            <w:left w:val="none" w:sz="0" w:space="0" w:color="auto"/>
            <w:bottom w:val="none" w:sz="0" w:space="0" w:color="auto"/>
            <w:right w:val="none" w:sz="0" w:space="0" w:color="auto"/>
          </w:divBdr>
        </w:div>
        <w:div w:id="102501478">
          <w:marLeft w:val="994"/>
          <w:marRight w:val="0"/>
          <w:marTop w:val="0"/>
          <w:marBottom w:val="0"/>
          <w:divBdr>
            <w:top w:val="none" w:sz="0" w:space="0" w:color="auto"/>
            <w:left w:val="none" w:sz="0" w:space="0" w:color="auto"/>
            <w:bottom w:val="none" w:sz="0" w:space="0" w:color="auto"/>
            <w:right w:val="none" w:sz="0" w:space="0" w:color="auto"/>
          </w:divBdr>
        </w:div>
        <w:div w:id="157312134">
          <w:marLeft w:val="274"/>
          <w:marRight w:val="0"/>
          <w:marTop w:val="86"/>
          <w:marBottom w:val="0"/>
          <w:divBdr>
            <w:top w:val="none" w:sz="0" w:space="0" w:color="auto"/>
            <w:left w:val="none" w:sz="0" w:space="0" w:color="auto"/>
            <w:bottom w:val="none" w:sz="0" w:space="0" w:color="auto"/>
            <w:right w:val="none" w:sz="0" w:space="0" w:color="auto"/>
          </w:divBdr>
        </w:div>
        <w:div w:id="207424899">
          <w:marLeft w:val="274"/>
          <w:marRight w:val="0"/>
          <w:marTop w:val="0"/>
          <w:marBottom w:val="0"/>
          <w:divBdr>
            <w:top w:val="none" w:sz="0" w:space="0" w:color="auto"/>
            <w:left w:val="none" w:sz="0" w:space="0" w:color="auto"/>
            <w:bottom w:val="none" w:sz="0" w:space="0" w:color="auto"/>
            <w:right w:val="none" w:sz="0" w:space="0" w:color="auto"/>
          </w:divBdr>
        </w:div>
        <w:div w:id="537857936">
          <w:marLeft w:val="274"/>
          <w:marRight w:val="0"/>
          <w:marTop w:val="0"/>
          <w:marBottom w:val="0"/>
          <w:divBdr>
            <w:top w:val="none" w:sz="0" w:space="0" w:color="auto"/>
            <w:left w:val="none" w:sz="0" w:space="0" w:color="auto"/>
            <w:bottom w:val="none" w:sz="0" w:space="0" w:color="auto"/>
            <w:right w:val="none" w:sz="0" w:space="0" w:color="auto"/>
          </w:divBdr>
        </w:div>
        <w:div w:id="919602727">
          <w:marLeft w:val="994"/>
          <w:marRight w:val="0"/>
          <w:marTop w:val="86"/>
          <w:marBottom w:val="0"/>
          <w:divBdr>
            <w:top w:val="none" w:sz="0" w:space="0" w:color="auto"/>
            <w:left w:val="none" w:sz="0" w:space="0" w:color="auto"/>
            <w:bottom w:val="none" w:sz="0" w:space="0" w:color="auto"/>
            <w:right w:val="none" w:sz="0" w:space="0" w:color="auto"/>
          </w:divBdr>
        </w:div>
        <w:div w:id="960964312">
          <w:marLeft w:val="274"/>
          <w:marRight w:val="0"/>
          <w:marTop w:val="0"/>
          <w:marBottom w:val="0"/>
          <w:divBdr>
            <w:top w:val="none" w:sz="0" w:space="0" w:color="auto"/>
            <w:left w:val="none" w:sz="0" w:space="0" w:color="auto"/>
            <w:bottom w:val="none" w:sz="0" w:space="0" w:color="auto"/>
            <w:right w:val="none" w:sz="0" w:space="0" w:color="auto"/>
          </w:divBdr>
        </w:div>
        <w:div w:id="1065449773">
          <w:marLeft w:val="274"/>
          <w:marRight w:val="0"/>
          <w:marTop w:val="0"/>
          <w:marBottom w:val="0"/>
          <w:divBdr>
            <w:top w:val="none" w:sz="0" w:space="0" w:color="auto"/>
            <w:left w:val="none" w:sz="0" w:space="0" w:color="auto"/>
            <w:bottom w:val="none" w:sz="0" w:space="0" w:color="auto"/>
            <w:right w:val="none" w:sz="0" w:space="0" w:color="auto"/>
          </w:divBdr>
        </w:div>
        <w:div w:id="1087919235">
          <w:marLeft w:val="274"/>
          <w:marRight w:val="0"/>
          <w:marTop w:val="0"/>
          <w:marBottom w:val="0"/>
          <w:divBdr>
            <w:top w:val="none" w:sz="0" w:space="0" w:color="auto"/>
            <w:left w:val="none" w:sz="0" w:space="0" w:color="auto"/>
            <w:bottom w:val="none" w:sz="0" w:space="0" w:color="auto"/>
            <w:right w:val="none" w:sz="0" w:space="0" w:color="auto"/>
          </w:divBdr>
        </w:div>
        <w:div w:id="1140222481">
          <w:marLeft w:val="274"/>
          <w:marRight w:val="0"/>
          <w:marTop w:val="86"/>
          <w:marBottom w:val="0"/>
          <w:divBdr>
            <w:top w:val="none" w:sz="0" w:space="0" w:color="auto"/>
            <w:left w:val="none" w:sz="0" w:space="0" w:color="auto"/>
            <w:bottom w:val="none" w:sz="0" w:space="0" w:color="auto"/>
            <w:right w:val="none" w:sz="0" w:space="0" w:color="auto"/>
          </w:divBdr>
        </w:div>
        <w:div w:id="1479609248">
          <w:marLeft w:val="274"/>
          <w:marRight w:val="0"/>
          <w:marTop w:val="0"/>
          <w:marBottom w:val="0"/>
          <w:divBdr>
            <w:top w:val="none" w:sz="0" w:space="0" w:color="auto"/>
            <w:left w:val="none" w:sz="0" w:space="0" w:color="auto"/>
            <w:bottom w:val="none" w:sz="0" w:space="0" w:color="auto"/>
            <w:right w:val="none" w:sz="0" w:space="0" w:color="auto"/>
          </w:divBdr>
        </w:div>
        <w:div w:id="1779836838">
          <w:marLeft w:val="994"/>
          <w:marRight w:val="0"/>
          <w:marTop w:val="0"/>
          <w:marBottom w:val="0"/>
          <w:divBdr>
            <w:top w:val="none" w:sz="0" w:space="0" w:color="auto"/>
            <w:left w:val="none" w:sz="0" w:space="0" w:color="auto"/>
            <w:bottom w:val="none" w:sz="0" w:space="0" w:color="auto"/>
            <w:right w:val="none" w:sz="0" w:space="0" w:color="auto"/>
          </w:divBdr>
        </w:div>
        <w:div w:id="1889296915">
          <w:marLeft w:val="274"/>
          <w:marRight w:val="0"/>
          <w:marTop w:val="0"/>
          <w:marBottom w:val="0"/>
          <w:divBdr>
            <w:top w:val="none" w:sz="0" w:space="0" w:color="auto"/>
            <w:left w:val="none" w:sz="0" w:space="0" w:color="auto"/>
            <w:bottom w:val="none" w:sz="0" w:space="0" w:color="auto"/>
            <w:right w:val="none" w:sz="0" w:space="0" w:color="auto"/>
          </w:divBdr>
        </w:div>
        <w:div w:id="2099860510">
          <w:marLeft w:val="274"/>
          <w:marRight w:val="0"/>
          <w:marTop w:val="0"/>
          <w:marBottom w:val="0"/>
          <w:divBdr>
            <w:top w:val="none" w:sz="0" w:space="0" w:color="auto"/>
            <w:left w:val="none" w:sz="0" w:space="0" w:color="auto"/>
            <w:bottom w:val="none" w:sz="0" w:space="0" w:color="auto"/>
            <w:right w:val="none" w:sz="0" w:space="0" w:color="auto"/>
          </w:divBdr>
        </w:div>
      </w:divsChild>
    </w:div>
    <w:div w:id="435710719">
      <w:bodyDiv w:val="1"/>
      <w:marLeft w:val="0"/>
      <w:marRight w:val="0"/>
      <w:marTop w:val="0"/>
      <w:marBottom w:val="0"/>
      <w:divBdr>
        <w:top w:val="none" w:sz="0" w:space="0" w:color="auto"/>
        <w:left w:val="none" w:sz="0" w:space="0" w:color="auto"/>
        <w:bottom w:val="none" w:sz="0" w:space="0" w:color="auto"/>
        <w:right w:val="none" w:sz="0" w:space="0" w:color="auto"/>
      </w:divBdr>
      <w:divsChild>
        <w:div w:id="227300513">
          <w:marLeft w:val="0"/>
          <w:marRight w:val="0"/>
          <w:marTop w:val="0"/>
          <w:marBottom w:val="0"/>
          <w:divBdr>
            <w:top w:val="none" w:sz="0" w:space="0" w:color="auto"/>
            <w:left w:val="none" w:sz="0" w:space="0" w:color="auto"/>
            <w:bottom w:val="none" w:sz="0" w:space="0" w:color="auto"/>
            <w:right w:val="none" w:sz="0" w:space="0" w:color="auto"/>
          </w:divBdr>
        </w:div>
        <w:div w:id="1031036608">
          <w:marLeft w:val="0"/>
          <w:marRight w:val="0"/>
          <w:marTop w:val="0"/>
          <w:marBottom w:val="0"/>
          <w:divBdr>
            <w:top w:val="none" w:sz="0" w:space="0" w:color="auto"/>
            <w:left w:val="none" w:sz="0" w:space="0" w:color="auto"/>
            <w:bottom w:val="none" w:sz="0" w:space="0" w:color="auto"/>
            <w:right w:val="none" w:sz="0" w:space="0" w:color="auto"/>
          </w:divBdr>
        </w:div>
      </w:divsChild>
    </w:div>
    <w:div w:id="435832959">
      <w:bodyDiv w:val="1"/>
      <w:marLeft w:val="0"/>
      <w:marRight w:val="0"/>
      <w:marTop w:val="0"/>
      <w:marBottom w:val="0"/>
      <w:divBdr>
        <w:top w:val="none" w:sz="0" w:space="0" w:color="auto"/>
        <w:left w:val="none" w:sz="0" w:space="0" w:color="auto"/>
        <w:bottom w:val="none" w:sz="0" w:space="0" w:color="auto"/>
        <w:right w:val="none" w:sz="0" w:space="0" w:color="auto"/>
      </w:divBdr>
      <w:divsChild>
        <w:div w:id="57634811">
          <w:marLeft w:val="0"/>
          <w:marRight w:val="0"/>
          <w:marTop w:val="0"/>
          <w:marBottom w:val="0"/>
          <w:divBdr>
            <w:top w:val="none" w:sz="0" w:space="0" w:color="auto"/>
            <w:left w:val="none" w:sz="0" w:space="0" w:color="auto"/>
            <w:bottom w:val="none" w:sz="0" w:space="0" w:color="auto"/>
            <w:right w:val="none" w:sz="0" w:space="0" w:color="auto"/>
          </w:divBdr>
        </w:div>
        <w:div w:id="272639219">
          <w:marLeft w:val="0"/>
          <w:marRight w:val="0"/>
          <w:marTop w:val="0"/>
          <w:marBottom w:val="0"/>
          <w:divBdr>
            <w:top w:val="none" w:sz="0" w:space="0" w:color="auto"/>
            <w:left w:val="none" w:sz="0" w:space="0" w:color="auto"/>
            <w:bottom w:val="none" w:sz="0" w:space="0" w:color="auto"/>
            <w:right w:val="none" w:sz="0" w:space="0" w:color="auto"/>
          </w:divBdr>
        </w:div>
        <w:div w:id="338701494">
          <w:marLeft w:val="0"/>
          <w:marRight w:val="0"/>
          <w:marTop w:val="0"/>
          <w:marBottom w:val="0"/>
          <w:divBdr>
            <w:top w:val="none" w:sz="0" w:space="0" w:color="auto"/>
            <w:left w:val="none" w:sz="0" w:space="0" w:color="auto"/>
            <w:bottom w:val="none" w:sz="0" w:space="0" w:color="auto"/>
            <w:right w:val="none" w:sz="0" w:space="0" w:color="auto"/>
          </w:divBdr>
        </w:div>
        <w:div w:id="505899576">
          <w:marLeft w:val="0"/>
          <w:marRight w:val="0"/>
          <w:marTop w:val="0"/>
          <w:marBottom w:val="0"/>
          <w:divBdr>
            <w:top w:val="none" w:sz="0" w:space="0" w:color="auto"/>
            <w:left w:val="none" w:sz="0" w:space="0" w:color="auto"/>
            <w:bottom w:val="none" w:sz="0" w:space="0" w:color="auto"/>
            <w:right w:val="none" w:sz="0" w:space="0" w:color="auto"/>
          </w:divBdr>
        </w:div>
        <w:div w:id="506212036">
          <w:marLeft w:val="0"/>
          <w:marRight w:val="0"/>
          <w:marTop w:val="0"/>
          <w:marBottom w:val="0"/>
          <w:divBdr>
            <w:top w:val="none" w:sz="0" w:space="0" w:color="auto"/>
            <w:left w:val="none" w:sz="0" w:space="0" w:color="auto"/>
            <w:bottom w:val="none" w:sz="0" w:space="0" w:color="auto"/>
            <w:right w:val="none" w:sz="0" w:space="0" w:color="auto"/>
          </w:divBdr>
        </w:div>
        <w:div w:id="547647113">
          <w:marLeft w:val="0"/>
          <w:marRight w:val="0"/>
          <w:marTop w:val="0"/>
          <w:marBottom w:val="0"/>
          <w:divBdr>
            <w:top w:val="none" w:sz="0" w:space="0" w:color="auto"/>
            <w:left w:val="none" w:sz="0" w:space="0" w:color="auto"/>
            <w:bottom w:val="none" w:sz="0" w:space="0" w:color="auto"/>
            <w:right w:val="none" w:sz="0" w:space="0" w:color="auto"/>
          </w:divBdr>
        </w:div>
        <w:div w:id="665401256">
          <w:marLeft w:val="0"/>
          <w:marRight w:val="0"/>
          <w:marTop w:val="0"/>
          <w:marBottom w:val="0"/>
          <w:divBdr>
            <w:top w:val="none" w:sz="0" w:space="0" w:color="auto"/>
            <w:left w:val="none" w:sz="0" w:space="0" w:color="auto"/>
            <w:bottom w:val="none" w:sz="0" w:space="0" w:color="auto"/>
            <w:right w:val="none" w:sz="0" w:space="0" w:color="auto"/>
          </w:divBdr>
        </w:div>
        <w:div w:id="826747972">
          <w:marLeft w:val="0"/>
          <w:marRight w:val="0"/>
          <w:marTop w:val="0"/>
          <w:marBottom w:val="0"/>
          <w:divBdr>
            <w:top w:val="none" w:sz="0" w:space="0" w:color="auto"/>
            <w:left w:val="none" w:sz="0" w:space="0" w:color="auto"/>
            <w:bottom w:val="none" w:sz="0" w:space="0" w:color="auto"/>
            <w:right w:val="none" w:sz="0" w:space="0" w:color="auto"/>
          </w:divBdr>
        </w:div>
        <w:div w:id="847673058">
          <w:marLeft w:val="0"/>
          <w:marRight w:val="0"/>
          <w:marTop w:val="0"/>
          <w:marBottom w:val="0"/>
          <w:divBdr>
            <w:top w:val="none" w:sz="0" w:space="0" w:color="auto"/>
            <w:left w:val="none" w:sz="0" w:space="0" w:color="auto"/>
            <w:bottom w:val="none" w:sz="0" w:space="0" w:color="auto"/>
            <w:right w:val="none" w:sz="0" w:space="0" w:color="auto"/>
          </w:divBdr>
        </w:div>
        <w:div w:id="864447470">
          <w:marLeft w:val="0"/>
          <w:marRight w:val="0"/>
          <w:marTop w:val="0"/>
          <w:marBottom w:val="0"/>
          <w:divBdr>
            <w:top w:val="none" w:sz="0" w:space="0" w:color="auto"/>
            <w:left w:val="none" w:sz="0" w:space="0" w:color="auto"/>
            <w:bottom w:val="none" w:sz="0" w:space="0" w:color="auto"/>
            <w:right w:val="none" w:sz="0" w:space="0" w:color="auto"/>
          </w:divBdr>
        </w:div>
        <w:div w:id="1372996178">
          <w:marLeft w:val="0"/>
          <w:marRight w:val="0"/>
          <w:marTop w:val="0"/>
          <w:marBottom w:val="0"/>
          <w:divBdr>
            <w:top w:val="none" w:sz="0" w:space="0" w:color="auto"/>
            <w:left w:val="none" w:sz="0" w:space="0" w:color="auto"/>
            <w:bottom w:val="none" w:sz="0" w:space="0" w:color="auto"/>
            <w:right w:val="none" w:sz="0" w:space="0" w:color="auto"/>
          </w:divBdr>
        </w:div>
        <w:div w:id="1447576003">
          <w:marLeft w:val="0"/>
          <w:marRight w:val="0"/>
          <w:marTop w:val="0"/>
          <w:marBottom w:val="0"/>
          <w:divBdr>
            <w:top w:val="none" w:sz="0" w:space="0" w:color="auto"/>
            <w:left w:val="none" w:sz="0" w:space="0" w:color="auto"/>
            <w:bottom w:val="none" w:sz="0" w:space="0" w:color="auto"/>
            <w:right w:val="none" w:sz="0" w:space="0" w:color="auto"/>
          </w:divBdr>
        </w:div>
        <w:div w:id="1893539133">
          <w:marLeft w:val="0"/>
          <w:marRight w:val="0"/>
          <w:marTop w:val="0"/>
          <w:marBottom w:val="0"/>
          <w:divBdr>
            <w:top w:val="none" w:sz="0" w:space="0" w:color="auto"/>
            <w:left w:val="none" w:sz="0" w:space="0" w:color="auto"/>
            <w:bottom w:val="none" w:sz="0" w:space="0" w:color="auto"/>
            <w:right w:val="none" w:sz="0" w:space="0" w:color="auto"/>
          </w:divBdr>
        </w:div>
      </w:divsChild>
    </w:div>
    <w:div w:id="464199268">
      <w:bodyDiv w:val="1"/>
      <w:marLeft w:val="0"/>
      <w:marRight w:val="0"/>
      <w:marTop w:val="0"/>
      <w:marBottom w:val="0"/>
      <w:divBdr>
        <w:top w:val="none" w:sz="0" w:space="0" w:color="auto"/>
        <w:left w:val="none" w:sz="0" w:space="0" w:color="auto"/>
        <w:bottom w:val="none" w:sz="0" w:space="0" w:color="auto"/>
        <w:right w:val="none" w:sz="0" w:space="0" w:color="auto"/>
      </w:divBdr>
      <w:divsChild>
        <w:div w:id="224949780">
          <w:marLeft w:val="274"/>
          <w:marRight w:val="0"/>
          <w:marTop w:val="0"/>
          <w:marBottom w:val="0"/>
          <w:divBdr>
            <w:top w:val="none" w:sz="0" w:space="0" w:color="auto"/>
            <w:left w:val="none" w:sz="0" w:space="0" w:color="auto"/>
            <w:bottom w:val="none" w:sz="0" w:space="0" w:color="auto"/>
            <w:right w:val="none" w:sz="0" w:space="0" w:color="auto"/>
          </w:divBdr>
        </w:div>
        <w:div w:id="593634705">
          <w:marLeft w:val="274"/>
          <w:marRight w:val="0"/>
          <w:marTop w:val="0"/>
          <w:marBottom w:val="0"/>
          <w:divBdr>
            <w:top w:val="none" w:sz="0" w:space="0" w:color="auto"/>
            <w:left w:val="none" w:sz="0" w:space="0" w:color="auto"/>
            <w:bottom w:val="none" w:sz="0" w:space="0" w:color="auto"/>
            <w:right w:val="none" w:sz="0" w:space="0" w:color="auto"/>
          </w:divBdr>
        </w:div>
        <w:div w:id="1100101583">
          <w:marLeft w:val="274"/>
          <w:marRight w:val="0"/>
          <w:marTop w:val="0"/>
          <w:marBottom w:val="0"/>
          <w:divBdr>
            <w:top w:val="none" w:sz="0" w:space="0" w:color="auto"/>
            <w:left w:val="none" w:sz="0" w:space="0" w:color="auto"/>
            <w:bottom w:val="none" w:sz="0" w:space="0" w:color="auto"/>
            <w:right w:val="none" w:sz="0" w:space="0" w:color="auto"/>
          </w:divBdr>
        </w:div>
        <w:div w:id="1272324190">
          <w:marLeft w:val="274"/>
          <w:marRight w:val="0"/>
          <w:marTop w:val="0"/>
          <w:marBottom w:val="0"/>
          <w:divBdr>
            <w:top w:val="none" w:sz="0" w:space="0" w:color="auto"/>
            <w:left w:val="none" w:sz="0" w:space="0" w:color="auto"/>
            <w:bottom w:val="none" w:sz="0" w:space="0" w:color="auto"/>
            <w:right w:val="none" w:sz="0" w:space="0" w:color="auto"/>
          </w:divBdr>
        </w:div>
        <w:div w:id="1300960981">
          <w:marLeft w:val="274"/>
          <w:marRight w:val="0"/>
          <w:marTop w:val="0"/>
          <w:marBottom w:val="0"/>
          <w:divBdr>
            <w:top w:val="none" w:sz="0" w:space="0" w:color="auto"/>
            <w:left w:val="none" w:sz="0" w:space="0" w:color="auto"/>
            <w:bottom w:val="none" w:sz="0" w:space="0" w:color="auto"/>
            <w:right w:val="none" w:sz="0" w:space="0" w:color="auto"/>
          </w:divBdr>
        </w:div>
      </w:divsChild>
    </w:div>
    <w:div w:id="465398614">
      <w:bodyDiv w:val="1"/>
      <w:marLeft w:val="0"/>
      <w:marRight w:val="0"/>
      <w:marTop w:val="0"/>
      <w:marBottom w:val="0"/>
      <w:divBdr>
        <w:top w:val="none" w:sz="0" w:space="0" w:color="auto"/>
        <w:left w:val="none" w:sz="0" w:space="0" w:color="auto"/>
        <w:bottom w:val="none" w:sz="0" w:space="0" w:color="auto"/>
        <w:right w:val="none" w:sz="0" w:space="0" w:color="auto"/>
      </w:divBdr>
      <w:divsChild>
        <w:div w:id="219364615">
          <w:marLeft w:val="0"/>
          <w:marRight w:val="0"/>
          <w:marTop w:val="0"/>
          <w:marBottom w:val="0"/>
          <w:divBdr>
            <w:top w:val="none" w:sz="0" w:space="0" w:color="auto"/>
            <w:left w:val="none" w:sz="0" w:space="0" w:color="auto"/>
            <w:bottom w:val="none" w:sz="0" w:space="0" w:color="auto"/>
            <w:right w:val="none" w:sz="0" w:space="0" w:color="auto"/>
          </w:divBdr>
        </w:div>
        <w:div w:id="338191484">
          <w:marLeft w:val="0"/>
          <w:marRight w:val="0"/>
          <w:marTop w:val="0"/>
          <w:marBottom w:val="0"/>
          <w:divBdr>
            <w:top w:val="none" w:sz="0" w:space="0" w:color="auto"/>
            <w:left w:val="none" w:sz="0" w:space="0" w:color="auto"/>
            <w:bottom w:val="none" w:sz="0" w:space="0" w:color="auto"/>
            <w:right w:val="none" w:sz="0" w:space="0" w:color="auto"/>
          </w:divBdr>
        </w:div>
        <w:div w:id="414278723">
          <w:marLeft w:val="0"/>
          <w:marRight w:val="0"/>
          <w:marTop w:val="0"/>
          <w:marBottom w:val="0"/>
          <w:divBdr>
            <w:top w:val="none" w:sz="0" w:space="0" w:color="auto"/>
            <w:left w:val="none" w:sz="0" w:space="0" w:color="auto"/>
            <w:bottom w:val="none" w:sz="0" w:space="0" w:color="auto"/>
            <w:right w:val="none" w:sz="0" w:space="0" w:color="auto"/>
          </w:divBdr>
        </w:div>
        <w:div w:id="421686817">
          <w:marLeft w:val="0"/>
          <w:marRight w:val="0"/>
          <w:marTop w:val="0"/>
          <w:marBottom w:val="0"/>
          <w:divBdr>
            <w:top w:val="none" w:sz="0" w:space="0" w:color="auto"/>
            <w:left w:val="none" w:sz="0" w:space="0" w:color="auto"/>
            <w:bottom w:val="none" w:sz="0" w:space="0" w:color="auto"/>
            <w:right w:val="none" w:sz="0" w:space="0" w:color="auto"/>
          </w:divBdr>
        </w:div>
        <w:div w:id="535851622">
          <w:marLeft w:val="0"/>
          <w:marRight w:val="0"/>
          <w:marTop w:val="0"/>
          <w:marBottom w:val="0"/>
          <w:divBdr>
            <w:top w:val="none" w:sz="0" w:space="0" w:color="auto"/>
            <w:left w:val="none" w:sz="0" w:space="0" w:color="auto"/>
            <w:bottom w:val="none" w:sz="0" w:space="0" w:color="auto"/>
            <w:right w:val="none" w:sz="0" w:space="0" w:color="auto"/>
          </w:divBdr>
        </w:div>
        <w:div w:id="1057126442">
          <w:marLeft w:val="0"/>
          <w:marRight w:val="0"/>
          <w:marTop w:val="0"/>
          <w:marBottom w:val="0"/>
          <w:divBdr>
            <w:top w:val="none" w:sz="0" w:space="0" w:color="auto"/>
            <w:left w:val="none" w:sz="0" w:space="0" w:color="auto"/>
            <w:bottom w:val="none" w:sz="0" w:space="0" w:color="auto"/>
            <w:right w:val="none" w:sz="0" w:space="0" w:color="auto"/>
          </w:divBdr>
        </w:div>
        <w:div w:id="1495996717">
          <w:marLeft w:val="0"/>
          <w:marRight w:val="0"/>
          <w:marTop w:val="0"/>
          <w:marBottom w:val="0"/>
          <w:divBdr>
            <w:top w:val="none" w:sz="0" w:space="0" w:color="auto"/>
            <w:left w:val="none" w:sz="0" w:space="0" w:color="auto"/>
            <w:bottom w:val="none" w:sz="0" w:space="0" w:color="auto"/>
            <w:right w:val="none" w:sz="0" w:space="0" w:color="auto"/>
          </w:divBdr>
        </w:div>
        <w:div w:id="1779639930">
          <w:marLeft w:val="0"/>
          <w:marRight w:val="0"/>
          <w:marTop w:val="0"/>
          <w:marBottom w:val="0"/>
          <w:divBdr>
            <w:top w:val="none" w:sz="0" w:space="0" w:color="auto"/>
            <w:left w:val="none" w:sz="0" w:space="0" w:color="auto"/>
            <w:bottom w:val="none" w:sz="0" w:space="0" w:color="auto"/>
            <w:right w:val="none" w:sz="0" w:space="0" w:color="auto"/>
          </w:divBdr>
        </w:div>
        <w:div w:id="1846282343">
          <w:marLeft w:val="0"/>
          <w:marRight w:val="0"/>
          <w:marTop w:val="0"/>
          <w:marBottom w:val="0"/>
          <w:divBdr>
            <w:top w:val="none" w:sz="0" w:space="0" w:color="auto"/>
            <w:left w:val="none" w:sz="0" w:space="0" w:color="auto"/>
            <w:bottom w:val="none" w:sz="0" w:space="0" w:color="auto"/>
            <w:right w:val="none" w:sz="0" w:space="0" w:color="auto"/>
          </w:divBdr>
        </w:div>
        <w:div w:id="2011060257">
          <w:marLeft w:val="0"/>
          <w:marRight w:val="0"/>
          <w:marTop w:val="0"/>
          <w:marBottom w:val="0"/>
          <w:divBdr>
            <w:top w:val="none" w:sz="0" w:space="0" w:color="auto"/>
            <w:left w:val="none" w:sz="0" w:space="0" w:color="auto"/>
            <w:bottom w:val="none" w:sz="0" w:space="0" w:color="auto"/>
            <w:right w:val="none" w:sz="0" w:space="0" w:color="auto"/>
          </w:divBdr>
        </w:div>
        <w:div w:id="2011591358">
          <w:marLeft w:val="0"/>
          <w:marRight w:val="0"/>
          <w:marTop w:val="0"/>
          <w:marBottom w:val="0"/>
          <w:divBdr>
            <w:top w:val="none" w:sz="0" w:space="0" w:color="auto"/>
            <w:left w:val="none" w:sz="0" w:space="0" w:color="auto"/>
            <w:bottom w:val="none" w:sz="0" w:space="0" w:color="auto"/>
            <w:right w:val="none" w:sz="0" w:space="0" w:color="auto"/>
          </w:divBdr>
        </w:div>
        <w:div w:id="2062900033">
          <w:marLeft w:val="0"/>
          <w:marRight w:val="0"/>
          <w:marTop w:val="0"/>
          <w:marBottom w:val="0"/>
          <w:divBdr>
            <w:top w:val="none" w:sz="0" w:space="0" w:color="auto"/>
            <w:left w:val="none" w:sz="0" w:space="0" w:color="auto"/>
            <w:bottom w:val="none" w:sz="0" w:space="0" w:color="auto"/>
            <w:right w:val="none" w:sz="0" w:space="0" w:color="auto"/>
          </w:divBdr>
        </w:div>
      </w:divsChild>
    </w:div>
    <w:div w:id="467667547">
      <w:bodyDiv w:val="1"/>
      <w:marLeft w:val="0"/>
      <w:marRight w:val="0"/>
      <w:marTop w:val="0"/>
      <w:marBottom w:val="0"/>
      <w:divBdr>
        <w:top w:val="none" w:sz="0" w:space="0" w:color="auto"/>
        <w:left w:val="none" w:sz="0" w:space="0" w:color="auto"/>
        <w:bottom w:val="none" w:sz="0" w:space="0" w:color="auto"/>
        <w:right w:val="none" w:sz="0" w:space="0" w:color="auto"/>
      </w:divBdr>
    </w:div>
    <w:div w:id="495145405">
      <w:bodyDiv w:val="1"/>
      <w:marLeft w:val="0"/>
      <w:marRight w:val="0"/>
      <w:marTop w:val="0"/>
      <w:marBottom w:val="0"/>
      <w:divBdr>
        <w:top w:val="none" w:sz="0" w:space="0" w:color="auto"/>
        <w:left w:val="none" w:sz="0" w:space="0" w:color="auto"/>
        <w:bottom w:val="none" w:sz="0" w:space="0" w:color="auto"/>
        <w:right w:val="none" w:sz="0" w:space="0" w:color="auto"/>
      </w:divBdr>
    </w:div>
    <w:div w:id="513498179">
      <w:bodyDiv w:val="1"/>
      <w:marLeft w:val="0"/>
      <w:marRight w:val="0"/>
      <w:marTop w:val="0"/>
      <w:marBottom w:val="0"/>
      <w:divBdr>
        <w:top w:val="none" w:sz="0" w:space="0" w:color="auto"/>
        <w:left w:val="none" w:sz="0" w:space="0" w:color="auto"/>
        <w:bottom w:val="none" w:sz="0" w:space="0" w:color="auto"/>
        <w:right w:val="none" w:sz="0" w:space="0" w:color="auto"/>
      </w:divBdr>
    </w:div>
    <w:div w:id="518082513">
      <w:bodyDiv w:val="1"/>
      <w:marLeft w:val="0"/>
      <w:marRight w:val="0"/>
      <w:marTop w:val="0"/>
      <w:marBottom w:val="0"/>
      <w:divBdr>
        <w:top w:val="none" w:sz="0" w:space="0" w:color="auto"/>
        <w:left w:val="none" w:sz="0" w:space="0" w:color="auto"/>
        <w:bottom w:val="none" w:sz="0" w:space="0" w:color="auto"/>
        <w:right w:val="none" w:sz="0" w:space="0" w:color="auto"/>
      </w:divBdr>
      <w:divsChild>
        <w:div w:id="1118990443">
          <w:marLeft w:val="274"/>
          <w:marRight w:val="0"/>
          <w:marTop w:val="0"/>
          <w:marBottom w:val="0"/>
          <w:divBdr>
            <w:top w:val="none" w:sz="0" w:space="0" w:color="auto"/>
            <w:left w:val="none" w:sz="0" w:space="0" w:color="auto"/>
            <w:bottom w:val="none" w:sz="0" w:space="0" w:color="auto"/>
            <w:right w:val="none" w:sz="0" w:space="0" w:color="auto"/>
          </w:divBdr>
        </w:div>
        <w:div w:id="1365400494">
          <w:marLeft w:val="274"/>
          <w:marRight w:val="0"/>
          <w:marTop w:val="0"/>
          <w:marBottom w:val="0"/>
          <w:divBdr>
            <w:top w:val="none" w:sz="0" w:space="0" w:color="auto"/>
            <w:left w:val="none" w:sz="0" w:space="0" w:color="auto"/>
            <w:bottom w:val="none" w:sz="0" w:space="0" w:color="auto"/>
            <w:right w:val="none" w:sz="0" w:space="0" w:color="auto"/>
          </w:divBdr>
        </w:div>
        <w:div w:id="1407416550">
          <w:marLeft w:val="274"/>
          <w:marRight w:val="0"/>
          <w:marTop w:val="0"/>
          <w:marBottom w:val="0"/>
          <w:divBdr>
            <w:top w:val="none" w:sz="0" w:space="0" w:color="auto"/>
            <w:left w:val="none" w:sz="0" w:space="0" w:color="auto"/>
            <w:bottom w:val="none" w:sz="0" w:space="0" w:color="auto"/>
            <w:right w:val="none" w:sz="0" w:space="0" w:color="auto"/>
          </w:divBdr>
        </w:div>
        <w:div w:id="1630747093">
          <w:marLeft w:val="274"/>
          <w:marRight w:val="0"/>
          <w:marTop w:val="0"/>
          <w:marBottom w:val="0"/>
          <w:divBdr>
            <w:top w:val="none" w:sz="0" w:space="0" w:color="auto"/>
            <w:left w:val="none" w:sz="0" w:space="0" w:color="auto"/>
            <w:bottom w:val="none" w:sz="0" w:space="0" w:color="auto"/>
            <w:right w:val="none" w:sz="0" w:space="0" w:color="auto"/>
          </w:divBdr>
        </w:div>
        <w:div w:id="1799496273">
          <w:marLeft w:val="274"/>
          <w:marRight w:val="0"/>
          <w:marTop w:val="0"/>
          <w:marBottom w:val="0"/>
          <w:divBdr>
            <w:top w:val="none" w:sz="0" w:space="0" w:color="auto"/>
            <w:left w:val="none" w:sz="0" w:space="0" w:color="auto"/>
            <w:bottom w:val="none" w:sz="0" w:space="0" w:color="auto"/>
            <w:right w:val="none" w:sz="0" w:space="0" w:color="auto"/>
          </w:divBdr>
        </w:div>
      </w:divsChild>
    </w:div>
    <w:div w:id="548733308">
      <w:bodyDiv w:val="1"/>
      <w:marLeft w:val="0"/>
      <w:marRight w:val="0"/>
      <w:marTop w:val="0"/>
      <w:marBottom w:val="0"/>
      <w:divBdr>
        <w:top w:val="none" w:sz="0" w:space="0" w:color="auto"/>
        <w:left w:val="none" w:sz="0" w:space="0" w:color="auto"/>
        <w:bottom w:val="none" w:sz="0" w:space="0" w:color="auto"/>
        <w:right w:val="none" w:sz="0" w:space="0" w:color="auto"/>
      </w:divBdr>
      <w:divsChild>
        <w:div w:id="124088264">
          <w:marLeft w:val="0"/>
          <w:marRight w:val="0"/>
          <w:marTop w:val="0"/>
          <w:marBottom w:val="0"/>
          <w:divBdr>
            <w:top w:val="none" w:sz="0" w:space="0" w:color="auto"/>
            <w:left w:val="none" w:sz="0" w:space="0" w:color="auto"/>
            <w:bottom w:val="none" w:sz="0" w:space="0" w:color="auto"/>
            <w:right w:val="none" w:sz="0" w:space="0" w:color="auto"/>
          </w:divBdr>
        </w:div>
        <w:div w:id="124930941">
          <w:marLeft w:val="0"/>
          <w:marRight w:val="0"/>
          <w:marTop w:val="0"/>
          <w:marBottom w:val="0"/>
          <w:divBdr>
            <w:top w:val="none" w:sz="0" w:space="0" w:color="auto"/>
            <w:left w:val="none" w:sz="0" w:space="0" w:color="auto"/>
            <w:bottom w:val="none" w:sz="0" w:space="0" w:color="auto"/>
            <w:right w:val="none" w:sz="0" w:space="0" w:color="auto"/>
          </w:divBdr>
        </w:div>
        <w:div w:id="141776112">
          <w:marLeft w:val="0"/>
          <w:marRight w:val="0"/>
          <w:marTop w:val="0"/>
          <w:marBottom w:val="0"/>
          <w:divBdr>
            <w:top w:val="none" w:sz="0" w:space="0" w:color="auto"/>
            <w:left w:val="none" w:sz="0" w:space="0" w:color="auto"/>
            <w:bottom w:val="none" w:sz="0" w:space="0" w:color="auto"/>
            <w:right w:val="none" w:sz="0" w:space="0" w:color="auto"/>
          </w:divBdr>
        </w:div>
        <w:div w:id="569536473">
          <w:marLeft w:val="0"/>
          <w:marRight w:val="0"/>
          <w:marTop w:val="0"/>
          <w:marBottom w:val="0"/>
          <w:divBdr>
            <w:top w:val="none" w:sz="0" w:space="0" w:color="auto"/>
            <w:left w:val="none" w:sz="0" w:space="0" w:color="auto"/>
            <w:bottom w:val="none" w:sz="0" w:space="0" w:color="auto"/>
            <w:right w:val="none" w:sz="0" w:space="0" w:color="auto"/>
          </w:divBdr>
        </w:div>
      </w:divsChild>
    </w:div>
    <w:div w:id="555746610">
      <w:bodyDiv w:val="1"/>
      <w:marLeft w:val="0"/>
      <w:marRight w:val="0"/>
      <w:marTop w:val="0"/>
      <w:marBottom w:val="0"/>
      <w:divBdr>
        <w:top w:val="none" w:sz="0" w:space="0" w:color="auto"/>
        <w:left w:val="none" w:sz="0" w:space="0" w:color="auto"/>
        <w:bottom w:val="none" w:sz="0" w:space="0" w:color="auto"/>
        <w:right w:val="none" w:sz="0" w:space="0" w:color="auto"/>
      </w:divBdr>
      <w:divsChild>
        <w:div w:id="231157719">
          <w:marLeft w:val="0"/>
          <w:marRight w:val="0"/>
          <w:marTop w:val="0"/>
          <w:marBottom w:val="0"/>
          <w:divBdr>
            <w:top w:val="none" w:sz="0" w:space="0" w:color="auto"/>
            <w:left w:val="none" w:sz="0" w:space="0" w:color="auto"/>
            <w:bottom w:val="none" w:sz="0" w:space="0" w:color="auto"/>
            <w:right w:val="none" w:sz="0" w:space="0" w:color="auto"/>
          </w:divBdr>
        </w:div>
        <w:div w:id="361632183">
          <w:marLeft w:val="0"/>
          <w:marRight w:val="0"/>
          <w:marTop w:val="0"/>
          <w:marBottom w:val="0"/>
          <w:divBdr>
            <w:top w:val="none" w:sz="0" w:space="0" w:color="auto"/>
            <w:left w:val="none" w:sz="0" w:space="0" w:color="auto"/>
            <w:bottom w:val="none" w:sz="0" w:space="0" w:color="auto"/>
            <w:right w:val="none" w:sz="0" w:space="0" w:color="auto"/>
          </w:divBdr>
        </w:div>
        <w:div w:id="1324121920">
          <w:marLeft w:val="0"/>
          <w:marRight w:val="0"/>
          <w:marTop w:val="0"/>
          <w:marBottom w:val="0"/>
          <w:divBdr>
            <w:top w:val="none" w:sz="0" w:space="0" w:color="auto"/>
            <w:left w:val="none" w:sz="0" w:space="0" w:color="auto"/>
            <w:bottom w:val="none" w:sz="0" w:space="0" w:color="auto"/>
            <w:right w:val="none" w:sz="0" w:space="0" w:color="auto"/>
          </w:divBdr>
        </w:div>
        <w:div w:id="1690063281">
          <w:marLeft w:val="0"/>
          <w:marRight w:val="0"/>
          <w:marTop w:val="0"/>
          <w:marBottom w:val="0"/>
          <w:divBdr>
            <w:top w:val="none" w:sz="0" w:space="0" w:color="auto"/>
            <w:left w:val="none" w:sz="0" w:space="0" w:color="auto"/>
            <w:bottom w:val="none" w:sz="0" w:space="0" w:color="auto"/>
            <w:right w:val="none" w:sz="0" w:space="0" w:color="auto"/>
          </w:divBdr>
        </w:div>
        <w:div w:id="1931424103">
          <w:marLeft w:val="0"/>
          <w:marRight w:val="0"/>
          <w:marTop w:val="0"/>
          <w:marBottom w:val="0"/>
          <w:divBdr>
            <w:top w:val="none" w:sz="0" w:space="0" w:color="auto"/>
            <w:left w:val="none" w:sz="0" w:space="0" w:color="auto"/>
            <w:bottom w:val="none" w:sz="0" w:space="0" w:color="auto"/>
            <w:right w:val="none" w:sz="0" w:space="0" w:color="auto"/>
          </w:divBdr>
        </w:div>
      </w:divsChild>
    </w:div>
    <w:div w:id="556401370">
      <w:bodyDiv w:val="1"/>
      <w:marLeft w:val="0"/>
      <w:marRight w:val="0"/>
      <w:marTop w:val="0"/>
      <w:marBottom w:val="0"/>
      <w:divBdr>
        <w:top w:val="none" w:sz="0" w:space="0" w:color="auto"/>
        <w:left w:val="none" w:sz="0" w:space="0" w:color="auto"/>
        <w:bottom w:val="none" w:sz="0" w:space="0" w:color="auto"/>
        <w:right w:val="none" w:sz="0" w:space="0" w:color="auto"/>
      </w:divBdr>
      <w:divsChild>
        <w:div w:id="88821292">
          <w:marLeft w:val="994"/>
          <w:marRight w:val="0"/>
          <w:marTop w:val="0"/>
          <w:marBottom w:val="0"/>
          <w:divBdr>
            <w:top w:val="none" w:sz="0" w:space="0" w:color="auto"/>
            <w:left w:val="none" w:sz="0" w:space="0" w:color="auto"/>
            <w:bottom w:val="none" w:sz="0" w:space="0" w:color="auto"/>
            <w:right w:val="none" w:sz="0" w:space="0" w:color="auto"/>
          </w:divBdr>
        </w:div>
        <w:div w:id="222957035">
          <w:marLeft w:val="994"/>
          <w:marRight w:val="0"/>
          <w:marTop w:val="0"/>
          <w:marBottom w:val="0"/>
          <w:divBdr>
            <w:top w:val="none" w:sz="0" w:space="0" w:color="auto"/>
            <w:left w:val="none" w:sz="0" w:space="0" w:color="auto"/>
            <w:bottom w:val="none" w:sz="0" w:space="0" w:color="auto"/>
            <w:right w:val="none" w:sz="0" w:space="0" w:color="auto"/>
          </w:divBdr>
        </w:div>
        <w:div w:id="240332280">
          <w:marLeft w:val="994"/>
          <w:marRight w:val="0"/>
          <w:marTop w:val="0"/>
          <w:marBottom w:val="0"/>
          <w:divBdr>
            <w:top w:val="none" w:sz="0" w:space="0" w:color="auto"/>
            <w:left w:val="none" w:sz="0" w:space="0" w:color="auto"/>
            <w:bottom w:val="none" w:sz="0" w:space="0" w:color="auto"/>
            <w:right w:val="none" w:sz="0" w:space="0" w:color="auto"/>
          </w:divBdr>
        </w:div>
        <w:div w:id="481895345">
          <w:marLeft w:val="994"/>
          <w:marRight w:val="0"/>
          <w:marTop w:val="0"/>
          <w:marBottom w:val="0"/>
          <w:divBdr>
            <w:top w:val="none" w:sz="0" w:space="0" w:color="auto"/>
            <w:left w:val="none" w:sz="0" w:space="0" w:color="auto"/>
            <w:bottom w:val="none" w:sz="0" w:space="0" w:color="auto"/>
            <w:right w:val="none" w:sz="0" w:space="0" w:color="auto"/>
          </w:divBdr>
        </w:div>
        <w:div w:id="505293204">
          <w:marLeft w:val="994"/>
          <w:marRight w:val="0"/>
          <w:marTop w:val="0"/>
          <w:marBottom w:val="0"/>
          <w:divBdr>
            <w:top w:val="none" w:sz="0" w:space="0" w:color="auto"/>
            <w:left w:val="none" w:sz="0" w:space="0" w:color="auto"/>
            <w:bottom w:val="none" w:sz="0" w:space="0" w:color="auto"/>
            <w:right w:val="none" w:sz="0" w:space="0" w:color="auto"/>
          </w:divBdr>
        </w:div>
        <w:div w:id="611590908">
          <w:marLeft w:val="274"/>
          <w:marRight w:val="0"/>
          <w:marTop w:val="0"/>
          <w:marBottom w:val="0"/>
          <w:divBdr>
            <w:top w:val="none" w:sz="0" w:space="0" w:color="auto"/>
            <w:left w:val="none" w:sz="0" w:space="0" w:color="auto"/>
            <w:bottom w:val="none" w:sz="0" w:space="0" w:color="auto"/>
            <w:right w:val="none" w:sz="0" w:space="0" w:color="auto"/>
          </w:divBdr>
        </w:div>
        <w:div w:id="619529906">
          <w:marLeft w:val="274"/>
          <w:marRight w:val="0"/>
          <w:marTop w:val="0"/>
          <w:marBottom w:val="0"/>
          <w:divBdr>
            <w:top w:val="none" w:sz="0" w:space="0" w:color="auto"/>
            <w:left w:val="none" w:sz="0" w:space="0" w:color="auto"/>
            <w:bottom w:val="none" w:sz="0" w:space="0" w:color="auto"/>
            <w:right w:val="none" w:sz="0" w:space="0" w:color="auto"/>
          </w:divBdr>
        </w:div>
        <w:div w:id="1143812693">
          <w:marLeft w:val="274"/>
          <w:marRight w:val="0"/>
          <w:marTop w:val="0"/>
          <w:marBottom w:val="0"/>
          <w:divBdr>
            <w:top w:val="none" w:sz="0" w:space="0" w:color="auto"/>
            <w:left w:val="none" w:sz="0" w:space="0" w:color="auto"/>
            <w:bottom w:val="none" w:sz="0" w:space="0" w:color="auto"/>
            <w:right w:val="none" w:sz="0" w:space="0" w:color="auto"/>
          </w:divBdr>
        </w:div>
        <w:div w:id="1202328256">
          <w:marLeft w:val="994"/>
          <w:marRight w:val="0"/>
          <w:marTop w:val="0"/>
          <w:marBottom w:val="0"/>
          <w:divBdr>
            <w:top w:val="none" w:sz="0" w:space="0" w:color="auto"/>
            <w:left w:val="none" w:sz="0" w:space="0" w:color="auto"/>
            <w:bottom w:val="none" w:sz="0" w:space="0" w:color="auto"/>
            <w:right w:val="none" w:sz="0" w:space="0" w:color="auto"/>
          </w:divBdr>
        </w:div>
        <w:div w:id="1291085517">
          <w:marLeft w:val="994"/>
          <w:marRight w:val="0"/>
          <w:marTop w:val="0"/>
          <w:marBottom w:val="0"/>
          <w:divBdr>
            <w:top w:val="none" w:sz="0" w:space="0" w:color="auto"/>
            <w:left w:val="none" w:sz="0" w:space="0" w:color="auto"/>
            <w:bottom w:val="none" w:sz="0" w:space="0" w:color="auto"/>
            <w:right w:val="none" w:sz="0" w:space="0" w:color="auto"/>
          </w:divBdr>
        </w:div>
        <w:div w:id="1531263765">
          <w:marLeft w:val="994"/>
          <w:marRight w:val="0"/>
          <w:marTop w:val="0"/>
          <w:marBottom w:val="0"/>
          <w:divBdr>
            <w:top w:val="none" w:sz="0" w:space="0" w:color="auto"/>
            <w:left w:val="none" w:sz="0" w:space="0" w:color="auto"/>
            <w:bottom w:val="none" w:sz="0" w:space="0" w:color="auto"/>
            <w:right w:val="none" w:sz="0" w:space="0" w:color="auto"/>
          </w:divBdr>
        </w:div>
        <w:div w:id="1766799081">
          <w:marLeft w:val="994"/>
          <w:marRight w:val="0"/>
          <w:marTop w:val="0"/>
          <w:marBottom w:val="0"/>
          <w:divBdr>
            <w:top w:val="none" w:sz="0" w:space="0" w:color="auto"/>
            <w:left w:val="none" w:sz="0" w:space="0" w:color="auto"/>
            <w:bottom w:val="none" w:sz="0" w:space="0" w:color="auto"/>
            <w:right w:val="none" w:sz="0" w:space="0" w:color="auto"/>
          </w:divBdr>
        </w:div>
        <w:div w:id="1923221848">
          <w:marLeft w:val="994"/>
          <w:marRight w:val="0"/>
          <w:marTop w:val="0"/>
          <w:marBottom w:val="0"/>
          <w:divBdr>
            <w:top w:val="none" w:sz="0" w:space="0" w:color="auto"/>
            <w:left w:val="none" w:sz="0" w:space="0" w:color="auto"/>
            <w:bottom w:val="none" w:sz="0" w:space="0" w:color="auto"/>
            <w:right w:val="none" w:sz="0" w:space="0" w:color="auto"/>
          </w:divBdr>
        </w:div>
        <w:div w:id="2073500127">
          <w:marLeft w:val="274"/>
          <w:marRight w:val="0"/>
          <w:marTop w:val="0"/>
          <w:marBottom w:val="0"/>
          <w:divBdr>
            <w:top w:val="none" w:sz="0" w:space="0" w:color="auto"/>
            <w:left w:val="none" w:sz="0" w:space="0" w:color="auto"/>
            <w:bottom w:val="none" w:sz="0" w:space="0" w:color="auto"/>
            <w:right w:val="none" w:sz="0" w:space="0" w:color="auto"/>
          </w:divBdr>
        </w:div>
      </w:divsChild>
    </w:div>
    <w:div w:id="558707490">
      <w:bodyDiv w:val="1"/>
      <w:marLeft w:val="0"/>
      <w:marRight w:val="0"/>
      <w:marTop w:val="0"/>
      <w:marBottom w:val="0"/>
      <w:divBdr>
        <w:top w:val="none" w:sz="0" w:space="0" w:color="auto"/>
        <w:left w:val="none" w:sz="0" w:space="0" w:color="auto"/>
        <w:bottom w:val="none" w:sz="0" w:space="0" w:color="auto"/>
        <w:right w:val="none" w:sz="0" w:space="0" w:color="auto"/>
      </w:divBdr>
    </w:div>
    <w:div w:id="559095605">
      <w:bodyDiv w:val="1"/>
      <w:marLeft w:val="0"/>
      <w:marRight w:val="0"/>
      <w:marTop w:val="0"/>
      <w:marBottom w:val="0"/>
      <w:divBdr>
        <w:top w:val="none" w:sz="0" w:space="0" w:color="auto"/>
        <w:left w:val="none" w:sz="0" w:space="0" w:color="auto"/>
        <w:bottom w:val="none" w:sz="0" w:space="0" w:color="auto"/>
        <w:right w:val="none" w:sz="0" w:space="0" w:color="auto"/>
      </w:divBdr>
    </w:div>
    <w:div w:id="559484986">
      <w:bodyDiv w:val="1"/>
      <w:marLeft w:val="0"/>
      <w:marRight w:val="0"/>
      <w:marTop w:val="0"/>
      <w:marBottom w:val="0"/>
      <w:divBdr>
        <w:top w:val="none" w:sz="0" w:space="0" w:color="auto"/>
        <w:left w:val="none" w:sz="0" w:space="0" w:color="auto"/>
        <w:bottom w:val="none" w:sz="0" w:space="0" w:color="auto"/>
        <w:right w:val="none" w:sz="0" w:space="0" w:color="auto"/>
      </w:divBdr>
      <w:divsChild>
        <w:div w:id="60909092">
          <w:marLeft w:val="0"/>
          <w:marRight w:val="0"/>
          <w:marTop w:val="0"/>
          <w:marBottom w:val="0"/>
          <w:divBdr>
            <w:top w:val="none" w:sz="0" w:space="0" w:color="auto"/>
            <w:left w:val="none" w:sz="0" w:space="0" w:color="auto"/>
            <w:bottom w:val="none" w:sz="0" w:space="0" w:color="auto"/>
            <w:right w:val="none" w:sz="0" w:space="0" w:color="auto"/>
          </w:divBdr>
        </w:div>
        <w:div w:id="234048218">
          <w:marLeft w:val="0"/>
          <w:marRight w:val="0"/>
          <w:marTop w:val="0"/>
          <w:marBottom w:val="0"/>
          <w:divBdr>
            <w:top w:val="none" w:sz="0" w:space="0" w:color="auto"/>
            <w:left w:val="none" w:sz="0" w:space="0" w:color="auto"/>
            <w:bottom w:val="none" w:sz="0" w:space="0" w:color="auto"/>
            <w:right w:val="none" w:sz="0" w:space="0" w:color="auto"/>
          </w:divBdr>
        </w:div>
        <w:div w:id="952327270">
          <w:marLeft w:val="0"/>
          <w:marRight w:val="0"/>
          <w:marTop w:val="0"/>
          <w:marBottom w:val="0"/>
          <w:divBdr>
            <w:top w:val="none" w:sz="0" w:space="0" w:color="auto"/>
            <w:left w:val="none" w:sz="0" w:space="0" w:color="auto"/>
            <w:bottom w:val="none" w:sz="0" w:space="0" w:color="auto"/>
            <w:right w:val="none" w:sz="0" w:space="0" w:color="auto"/>
          </w:divBdr>
        </w:div>
        <w:div w:id="1208564640">
          <w:marLeft w:val="0"/>
          <w:marRight w:val="0"/>
          <w:marTop w:val="0"/>
          <w:marBottom w:val="0"/>
          <w:divBdr>
            <w:top w:val="none" w:sz="0" w:space="0" w:color="auto"/>
            <w:left w:val="none" w:sz="0" w:space="0" w:color="auto"/>
            <w:bottom w:val="none" w:sz="0" w:space="0" w:color="auto"/>
            <w:right w:val="none" w:sz="0" w:space="0" w:color="auto"/>
          </w:divBdr>
        </w:div>
      </w:divsChild>
    </w:div>
    <w:div w:id="560021587">
      <w:bodyDiv w:val="1"/>
      <w:marLeft w:val="0"/>
      <w:marRight w:val="0"/>
      <w:marTop w:val="0"/>
      <w:marBottom w:val="0"/>
      <w:divBdr>
        <w:top w:val="none" w:sz="0" w:space="0" w:color="auto"/>
        <w:left w:val="none" w:sz="0" w:space="0" w:color="auto"/>
        <w:bottom w:val="none" w:sz="0" w:space="0" w:color="auto"/>
        <w:right w:val="none" w:sz="0" w:space="0" w:color="auto"/>
      </w:divBdr>
      <w:divsChild>
        <w:div w:id="255794869">
          <w:marLeft w:val="0"/>
          <w:marRight w:val="0"/>
          <w:marTop w:val="0"/>
          <w:marBottom w:val="0"/>
          <w:divBdr>
            <w:top w:val="none" w:sz="0" w:space="0" w:color="auto"/>
            <w:left w:val="none" w:sz="0" w:space="0" w:color="auto"/>
            <w:bottom w:val="none" w:sz="0" w:space="0" w:color="auto"/>
            <w:right w:val="none" w:sz="0" w:space="0" w:color="auto"/>
          </w:divBdr>
        </w:div>
        <w:div w:id="557129563">
          <w:marLeft w:val="0"/>
          <w:marRight w:val="0"/>
          <w:marTop w:val="0"/>
          <w:marBottom w:val="0"/>
          <w:divBdr>
            <w:top w:val="none" w:sz="0" w:space="0" w:color="auto"/>
            <w:left w:val="none" w:sz="0" w:space="0" w:color="auto"/>
            <w:bottom w:val="none" w:sz="0" w:space="0" w:color="auto"/>
            <w:right w:val="none" w:sz="0" w:space="0" w:color="auto"/>
          </w:divBdr>
        </w:div>
        <w:div w:id="2145583805">
          <w:marLeft w:val="0"/>
          <w:marRight w:val="0"/>
          <w:marTop w:val="0"/>
          <w:marBottom w:val="0"/>
          <w:divBdr>
            <w:top w:val="none" w:sz="0" w:space="0" w:color="auto"/>
            <w:left w:val="none" w:sz="0" w:space="0" w:color="auto"/>
            <w:bottom w:val="none" w:sz="0" w:space="0" w:color="auto"/>
            <w:right w:val="none" w:sz="0" w:space="0" w:color="auto"/>
          </w:divBdr>
        </w:div>
      </w:divsChild>
    </w:div>
    <w:div w:id="564142823">
      <w:bodyDiv w:val="1"/>
      <w:marLeft w:val="0"/>
      <w:marRight w:val="0"/>
      <w:marTop w:val="0"/>
      <w:marBottom w:val="0"/>
      <w:divBdr>
        <w:top w:val="none" w:sz="0" w:space="0" w:color="auto"/>
        <w:left w:val="none" w:sz="0" w:space="0" w:color="auto"/>
        <w:bottom w:val="none" w:sz="0" w:space="0" w:color="auto"/>
        <w:right w:val="none" w:sz="0" w:space="0" w:color="auto"/>
      </w:divBdr>
      <w:divsChild>
        <w:div w:id="42756473">
          <w:marLeft w:val="0"/>
          <w:marRight w:val="0"/>
          <w:marTop w:val="0"/>
          <w:marBottom w:val="0"/>
          <w:divBdr>
            <w:top w:val="none" w:sz="0" w:space="0" w:color="auto"/>
            <w:left w:val="none" w:sz="0" w:space="0" w:color="auto"/>
            <w:bottom w:val="none" w:sz="0" w:space="0" w:color="auto"/>
            <w:right w:val="none" w:sz="0" w:space="0" w:color="auto"/>
          </w:divBdr>
        </w:div>
        <w:div w:id="358892148">
          <w:marLeft w:val="0"/>
          <w:marRight w:val="0"/>
          <w:marTop w:val="0"/>
          <w:marBottom w:val="0"/>
          <w:divBdr>
            <w:top w:val="none" w:sz="0" w:space="0" w:color="auto"/>
            <w:left w:val="none" w:sz="0" w:space="0" w:color="auto"/>
            <w:bottom w:val="none" w:sz="0" w:space="0" w:color="auto"/>
            <w:right w:val="none" w:sz="0" w:space="0" w:color="auto"/>
          </w:divBdr>
        </w:div>
        <w:div w:id="797063667">
          <w:marLeft w:val="0"/>
          <w:marRight w:val="0"/>
          <w:marTop w:val="0"/>
          <w:marBottom w:val="0"/>
          <w:divBdr>
            <w:top w:val="none" w:sz="0" w:space="0" w:color="auto"/>
            <w:left w:val="none" w:sz="0" w:space="0" w:color="auto"/>
            <w:bottom w:val="none" w:sz="0" w:space="0" w:color="auto"/>
            <w:right w:val="none" w:sz="0" w:space="0" w:color="auto"/>
          </w:divBdr>
        </w:div>
        <w:div w:id="1031953154">
          <w:marLeft w:val="0"/>
          <w:marRight w:val="0"/>
          <w:marTop w:val="0"/>
          <w:marBottom w:val="0"/>
          <w:divBdr>
            <w:top w:val="none" w:sz="0" w:space="0" w:color="auto"/>
            <w:left w:val="none" w:sz="0" w:space="0" w:color="auto"/>
            <w:bottom w:val="none" w:sz="0" w:space="0" w:color="auto"/>
            <w:right w:val="none" w:sz="0" w:space="0" w:color="auto"/>
          </w:divBdr>
        </w:div>
        <w:div w:id="1140997506">
          <w:marLeft w:val="0"/>
          <w:marRight w:val="0"/>
          <w:marTop w:val="0"/>
          <w:marBottom w:val="0"/>
          <w:divBdr>
            <w:top w:val="none" w:sz="0" w:space="0" w:color="auto"/>
            <w:left w:val="none" w:sz="0" w:space="0" w:color="auto"/>
            <w:bottom w:val="none" w:sz="0" w:space="0" w:color="auto"/>
            <w:right w:val="none" w:sz="0" w:space="0" w:color="auto"/>
          </w:divBdr>
        </w:div>
        <w:div w:id="1748383218">
          <w:marLeft w:val="0"/>
          <w:marRight w:val="0"/>
          <w:marTop w:val="0"/>
          <w:marBottom w:val="0"/>
          <w:divBdr>
            <w:top w:val="none" w:sz="0" w:space="0" w:color="auto"/>
            <w:left w:val="none" w:sz="0" w:space="0" w:color="auto"/>
            <w:bottom w:val="none" w:sz="0" w:space="0" w:color="auto"/>
            <w:right w:val="none" w:sz="0" w:space="0" w:color="auto"/>
          </w:divBdr>
        </w:div>
        <w:div w:id="1817528585">
          <w:marLeft w:val="0"/>
          <w:marRight w:val="0"/>
          <w:marTop w:val="0"/>
          <w:marBottom w:val="0"/>
          <w:divBdr>
            <w:top w:val="none" w:sz="0" w:space="0" w:color="auto"/>
            <w:left w:val="none" w:sz="0" w:space="0" w:color="auto"/>
            <w:bottom w:val="none" w:sz="0" w:space="0" w:color="auto"/>
            <w:right w:val="none" w:sz="0" w:space="0" w:color="auto"/>
          </w:divBdr>
        </w:div>
        <w:div w:id="1906530437">
          <w:marLeft w:val="0"/>
          <w:marRight w:val="0"/>
          <w:marTop w:val="0"/>
          <w:marBottom w:val="0"/>
          <w:divBdr>
            <w:top w:val="none" w:sz="0" w:space="0" w:color="auto"/>
            <w:left w:val="none" w:sz="0" w:space="0" w:color="auto"/>
            <w:bottom w:val="none" w:sz="0" w:space="0" w:color="auto"/>
            <w:right w:val="none" w:sz="0" w:space="0" w:color="auto"/>
          </w:divBdr>
        </w:div>
        <w:div w:id="1924801008">
          <w:marLeft w:val="0"/>
          <w:marRight w:val="0"/>
          <w:marTop w:val="0"/>
          <w:marBottom w:val="0"/>
          <w:divBdr>
            <w:top w:val="none" w:sz="0" w:space="0" w:color="auto"/>
            <w:left w:val="none" w:sz="0" w:space="0" w:color="auto"/>
            <w:bottom w:val="none" w:sz="0" w:space="0" w:color="auto"/>
            <w:right w:val="none" w:sz="0" w:space="0" w:color="auto"/>
          </w:divBdr>
        </w:div>
      </w:divsChild>
    </w:div>
    <w:div w:id="565528345">
      <w:bodyDiv w:val="1"/>
      <w:marLeft w:val="0"/>
      <w:marRight w:val="0"/>
      <w:marTop w:val="0"/>
      <w:marBottom w:val="0"/>
      <w:divBdr>
        <w:top w:val="none" w:sz="0" w:space="0" w:color="auto"/>
        <w:left w:val="none" w:sz="0" w:space="0" w:color="auto"/>
        <w:bottom w:val="none" w:sz="0" w:space="0" w:color="auto"/>
        <w:right w:val="none" w:sz="0" w:space="0" w:color="auto"/>
      </w:divBdr>
    </w:div>
    <w:div w:id="571160871">
      <w:bodyDiv w:val="1"/>
      <w:marLeft w:val="0"/>
      <w:marRight w:val="0"/>
      <w:marTop w:val="0"/>
      <w:marBottom w:val="0"/>
      <w:divBdr>
        <w:top w:val="none" w:sz="0" w:space="0" w:color="auto"/>
        <w:left w:val="none" w:sz="0" w:space="0" w:color="auto"/>
        <w:bottom w:val="none" w:sz="0" w:space="0" w:color="auto"/>
        <w:right w:val="none" w:sz="0" w:space="0" w:color="auto"/>
      </w:divBdr>
      <w:divsChild>
        <w:div w:id="159975563">
          <w:marLeft w:val="0"/>
          <w:marRight w:val="0"/>
          <w:marTop w:val="0"/>
          <w:marBottom w:val="0"/>
          <w:divBdr>
            <w:top w:val="none" w:sz="0" w:space="0" w:color="auto"/>
            <w:left w:val="none" w:sz="0" w:space="0" w:color="auto"/>
            <w:bottom w:val="none" w:sz="0" w:space="0" w:color="auto"/>
            <w:right w:val="none" w:sz="0" w:space="0" w:color="auto"/>
          </w:divBdr>
        </w:div>
        <w:div w:id="200825604">
          <w:marLeft w:val="0"/>
          <w:marRight w:val="0"/>
          <w:marTop w:val="0"/>
          <w:marBottom w:val="0"/>
          <w:divBdr>
            <w:top w:val="none" w:sz="0" w:space="0" w:color="auto"/>
            <w:left w:val="none" w:sz="0" w:space="0" w:color="auto"/>
            <w:bottom w:val="none" w:sz="0" w:space="0" w:color="auto"/>
            <w:right w:val="none" w:sz="0" w:space="0" w:color="auto"/>
          </w:divBdr>
        </w:div>
        <w:div w:id="1356350239">
          <w:marLeft w:val="0"/>
          <w:marRight w:val="0"/>
          <w:marTop w:val="0"/>
          <w:marBottom w:val="0"/>
          <w:divBdr>
            <w:top w:val="none" w:sz="0" w:space="0" w:color="auto"/>
            <w:left w:val="none" w:sz="0" w:space="0" w:color="auto"/>
            <w:bottom w:val="none" w:sz="0" w:space="0" w:color="auto"/>
            <w:right w:val="none" w:sz="0" w:space="0" w:color="auto"/>
          </w:divBdr>
        </w:div>
        <w:div w:id="1453817435">
          <w:marLeft w:val="0"/>
          <w:marRight w:val="0"/>
          <w:marTop w:val="0"/>
          <w:marBottom w:val="0"/>
          <w:divBdr>
            <w:top w:val="none" w:sz="0" w:space="0" w:color="auto"/>
            <w:left w:val="none" w:sz="0" w:space="0" w:color="auto"/>
            <w:bottom w:val="none" w:sz="0" w:space="0" w:color="auto"/>
            <w:right w:val="none" w:sz="0" w:space="0" w:color="auto"/>
          </w:divBdr>
        </w:div>
      </w:divsChild>
    </w:div>
    <w:div w:id="592320309">
      <w:bodyDiv w:val="1"/>
      <w:marLeft w:val="0"/>
      <w:marRight w:val="0"/>
      <w:marTop w:val="0"/>
      <w:marBottom w:val="0"/>
      <w:divBdr>
        <w:top w:val="none" w:sz="0" w:space="0" w:color="auto"/>
        <w:left w:val="none" w:sz="0" w:space="0" w:color="auto"/>
        <w:bottom w:val="none" w:sz="0" w:space="0" w:color="auto"/>
        <w:right w:val="none" w:sz="0" w:space="0" w:color="auto"/>
      </w:divBdr>
    </w:div>
    <w:div w:id="610432152">
      <w:bodyDiv w:val="1"/>
      <w:marLeft w:val="0"/>
      <w:marRight w:val="0"/>
      <w:marTop w:val="0"/>
      <w:marBottom w:val="0"/>
      <w:divBdr>
        <w:top w:val="none" w:sz="0" w:space="0" w:color="auto"/>
        <w:left w:val="none" w:sz="0" w:space="0" w:color="auto"/>
        <w:bottom w:val="none" w:sz="0" w:space="0" w:color="auto"/>
        <w:right w:val="none" w:sz="0" w:space="0" w:color="auto"/>
      </w:divBdr>
    </w:div>
    <w:div w:id="630213557">
      <w:bodyDiv w:val="1"/>
      <w:marLeft w:val="0"/>
      <w:marRight w:val="0"/>
      <w:marTop w:val="0"/>
      <w:marBottom w:val="0"/>
      <w:divBdr>
        <w:top w:val="none" w:sz="0" w:space="0" w:color="auto"/>
        <w:left w:val="none" w:sz="0" w:space="0" w:color="auto"/>
        <w:bottom w:val="none" w:sz="0" w:space="0" w:color="auto"/>
        <w:right w:val="none" w:sz="0" w:space="0" w:color="auto"/>
      </w:divBdr>
    </w:div>
    <w:div w:id="635914647">
      <w:bodyDiv w:val="1"/>
      <w:marLeft w:val="0"/>
      <w:marRight w:val="0"/>
      <w:marTop w:val="0"/>
      <w:marBottom w:val="0"/>
      <w:divBdr>
        <w:top w:val="none" w:sz="0" w:space="0" w:color="auto"/>
        <w:left w:val="none" w:sz="0" w:space="0" w:color="auto"/>
        <w:bottom w:val="none" w:sz="0" w:space="0" w:color="auto"/>
        <w:right w:val="none" w:sz="0" w:space="0" w:color="auto"/>
      </w:divBdr>
      <w:divsChild>
        <w:div w:id="273249769">
          <w:marLeft w:val="0"/>
          <w:marRight w:val="0"/>
          <w:marTop w:val="0"/>
          <w:marBottom w:val="0"/>
          <w:divBdr>
            <w:top w:val="none" w:sz="0" w:space="0" w:color="auto"/>
            <w:left w:val="none" w:sz="0" w:space="0" w:color="auto"/>
            <w:bottom w:val="none" w:sz="0" w:space="0" w:color="auto"/>
            <w:right w:val="none" w:sz="0" w:space="0" w:color="auto"/>
          </w:divBdr>
        </w:div>
        <w:div w:id="1148205354">
          <w:marLeft w:val="0"/>
          <w:marRight w:val="0"/>
          <w:marTop w:val="0"/>
          <w:marBottom w:val="0"/>
          <w:divBdr>
            <w:top w:val="none" w:sz="0" w:space="0" w:color="auto"/>
            <w:left w:val="none" w:sz="0" w:space="0" w:color="auto"/>
            <w:bottom w:val="none" w:sz="0" w:space="0" w:color="auto"/>
            <w:right w:val="none" w:sz="0" w:space="0" w:color="auto"/>
          </w:divBdr>
        </w:div>
      </w:divsChild>
    </w:div>
    <w:div w:id="641159964">
      <w:bodyDiv w:val="1"/>
      <w:marLeft w:val="0"/>
      <w:marRight w:val="0"/>
      <w:marTop w:val="0"/>
      <w:marBottom w:val="0"/>
      <w:divBdr>
        <w:top w:val="none" w:sz="0" w:space="0" w:color="auto"/>
        <w:left w:val="none" w:sz="0" w:space="0" w:color="auto"/>
        <w:bottom w:val="none" w:sz="0" w:space="0" w:color="auto"/>
        <w:right w:val="none" w:sz="0" w:space="0" w:color="auto"/>
      </w:divBdr>
      <w:divsChild>
        <w:div w:id="281032940">
          <w:marLeft w:val="0"/>
          <w:marRight w:val="0"/>
          <w:marTop w:val="0"/>
          <w:marBottom w:val="0"/>
          <w:divBdr>
            <w:top w:val="none" w:sz="0" w:space="0" w:color="auto"/>
            <w:left w:val="none" w:sz="0" w:space="0" w:color="auto"/>
            <w:bottom w:val="none" w:sz="0" w:space="0" w:color="auto"/>
            <w:right w:val="none" w:sz="0" w:space="0" w:color="auto"/>
          </w:divBdr>
        </w:div>
        <w:div w:id="577859699">
          <w:marLeft w:val="0"/>
          <w:marRight w:val="0"/>
          <w:marTop w:val="0"/>
          <w:marBottom w:val="0"/>
          <w:divBdr>
            <w:top w:val="none" w:sz="0" w:space="0" w:color="auto"/>
            <w:left w:val="none" w:sz="0" w:space="0" w:color="auto"/>
            <w:bottom w:val="none" w:sz="0" w:space="0" w:color="auto"/>
            <w:right w:val="none" w:sz="0" w:space="0" w:color="auto"/>
          </w:divBdr>
        </w:div>
        <w:div w:id="686445551">
          <w:marLeft w:val="0"/>
          <w:marRight w:val="0"/>
          <w:marTop w:val="0"/>
          <w:marBottom w:val="0"/>
          <w:divBdr>
            <w:top w:val="none" w:sz="0" w:space="0" w:color="auto"/>
            <w:left w:val="none" w:sz="0" w:space="0" w:color="auto"/>
            <w:bottom w:val="none" w:sz="0" w:space="0" w:color="auto"/>
            <w:right w:val="none" w:sz="0" w:space="0" w:color="auto"/>
          </w:divBdr>
        </w:div>
        <w:div w:id="775052826">
          <w:marLeft w:val="0"/>
          <w:marRight w:val="0"/>
          <w:marTop w:val="0"/>
          <w:marBottom w:val="0"/>
          <w:divBdr>
            <w:top w:val="none" w:sz="0" w:space="0" w:color="auto"/>
            <w:left w:val="none" w:sz="0" w:space="0" w:color="auto"/>
            <w:bottom w:val="none" w:sz="0" w:space="0" w:color="auto"/>
            <w:right w:val="none" w:sz="0" w:space="0" w:color="auto"/>
          </w:divBdr>
        </w:div>
        <w:div w:id="927612605">
          <w:marLeft w:val="0"/>
          <w:marRight w:val="0"/>
          <w:marTop w:val="0"/>
          <w:marBottom w:val="0"/>
          <w:divBdr>
            <w:top w:val="none" w:sz="0" w:space="0" w:color="auto"/>
            <w:left w:val="none" w:sz="0" w:space="0" w:color="auto"/>
            <w:bottom w:val="none" w:sz="0" w:space="0" w:color="auto"/>
            <w:right w:val="none" w:sz="0" w:space="0" w:color="auto"/>
          </w:divBdr>
        </w:div>
        <w:div w:id="1316060373">
          <w:marLeft w:val="0"/>
          <w:marRight w:val="0"/>
          <w:marTop w:val="0"/>
          <w:marBottom w:val="0"/>
          <w:divBdr>
            <w:top w:val="none" w:sz="0" w:space="0" w:color="auto"/>
            <w:left w:val="none" w:sz="0" w:space="0" w:color="auto"/>
            <w:bottom w:val="none" w:sz="0" w:space="0" w:color="auto"/>
            <w:right w:val="none" w:sz="0" w:space="0" w:color="auto"/>
          </w:divBdr>
        </w:div>
        <w:div w:id="2107262532">
          <w:marLeft w:val="0"/>
          <w:marRight w:val="0"/>
          <w:marTop w:val="0"/>
          <w:marBottom w:val="0"/>
          <w:divBdr>
            <w:top w:val="none" w:sz="0" w:space="0" w:color="auto"/>
            <w:left w:val="none" w:sz="0" w:space="0" w:color="auto"/>
            <w:bottom w:val="none" w:sz="0" w:space="0" w:color="auto"/>
            <w:right w:val="none" w:sz="0" w:space="0" w:color="auto"/>
          </w:divBdr>
        </w:div>
      </w:divsChild>
    </w:div>
    <w:div w:id="658116827">
      <w:bodyDiv w:val="1"/>
      <w:marLeft w:val="0"/>
      <w:marRight w:val="0"/>
      <w:marTop w:val="0"/>
      <w:marBottom w:val="0"/>
      <w:divBdr>
        <w:top w:val="none" w:sz="0" w:space="0" w:color="auto"/>
        <w:left w:val="none" w:sz="0" w:space="0" w:color="auto"/>
        <w:bottom w:val="none" w:sz="0" w:space="0" w:color="auto"/>
        <w:right w:val="none" w:sz="0" w:space="0" w:color="auto"/>
      </w:divBdr>
    </w:div>
    <w:div w:id="659308998">
      <w:bodyDiv w:val="1"/>
      <w:marLeft w:val="0"/>
      <w:marRight w:val="0"/>
      <w:marTop w:val="0"/>
      <w:marBottom w:val="0"/>
      <w:divBdr>
        <w:top w:val="none" w:sz="0" w:space="0" w:color="auto"/>
        <w:left w:val="none" w:sz="0" w:space="0" w:color="auto"/>
        <w:bottom w:val="none" w:sz="0" w:space="0" w:color="auto"/>
        <w:right w:val="none" w:sz="0" w:space="0" w:color="auto"/>
      </w:divBdr>
      <w:divsChild>
        <w:div w:id="30498745">
          <w:marLeft w:val="274"/>
          <w:marRight w:val="0"/>
          <w:marTop w:val="86"/>
          <w:marBottom w:val="0"/>
          <w:divBdr>
            <w:top w:val="none" w:sz="0" w:space="0" w:color="auto"/>
            <w:left w:val="none" w:sz="0" w:space="0" w:color="auto"/>
            <w:bottom w:val="none" w:sz="0" w:space="0" w:color="auto"/>
            <w:right w:val="none" w:sz="0" w:space="0" w:color="auto"/>
          </w:divBdr>
        </w:div>
        <w:div w:id="226380302">
          <w:marLeft w:val="274"/>
          <w:marRight w:val="0"/>
          <w:marTop w:val="0"/>
          <w:marBottom w:val="0"/>
          <w:divBdr>
            <w:top w:val="none" w:sz="0" w:space="0" w:color="auto"/>
            <w:left w:val="none" w:sz="0" w:space="0" w:color="auto"/>
            <w:bottom w:val="none" w:sz="0" w:space="0" w:color="auto"/>
            <w:right w:val="none" w:sz="0" w:space="0" w:color="auto"/>
          </w:divBdr>
        </w:div>
        <w:div w:id="333919884">
          <w:marLeft w:val="274"/>
          <w:marRight w:val="0"/>
          <w:marTop w:val="0"/>
          <w:marBottom w:val="0"/>
          <w:divBdr>
            <w:top w:val="none" w:sz="0" w:space="0" w:color="auto"/>
            <w:left w:val="none" w:sz="0" w:space="0" w:color="auto"/>
            <w:bottom w:val="none" w:sz="0" w:space="0" w:color="auto"/>
            <w:right w:val="none" w:sz="0" w:space="0" w:color="auto"/>
          </w:divBdr>
        </w:div>
        <w:div w:id="356350198">
          <w:marLeft w:val="274"/>
          <w:marRight w:val="0"/>
          <w:marTop w:val="0"/>
          <w:marBottom w:val="0"/>
          <w:divBdr>
            <w:top w:val="none" w:sz="0" w:space="0" w:color="auto"/>
            <w:left w:val="none" w:sz="0" w:space="0" w:color="auto"/>
            <w:bottom w:val="none" w:sz="0" w:space="0" w:color="auto"/>
            <w:right w:val="none" w:sz="0" w:space="0" w:color="auto"/>
          </w:divBdr>
        </w:div>
        <w:div w:id="926884884">
          <w:marLeft w:val="274"/>
          <w:marRight w:val="0"/>
          <w:marTop w:val="86"/>
          <w:marBottom w:val="0"/>
          <w:divBdr>
            <w:top w:val="none" w:sz="0" w:space="0" w:color="auto"/>
            <w:left w:val="none" w:sz="0" w:space="0" w:color="auto"/>
            <w:bottom w:val="none" w:sz="0" w:space="0" w:color="auto"/>
            <w:right w:val="none" w:sz="0" w:space="0" w:color="auto"/>
          </w:divBdr>
        </w:div>
        <w:div w:id="1007054615">
          <w:marLeft w:val="274"/>
          <w:marRight w:val="0"/>
          <w:marTop w:val="86"/>
          <w:marBottom w:val="0"/>
          <w:divBdr>
            <w:top w:val="none" w:sz="0" w:space="0" w:color="auto"/>
            <w:left w:val="none" w:sz="0" w:space="0" w:color="auto"/>
            <w:bottom w:val="none" w:sz="0" w:space="0" w:color="auto"/>
            <w:right w:val="none" w:sz="0" w:space="0" w:color="auto"/>
          </w:divBdr>
        </w:div>
        <w:div w:id="1101952620">
          <w:marLeft w:val="274"/>
          <w:marRight w:val="0"/>
          <w:marTop w:val="86"/>
          <w:marBottom w:val="0"/>
          <w:divBdr>
            <w:top w:val="none" w:sz="0" w:space="0" w:color="auto"/>
            <w:left w:val="none" w:sz="0" w:space="0" w:color="auto"/>
            <w:bottom w:val="none" w:sz="0" w:space="0" w:color="auto"/>
            <w:right w:val="none" w:sz="0" w:space="0" w:color="auto"/>
          </w:divBdr>
        </w:div>
        <w:div w:id="1135099169">
          <w:marLeft w:val="274"/>
          <w:marRight w:val="0"/>
          <w:marTop w:val="0"/>
          <w:marBottom w:val="0"/>
          <w:divBdr>
            <w:top w:val="none" w:sz="0" w:space="0" w:color="auto"/>
            <w:left w:val="none" w:sz="0" w:space="0" w:color="auto"/>
            <w:bottom w:val="none" w:sz="0" w:space="0" w:color="auto"/>
            <w:right w:val="none" w:sz="0" w:space="0" w:color="auto"/>
          </w:divBdr>
        </w:div>
        <w:div w:id="1685551992">
          <w:marLeft w:val="274"/>
          <w:marRight w:val="0"/>
          <w:marTop w:val="0"/>
          <w:marBottom w:val="0"/>
          <w:divBdr>
            <w:top w:val="none" w:sz="0" w:space="0" w:color="auto"/>
            <w:left w:val="none" w:sz="0" w:space="0" w:color="auto"/>
            <w:bottom w:val="none" w:sz="0" w:space="0" w:color="auto"/>
            <w:right w:val="none" w:sz="0" w:space="0" w:color="auto"/>
          </w:divBdr>
        </w:div>
        <w:div w:id="1696809482">
          <w:marLeft w:val="274"/>
          <w:marRight w:val="0"/>
          <w:marTop w:val="86"/>
          <w:marBottom w:val="0"/>
          <w:divBdr>
            <w:top w:val="none" w:sz="0" w:space="0" w:color="auto"/>
            <w:left w:val="none" w:sz="0" w:space="0" w:color="auto"/>
            <w:bottom w:val="none" w:sz="0" w:space="0" w:color="auto"/>
            <w:right w:val="none" w:sz="0" w:space="0" w:color="auto"/>
          </w:divBdr>
        </w:div>
        <w:div w:id="1968317681">
          <w:marLeft w:val="274"/>
          <w:marRight w:val="0"/>
          <w:marTop w:val="86"/>
          <w:marBottom w:val="0"/>
          <w:divBdr>
            <w:top w:val="none" w:sz="0" w:space="0" w:color="auto"/>
            <w:left w:val="none" w:sz="0" w:space="0" w:color="auto"/>
            <w:bottom w:val="none" w:sz="0" w:space="0" w:color="auto"/>
            <w:right w:val="none" w:sz="0" w:space="0" w:color="auto"/>
          </w:divBdr>
        </w:div>
        <w:div w:id="1994409782">
          <w:marLeft w:val="274"/>
          <w:marRight w:val="0"/>
          <w:marTop w:val="0"/>
          <w:marBottom w:val="0"/>
          <w:divBdr>
            <w:top w:val="none" w:sz="0" w:space="0" w:color="auto"/>
            <w:left w:val="none" w:sz="0" w:space="0" w:color="auto"/>
            <w:bottom w:val="none" w:sz="0" w:space="0" w:color="auto"/>
            <w:right w:val="none" w:sz="0" w:space="0" w:color="auto"/>
          </w:divBdr>
        </w:div>
        <w:div w:id="2015451536">
          <w:marLeft w:val="274"/>
          <w:marRight w:val="0"/>
          <w:marTop w:val="0"/>
          <w:marBottom w:val="0"/>
          <w:divBdr>
            <w:top w:val="none" w:sz="0" w:space="0" w:color="auto"/>
            <w:left w:val="none" w:sz="0" w:space="0" w:color="auto"/>
            <w:bottom w:val="none" w:sz="0" w:space="0" w:color="auto"/>
            <w:right w:val="none" w:sz="0" w:space="0" w:color="auto"/>
          </w:divBdr>
        </w:div>
      </w:divsChild>
    </w:div>
    <w:div w:id="666520498">
      <w:bodyDiv w:val="1"/>
      <w:marLeft w:val="0"/>
      <w:marRight w:val="0"/>
      <w:marTop w:val="0"/>
      <w:marBottom w:val="0"/>
      <w:divBdr>
        <w:top w:val="none" w:sz="0" w:space="0" w:color="auto"/>
        <w:left w:val="none" w:sz="0" w:space="0" w:color="auto"/>
        <w:bottom w:val="none" w:sz="0" w:space="0" w:color="auto"/>
        <w:right w:val="none" w:sz="0" w:space="0" w:color="auto"/>
      </w:divBdr>
      <w:divsChild>
        <w:div w:id="1407609971">
          <w:marLeft w:val="0"/>
          <w:marRight w:val="0"/>
          <w:marTop w:val="0"/>
          <w:marBottom w:val="0"/>
          <w:divBdr>
            <w:top w:val="none" w:sz="0" w:space="0" w:color="auto"/>
            <w:left w:val="none" w:sz="0" w:space="0" w:color="auto"/>
            <w:bottom w:val="none" w:sz="0" w:space="0" w:color="auto"/>
            <w:right w:val="none" w:sz="0" w:space="0" w:color="auto"/>
          </w:divBdr>
        </w:div>
        <w:div w:id="1738816508">
          <w:marLeft w:val="0"/>
          <w:marRight w:val="0"/>
          <w:marTop w:val="0"/>
          <w:marBottom w:val="0"/>
          <w:divBdr>
            <w:top w:val="none" w:sz="0" w:space="0" w:color="auto"/>
            <w:left w:val="none" w:sz="0" w:space="0" w:color="auto"/>
            <w:bottom w:val="none" w:sz="0" w:space="0" w:color="auto"/>
            <w:right w:val="none" w:sz="0" w:space="0" w:color="auto"/>
          </w:divBdr>
        </w:div>
      </w:divsChild>
    </w:div>
    <w:div w:id="672680493">
      <w:bodyDiv w:val="1"/>
      <w:marLeft w:val="0"/>
      <w:marRight w:val="0"/>
      <w:marTop w:val="0"/>
      <w:marBottom w:val="0"/>
      <w:divBdr>
        <w:top w:val="none" w:sz="0" w:space="0" w:color="auto"/>
        <w:left w:val="none" w:sz="0" w:space="0" w:color="auto"/>
        <w:bottom w:val="none" w:sz="0" w:space="0" w:color="auto"/>
        <w:right w:val="none" w:sz="0" w:space="0" w:color="auto"/>
      </w:divBdr>
    </w:div>
    <w:div w:id="676888341">
      <w:bodyDiv w:val="1"/>
      <w:marLeft w:val="0"/>
      <w:marRight w:val="0"/>
      <w:marTop w:val="0"/>
      <w:marBottom w:val="0"/>
      <w:divBdr>
        <w:top w:val="none" w:sz="0" w:space="0" w:color="auto"/>
        <w:left w:val="none" w:sz="0" w:space="0" w:color="auto"/>
        <w:bottom w:val="none" w:sz="0" w:space="0" w:color="auto"/>
        <w:right w:val="none" w:sz="0" w:space="0" w:color="auto"/>
      </w:divBdr>
    </w:div>
    <w:div w:id="682246289">
      <w:bodyDiv w:val="1"/>
      <w:marLeft w:val="0"/>
      <w:marRight w:val="0"/>
      <w:marTop w:val="0"/>
      <w:marBottom w:val="0"/>
      <w:divBdr>
        <w:top w:val="none" w:sz="0" w:space="0" w:color="auto"/>
        <w:left w:val="none" w:sz="0" w:space="0" w:color="auto"/>
        <w:bottom w:val="none" w:sz="0" w:space="0" w:color="auto"/>
        <w:right w:val="none" w:sz="0" w:space="0" w:color="auto"/>
      </w:divBdr>
      <w:divsChild>
        <w:div w:id="444153872">
          <w:marLeft w:val="274"/>
          <w:marRight w:val="0"/>
          <w:marTop w:val="0"/>
          <w:marBottom w:val="0"/>
          <w:divBdr>
            <w:top w:val="none" w:sz="0" w:space="0" w:color="auto"/>
            <w:left w:val="none" w:sz="0" w:space="0" w:color="auto"/>
            <w:bottom w:val="none" w:sz="0" w:space="0" w:color="auto"/>
            <w:right w:val="none" w:sz="0" w:space="0" w:color="auto"/>
          </w:divBdr>
        </w:div>
        <w:div w:id="674772041">
          <w:marLeft w:val="274"/>
          <w:marRight w:val="0"/>
          <w:marTop w:val="86"/>
          <w:marBottom w:val="0"/>
          <w:divBdr>
            <w:top w:val="none" w:sz="0" w:space="0" w:color="auto"/>
            <w:left w:val="none" w:sz="0" w:space="0" w:color="auto"/>
            <w:bottom w:val="none" w:sz="0" w:space="0" w:color="auto"/>
            <w:right w:val="none" w:sz="0" w:space="0" w:color="auto"/>
          </w:divBdr>
        </w:div>
        <w:div w:id="716591261">
          <w:marLeft w:val="274"/>
          <w:marRight w:val="0"/>
          <w:marTop w:val="86"/>
          <w:marBottom w:val="0"/>
          <w:divBdr>
            <w:top w:val="none" w:sz="0" w:space="0" w:color="auto"/>
            <w:left w:val="none" w:sz="0" w:space="0" w:color="auto"/>
            <w:bottom w:val="none" w:sz="0" w:space="0" w:color="auto"/>
            <w:right w:val="none" w:sz="0" w:space="0" w:color="auto"/>
          </w:divBdr>
        </w:div>
        <w:div w:id="717169996">
          <w:marLeft w:val="274"/>
          <w:marRight w:val="0"/>
          <w:marTop w:val="0"/>
          <w:marBottom w:val="0"/>
          <w:divBdr>
            <w:top w:val="none" w:sz="0" w:space="0" w:color="auto"/>
            <w:left w:val="none" w:sz="0" w:space="0" w:color="auto"/>
            <w:bottom w:val="none" w:sz="0" w:space="0" w:color="auto"/>
            <w:right w:val="none" w:sz="0" w:space="0" w:color="auto"/>
          </w:divBdr>
        </w:div>
        <w:div w:id="758335096">
          <w:marLeft w:val="274"/>
          <w:marRight w:val="0"/>
          <w:marTop w:val="0"/>
          <w:marBottom w:val="0"/>
          <w:divBdr>
            <w:top w:val="none" w:sz="0" w:space="0" w:color="auto"/>
            <w:left w:val="none" w:sz="0" w:space="0" w:color="auto"/>
            <w:bottom w:val="none" w:sz="0" w:space="0" w:color="auto"/>
            <w:right w:val="none" w:sz="0" w:space="0" w:color="auto"/>
          </w:divBdr>
        </w:div>
        <w:div w:id="777143295">
          <w:marLeft w:val="274"/>
          <w:marRight w:val="0"/>
          <w:marTop w:val="0"/>
          <w:marBottom w:val="0"/>
          <w:divBdr>
            <w:top w:val="none" w:sz="0" w:space="0" w:color="auto"/>
            <w:left w:val="none" w:sz="0" w:space="0" w:color="auto"/>
            <w:bottom w:val="none" w:sz="0" w:space="0" w:color="auto"/>
            <w:right w:val="none" w:sz="0" w:space="0" w:color="auto"/>
          </w:divBdr>
        </w:div>
        <w:div w:id="809597079">
          <w:marLeft w:val="274"/>
          <w:marRight w:val="0"/>
          <w:marTop w:val="0"/>
          <w:marBottom w:val="0"/>
          <w:divBdr>
            <w:top w:val="none" w:sz="0" w:space="0" w:color="auto"/>
            <w:left w:val="none" w:sz="0" w:space="0" w:color="auto"/>
            <w:bottom w:val="none" w:sz="0" w:space="0" w:color="auto"/>
            <w:right w:val="none" w:sz="0" w:space="0" w:color="auto"/>
          </w:divBdr>
        </w:div>
        <w:div w:id="822430035">
          <w:marLeft w:val="274"/>
          <w:marRight w:val="0"/>
          <w:marTop w:val="86"/>
          <w:marBottom w:val="0"/>
          <w:divBdr>
            <w:top w:val="none" w:sz="0" w:space="0" w:color="auto"/>
            <w:left w:val="none" w:sz="0" w:space="0" w:color="auto"/>
            <w:bottom w:val="none" w:sz="0" w:space="0" w:color="auto"/>
            <w:right w:val="none" w:sz="0" w:space="0" w:color="auto"/>
          </w:divBdr>
        </w:div>
        <w:div w:id="839663939">
          <w:marLeft w:val="274"/>
          <w:marRight w:val="0"/>
          <w:marTop w:val="86"/>
          <w:marBottom w:val="0"/>
          <w:divBdr>
            <w:top w:val="none" w:sz="0" w:space="0" w:color="auto"/>
            <w:left w:val="none" w:sz="0" w:space="0" w:color="auto"/>
            <w:bottom w:val="none" w:sz="0" w:space="0" w:color="auto"/>
            <w:right w:val="none" w:sz="0" w:space="0" w:color="auto"/>
          </w:divBdr>
        </w:div>
        <w:div w:id="940336972">
          <w:marLeft w:val="274"/>
          <w:marRight w:val="0"/>
          <w:marTop w:val="86"/>
          <w:marBottom w:val="0"/>
          <w:divBdr>
            <w:top w:val="none" w:sz="0" w:space="0" w:color="auto"/>
            <w:left w:val="none" w:sz="0" w:space="0" w:color="auto"/>
            <w:bottom w:val="none" w:sz="0" w:space="0" w:color="auto"/>
            <w:right w:val="none" w:sz="0" w:space="0" w:color="auto"/>
          </w:divBdr>
        </w:div>
        <w:div w:id="969555322">
          <w:marLeft w:val="274"/>
          <w:marRight w:val="0"/>
          <w:marTop w:val="86"/>
          <w:marBottom w:val="0"/>
          <w:divBdr>
            <w:top w:val="none" w:sz="0" w:space="0" w:color="auto"/>
            <w:left w:val="none" w:sz="0" w:space="0" w:color="auto"/>
            <w:bottom w:val="none" w:sz="0" w:space="0" w:color="auto"/>
            <w:right w:val="none" w:sz="0" w:space="0" w:color="auto"/>
          </w:divBdr>
        </w:div>
        <w:div w:id="1656907128">
          <w:marLeft w:val="274"/>
          <w:marRight w:val="0"/>
          <w:marTop w:val="0"/>
          <w:marBottom w:val="0"/>
          <w:divBdr>
            <w:top w:val="none" w:sz="0" w:space="0" w:color="auto"/>
            <w:left w:val="none" w:sz="0" w:space="0" w:color="auto"/>
            <w:bottom w:val="none" w:sz="0" w:space="0" w:color="auto"/>
            <w:right w:val="none" w:sz="0" w:space="0" w:color="auto"/>
          </w:divBdr>
        </w:div>
        <w:div w:id="1832989945">
          <w:marLeft w:val="274"/>
          <w:marRight w:val="0"/>
          <w:marTop w:val="0"/>
          <w:marBottom w:val="0"/>
          <w:divBdr>
            <w:top w:val="none" w:sz="0" w:space="0" w:color="auto"/>
            <w:left w:val="none" w:sz="0" w:space="0" w:color="auto"/>
            <w:bottom w:val="none" w:sz="0" w:space="0" w:color="auto"/>
            <w:right w:val="none" w:sz="0" w:space="0" w:color="auto"/>
          </w:divBdr>
        </w:div>
      </w:divsChild>
    </w:div>
    <w:div w:id="683944691">
      <w:bodyDiv w:val="1"/>
      <w:marLeft w:val="0"/>
      <w:marRight w:val="0"/>
      <w:marTop w:val="0"/>
      <w:marBottom w:val="0"/>
      <w:divBdr>
        <w:top w:val="none" w:sz="0" w:space="0" w:color="auto"/>
        <w:left w:val="none" w:sz="0" w:space="0" w:color="auto"/>
        <w:bottom w:val="none" w:sz="0" w:space="0" w:color="auto"/>
        <w:right w:val="none" w:sz="0" w:space="0" w:color="auto"/>
      </w:divBdr>
      <w:divsChild>
        <w:div w:id="461726888">
          <w:marLeft w:val="0"/>
          <w:marRight w:val="0"/>
          <w:marTop w:val="0"/>
          <w:marBottom w:val="0"/>
          <w:divBdr>
            <w:top w:val="none" w:sz="0" w:space="0" w:color="auto"/>
            <w:left w:val="none" w:sz="0" w:space="0" w:color="auto"/>
            <w:bottom w:val="none" w:sz="0" w:space="0" w:color="auto"/>
            <w:right w:val="none" w:sz="0" w:space="0" w:color="auto"/>
          </w:divBdr>
        </w:div>
        <w:div w:id="1703706000">
          <w:marLeft w:val="0"/>
          <w:marRight w:val="0"/>
          <w:marTop w:val="0"/>
          <w:marBottom w:val="0"/>
          <w:divBdr>
            <w:top w:val="none" w:sz="0" w:space="0" w:color="auto"/>
            <w:left w:val="none" w:sz="0" w:space="0" w:color="auto"/>
            <w:bottom w:val="none" w:sz="0" w:space="0" w:color="auto"/>
            <w:right w:val="none" w:sz="0" w:space="0" w:color="auto"/>
          </w:divBdr>
        </w:div>
      </w:divsChild>
    </w:div>
    <w:div w:id="684938453">
      <w:bodyDiv w:val="1"/>
      <w:marLeft w:val="0"/>
      <w:marRight w:val="0"/>
      <w:marTop w:val="0"/>
      <w:marBottom w:val="0"/>
      <w:divBdr>
        <w:top w:val="none" w:sz="0" w:space="0" w:color="auto"/>
        <w:left w:val="none" w:sz="0" w:space="0" w:color="auto"/>
        <w:bottom w:val="none" w:sz="0" w:space="0" w:color="auto"/>
        <w:right w:val="none" w:sz="0" w:space="0" w:color="auto"/>
      </w:divBdr>
      <w:divsChild>
        <w:div w:id="9185196">
          <w:marLeft w:val="0"/>
          <w:marRight w:val="0"/>
          <w:marTop w:val="0"/>
          <w:marBottom w:val="0"/>
          <w:divBdr>
            <w:top w:val="none" w:sz="0" w:space="0" w:color="auto"/>
            <w:left w:val="none" w:sz="0" w:space="0" w:color="auto"/>
            <w:bottom w:val="none" w:sz="0" w:space="0" w:color="auto"/>
            <w:right w:val="none" w:sz="0" w:space="0" w:color="auto"/>
          </w:divBdr>
        </w:div>
        <w:div w:id="213397780">
          <w:marLeft w:val="0"/>
          <w:marRight w:val="0"/>
          <w:marTop w:val="0"/>
          <w:marBottom w:val="0"/>
          <w:divBdr>
            <w:top w:val="none" w:sz="0" w:space="0" w:color="auto"/>
            <w:left w:val="none" w:sz="0" w:space="0" w:color="auto"/>
            <w:bottom w:val="none" w:sz="0" w:space="0" w:color="auto"/>
            <w:right w:val="none" w:sz="0" w:space="0" w:color="auto"/>
          </w:divBdr>
        </w:div>
        <w:div w:id="370157677">
          <w:marLeft w:val="0"/>
          <w:marRight w:val="0"/>
          <w:marTop w:val="0"/>
          <w:marBottom w:val="0"/>
          <w:divBdr>
            <w:top w:val="none" w:sz="0" w:space="0" w:color="auto"/>
            <w:left w:val="none" w:sz="0" w:space="0" w:color="auto"/>
            <w:bottom w:val="none" w:sz="0" w:space="0" w:color="auto"/>
            <w:right w:val="none" w:sz="0" w:space="0" w:color="auto"/>
          </w:divBdr>
        </w:div>
        <w:div w:id="1518692540">
          <w:marLeft w:val="0"/>
          <w:marRight w:val="0"/>
          <w:marTop w:val="0"/>
          <w:marBottom w:val="0"/>
          <w:divBdr>
            <w:top w:val="none" w:sz="0" w:space="0" w:color="auto"/>
            <w:left w:val="none" w:sz="0" w:space="0" w:color="auto"/>
            <w:bottom w:val="none" w:sz="0" w:space="0" w:color="auto"/>
            <w:right w:val="none" w:sz="0" w:space="0" w:color="auto"/>
          </w:divBdr>
        </w:div>
        <w:div w:id="1778216544">
          <w:marLeft w:val="0"/>
          <w:marRight w:val="0"/>
          <w:marTop w:val="0"/>
          <w:marBottom w:val="0"/>
          <w:divBdr>
            <w:top w:val="none" w:sz="0" w:space="0" w:color="auto"/>
            <w:left w:val="none" w:sz="0" w:space="0" w:color="auto"/>
            <w:bottom w:val="none" w:sz="0" w:space="0" w:color="auto"/>
            <w:right w:val="none" w:sz="0" w:space="0" w:color="auto"/>
          </w:divBdr>
        </w:div>
        <w:div w:id="1837650500">
          <w:marLeft w:val="0"/>
          <w:marRight w:val="0"/>
          <w:marTop w:val="0"/>
          <w:marBottom w:val="0"/>
          <w:divBdr>
            <w:top w:val="none" w:sz="0" w:space="0" w:color="auto"/>
            <w:left w:val="none" w:sz="0" w:space="0" w:color="auto"/>
            <w:bottom w:val="none" w:sz="0" w:space="0" w:color="auto"/>
            <w:right w:val="none" w:sz="0" w:space="0" w:color="auto"/>
          </w:divBdr>
        </w:div>
      </w:divsChild>
    </w:div>
    <w:div w:id="728530342">
      <w:bodyDiv w:val="1"/>
      <w:marLeft w:val="0"/>
      <w:marRight w:val="0"/>
      <w:marTop w:val="0"/>
      <w:marBottom w:val="0"/>
      <w:divBdr>
        <w:top w:val="none" w:sz="0" w:space="0" w:color="auto"/>
        <w:left w:val="none" w:sz="0" w:space="0" w:color="auto"/>
        <w:bottom w:val="none" w:sz="0" w:space="0" w:color="auto"/>
        <w:right w:val="none" w:sz="0" w:space="0" w:color="auto"/>
      </w:divBdr>
    </w:div>
    <w:div w:id="735786839">
      <w:bodyDiv w:val="1"/>
      <w:marLeft w:val="0"/>
      <w:marRight w:val="0"/>
      <w:marTop w:val="0"/>
      <w:marBottom w:val="0"/>
      <w:divBdr>
        <w:top w:val="none" w:sz="0" w:space="0" w:color="auto"/>
        <w:left w:val="none" w:sz="0" w:space="0" w:color="auto"/>
        <w:bottom w:val="none" w:sz="0" w:space="0" w:color="auto"/>
        <w:right w:val="none" w:sz="0" w:space="0" w:color="auto"/>
      </w:divBdr>
    </w:div>
    <w:div w:id="736245843">
      <w:bodyDiv w:val="1"/>
      <w:marLeft w:val="0"/>
      <w:marRight w:val="0"/>
      <w:marTop w:val="0"/>
      <w:marBottom w:val="0"/>
      <w:divBdr>
        <w:top w:val="none" w:sz="0" w:space="0" w:color="auto"/>
        <w:left w:val="none" w:sz="0" w:space="0" w:color="auto"/>
        <w:bottom w:val="none" w:sz="0" w:space="0" w:color="auto"/>
        <w:right w:val="none" w:sz="0" w:space="0" w:color="auto"/>
      </w:divBdr>
      <w:divsChild>
        <w:div w:id="12002530">
          <w:marLeft w:val="994"/>
          <w:marRight w:val="0"/>
          <w:marTop w:val="0"/>
          <w:marBottom w:val="0"/>
          <w:divBdr>
            <w:top w:val="none" w:sz="0" w:space="0" w:color="auto"/>
            <w:left w:val="none" w:sz="0" w:space="0" w:color="auto"/>
            <w:bottom w:val="none" w:sz="0" w:space="0" w:color="auto"/>
            <w:right w:val="none" w:sz="0" w:space="0" w:color="auto"/>
          </w:divBdr>
        </w:div>
        <w:div w:id="39786032">
          <w:marLeft w:val="994"/>
          <w:marRight w:val="0"/>
          <w:marTop w:val="0"/>
          <w:marBottom w:val="0"/>
          <w:divBdr>
            <w:top w:val="none" w:sz="0" w:space="0" w:color="auto"/>
            <w:left w:val="none" w:sz="0" w:space="0" w:color="auto"/>
            <w:bottom w:val="none" w:sz="0" w:space="0" w:color="auto"/>
            <w:right w:val="none" w:sz="0" w:space="0" w:color="auto"/>
          </w:divBdr>
        </w:div>
        <w:div w:id="507527560">
          <w:marLeft w:val="274"/>
          <w:marRight w:val="0"/>
          <w:marTop w:val="0"/>
          <w:marBottom w:val="0"/>
          <w:divBdr>
            <w:top w:val="none" w:sz="0" w:space="0" w:color="auto"/>
            <w:left w:val="none" w:sz="0" w:space="0" w:color="auto"/>
            <w:bottom w:val="none" w:sz="0" w:space="0" w:color="auto"/>
            <w:right w:val="none" w:sz="0" w:space="0" w:color="auto"/>
          </w:divBdr>
        </w:div>
        <w:div w:id="515729194">
          <w:marLeft w:val="274"/>
          <w:marRight w:val="0"/>
          <w:marTop w:val="0"/>
          <w:marBottom w:val="0"/>
          <w:divBdr>
            <w:top w:val="none" w:sz="0" w:space="0" w:color="auto"/>
            <w:left w:val="none" w:sz="0" w:space="0" w:color="auto"/>
            <w:bottom w:val="none" w:sz="0" w:space="0" w:color="auto"/>
            <w:right w:val="none" w:sz="0" w:space="0" w:color="auto"/>
          </w:divBdr>
        </w:div>
        <w:div w:id="682174401">
          <w:marLeft w:val="274"/>
          <w:marRight w:val="0"/>
          <w:marTop w:val="0"/>
          <w:marBottom w:val="0"/>
          <w:divBdr>
            <w:top w:val="none" w:sz="0" w:space="0" w:color="auto"/>
            <w:left w:val="none" w:sz="0" w:space="0" w:color="auto"/>
            <w:bottom w:val="none" w:sz="0" w:space="0" w:color="auto"/>
            <w:right w:val="none" w:sz="0" w:space="0" w:color="auto"/>
          </w:divBdr>
        </w:div>
        <w:div w:id="1598176184">
          <w:marLeft w:val="274"/>
          <w:marRight w:val="0"/>
          <w:marTop w:val="0"/>
          <w:marBottom w:val="0"/>
          <w:divBdr>
            <w:top w:val="none" w:sz="0" w:space="0" w:color="auto"/>
            <w:left w:val="none" w:sz="0" w:space="0" w:color="auto"/>
            <w:bottom w:val="none" w:sz="0" w:space="0" w:color="auto"/>
            <w:right w:val="none" w:sz="0" w:space="0" w:color="auto"/>
          </w:divBdr>
        </w:div>
      </w:divsChild>
    </w:div>
    <w:div w:id="743340304">
      <w:bodyDiv w:val="1"/>
      <w:marLeft w:val="0"/>
      <w:marRight w:val="0"/>
      <w:marTop w:val="0"/>
      <w:marBottom w:val="0"/>
      <w:divBdr>
        <w:top w:val="none" w:sz="0" w:space="0" w:color="auto"/>
        <w:left w:val="none" w:sz="0" w:space="0" w:color="auto"/>
        <w:bottom w:val="none" w:sz="0" w:space="0" w:color="auto"/>
        <w:right w:val="none" w:sz="0" w:space="0" w:color="auto"/>
      </w:divBdr>
      <w:divsChild>
        <w:div w:id="156651793">
          <w:marLeft w:val="994"/>
          <w:marRight w:val="0"/>
          <w:marTop w:val="0"/>
          <w:marBottom w:val="0"/>
          <w:divBdr>
            <w:top w:val="none" w:sz="0" w:space="0" w:color="auto"/>
            <w:left w:val="none" w:sz="0" w:space="0" w:color="auto"/>
            <w:bottom w:val="none" w:sz="0" w:space="0" w:color="auto"/>
            <w:right w:val="none" w:sz="0" w:space="0" w:color="auto"/>
          </w:divBdr>
        </w:div>
        <w:div w:id="764307709">
          <w:marLeft w:val="274"/>
          <w:marRight w:val="0"/>
          <w:marTop w:val="0"/>
          <w:marBottom w:val="0"/>
          <w:divBdr>
            <w:top w:val="none" w:sz="0" w:space="0" w:color="auto"/>
            <w:left w:val="none" w:sz="0" w:space="0" w:color="auto"/>
            <w:bottom w:val="none" w:sz="0" w:space="0" w:color="auto"/>
            <w:right w:val="none" w:sz="0" w:space="0" w:color="auto"/>
          </w:divBdr>
        </w:div>
        <w:div w:id="1094402984">
          <w:marLeft w:val="994"/>
          <w:marRight w:val="0"/>
          <w:marTop w:val="0"/>
          <w:marBottom w:val="0"/>
          <w:divBdr>
            <w:top w:val="none" w:sz="0" w:space="0" w:color="auto"/>
            <w:left w:val="none" w:sz="0" w:space="0" w:color="auto"/>
            <w:bottom w:val="none" w:sz="0" w:space="0" w:color="auto"/>
            <w:right w:val="none" w:sz="0" w:space="0" w:color="auto"/>
          </w:divBdr>
        </w:div>
        <w:div w:id="1360358208">
          <w:marLeft w:val="274"/>
          <w:marRight w:val="0"/>
          <w:marTop w:val="0"/>
          <w:marBottom w:val="0"/>
          <w:divBdr>
            <w:top w:val="none" w:sz="0" w:space="0" w:color="auto"/>
            <w:left w:val="none" w:sz="0" w:space="0" w:color="auto"/>
            <w:bottom w:val="none" w:sz="0" w:space="0" w:color="auto"/>
            <w:right w:val="none" w:sz="0" w:space="0" w:color="auto"/>
          </w:divBdr>
        </w:div>
      </w:divsChild>
    </w:div>
    <w:div w:id="745034267">
      <w:bodyDiv w:val="1"/>
      <w:marLeft w:val="0"/>
      <w:marRight w:val="0"/>
      <w:marTop w:val="0"/>
      <w:marBottom w:val="0"/>
      <w:divBdr>
        <w:top w:val="none" w:sz="0" w:space="0" w:color="auto"/>
        <w:left w:val="none" w:sz="0" w:space="0" w:color="auto"/>
        <w:bottom w:val="none" w:sz="0" w:space="0" w:color="auto"/>
        <w:right w:val="none" w:sz="0" w:space="0" w:color="auto"/>
      </w:divBdr>
      <w:divsChild>
        <w:div w:id="465122136">
          <w:marLeft w:val="0"/>
          <w:marRight w:val="0"/>
          <w:marTop w:val="0"/>
          <w:marBottom w:val="0"/>
          <w:divBdr>
            <w:top w:val="none" w:sz="0" w:space="0" w:color="auto"/>
            <w:left w:val="none" w:sz="0" w:space="0" w:color="auto"/>
            <w:bottom w:val="none" w:sz="0" w:space="0" w:color="auto"/>
            <w:right w:val="none" w:sz="0" w:space="0" w:color="auto"/>
          </w:divBdr>
        </w:div>
        <w:div w:id="1147555789">
          <w:marLeft w:val="0"/>
          <w:marRight w:val="0"/>
          <w:marTop w:val="0"/>
          <w:marBottom w:val="0"/>
          <w:divBdr>
            <w:top w:val="none" w:sz="0" w:space="0" w:color="auto"/>
            <w:left w:val="none" w:sz="0" w:space="0" w:color="auto"/>
            <w:bottom w:val="none" w:sz="0" w:space="0" w:color="auto"/>
            <w:right w:val="none" w:sz="0" w:space="0" w:color="auto"/>
          </w:divBdr>
        </w:div>
        <w:div w:id="1605459434">
          <w:marLeft w:val="0"/>
          <w:marRight w:val="0"/>
          <w:marTop w:val="0"/>
          <w:marBottom w:val="0"/>
          <w:divBdr>
            <w:top w:val="none" w:sz="0" w:space="0" w:color="auto"/>
            <w:left w:val="none" w:sz="0" w:space="0" w:color="auto"/>
            <w:bottom w:val="none" w:sz="0" w:space="0" w:color="auto"/>
            <w:right w:val="none" w:sz="0" w:space="0" w:color="auto"/>
          </w:divBdr>
        </w:div>
        <w:div w:id="2033414605">
          <w:marLeft w:val="0"/>
          <w:marRight w:val="0"/>
          <w:marTop w:val="0"/>
          <w:marBottom w:val="0"/>
          <w:divBdr>
            <w:top w:val="none" w:sz="0" w:space="0" w:color="auto"/>
            <w:left w:val="none" w:sz="0" w:space="0" w:color="auto"/>
            <w:bottom w:val="none" w:sz="0" w:space="0" w:color="auto"/>
            <w:right w:val="none" w:sz="0" w:space="0" w:color="auto"/>
          </w:divBdr>
        </w:div>
        <w:div w:id="2067096657">
          <w:marLeft w:val="0"/>
          <w:marRight w:val="0"/>
          <w:marTop w:val="0"/>
          <w:marBottom w:val="0"/>
          <w:divBdr>
            <w:top w:val="none" w:sz="0" w:space="0" w:color="auto"/>
            <w:left w:val="none" w:sz="0" w:space="0" w:color="auto"/>
            <w:bottom w:val="none" w:sz="0" w:space="0" w:color="auto"/>
            <w:right w:val="none" w:sz="0" w:space="0" w:color="auto"/>
          </w:divBdr>
        </w:div>
      </w:divsChild>
    </w:div>
    <w:div w:id="751512421">
      <w:bodyDiv w:val="1"/>
      <w:marLeft w:val="0"/>
      <w:marRight w:val="0"/>
      <w:marTop w:val="0"/>
      <w:marBottom w:val="0"/>
      <w:divBdr>
        <w:top w:val="none" w:sz="0" w:space="0" w:color="auto"/>
        <w:left w:val="none" w:sz="0" w:space="0" w:color="auto"/>
        <w:bottom w:val="none" w:sz="0" w:space="0" w:color="auto"/>
        <w:right w:val="none" w:sz="0" w:space="0" w:color="auto"/>
      </w:divBdr>
    </w:div>
    <w:div w:id="755512958">
      <w:bodyDiv w:val="1"/>
      <w:marLeft w:val="0"/>
      <w:marRight w:val="0"/>
      <w:marTop w:val="0"/>
      <w:marBottom w:val="0"/>
      <w:divBdr>
        <w:top w:val="none" w:sz="0" w:space="0" w:color="auto"/>
        <w:left w:val="none" w:sz="0" w:space="0" w:color="auto"/>
        <w:bottom w:val="none" w:sz="0" w:space="0" w:color="auto"/>
        <w:right w:val="none" w:sz="0" w:space="0" w:color="auto"/>
      </w:divBdr>
    </w:div>
    <w:div w:id="791634877">
      <w:bodyDiv w:val="1"/>
      <w:marLeft w:val="0"/>
      <w:marRight w:val="0"/>
      <w:marTop w:val="0"/>
      <w:marBottom w:val="0"/>
      <w:divBdr>
        <w:top w:val="none" w:sz="0" w:space="0" w:color="auto"/>
        <w:left w:val="none" w:sz="0" w:space="0" w:color="auto"/>
        <w:bottom w:val="none" w:sz="0" w:space="0" w:color="auto"/>
        <w:right w:val="none" w:sz="0" w:space="0" w:color="auto"/>
      </w:divBdr>
    </w:div>
    <w:div w:id="800000545">
      <w:bodyDiv w:val="1"/>
      <w:marLeft w:val="0"/>
      <w:marRight w:val="0"/>
      <w:marTop w:val="0"/>
      <w:marBottom w:val="0"/>
      <w:divBdr>
        <w:top w:val="none" w:sz="0" w:space="0" w:color="auto"/>
        <w:left w:val="none" w:sz="0" w:space="0" w:color="auto"/>
        <w:bottom w:val="none" w:sz="0" w:space="0" w:color="auto"/>
        <w:right w:val="none" w:sz="0" w:space="0" w:color="auto"/>
      </w:divBdr>
      <w:divsChild>
        <w:div w:id="90012243">
          <w:marLeft w:val="0"/>
          <w:marRight w:val="0"/>
          <w:marTop w:val="0"/>
          <w:marBottom w:val="0"/>
          <w:divBdr>
            <w:top w:val="none" w:sz="0" w:space="0" w:color="auto"/>
            <w:left w:val="none" w:sz="0" w:space="0" w:color="auto"/>
            <w:bottom w:val="none" w:sz="0" w:space="0" w:color="auto"/>
            <w:right w:val="none" w:sz="0" w:space="0" w:color="auto"/>
          </w:divBdr>
        </w:div>
        <w:div w:id="1317222852">
          <w:marLeft w:val="0"/>
          <w:marRight w:val="0"/>
          <w:marTop w:val="0"/>
          <w:marBottom w:val="0"/>
          <w:divBdr>
            <w:top w:val="none" w:sz="0" w:space="0" w:color="auto"/>
            <w:left w:val="none" w:sz="0" w:space="0" w:color="auto"/>
            <w:bottom w:val="none" w:sz="0" w:space="0" w:color="auto"/>
            <w:right w:val="none" w:sz="0" w:space="0" w:color="auto"/>
          </w:divBdr>
        </w:div>
        <w:div w:id="1962223357">
          <w:marLeft w:val="0"/>
          <w:marRight w:val="0"/>
          <w:marTop w:val="0"/>
          <w:marBottom w:val="0"/>
          <w:divBdr>
            <w:top w:val="none" w:sz="0" w:space="0" w:color="auto"/>
            <w:left w:val="none" w:sz="0" w:space="0" w:color="auto"/>
            <w:bottom w:val="none" w:sz="0" w:space="0" w:color="auto"/>
            <w:right w:val="none" w:sz="0" w:space="0" w:color="auto"/>
          </w:divBdr>
        </w:div>
      </w:divsChild>
    </w:div>
    <w:div w:id="800461550">
      <w:bodyDiv w:val="1"/>
      <w:marLeft w:val="0"/>
      <w:marRight w:val="0"/>
      <w:marTop w:val="0"/>
      <w:marBottom w:val="0"/>
      <w:divBdr>
        <w:top w:val="none" w:sz="0" w:space="0" w:color="auto"/>
        <w:left w:val="none" w:sz="0" w:space="0" w:color="auto"/>
        <w:bottom w:val="none" w:sz="0" w:space="0" w:color="auto"/>
        <w:right w:val="none" w:sz="0" w:space="0" w:color="auto"/>
      </w:divBdr>
      <w:divsChild>
        <w:div w:id="36778576">
          <w:marLeft w:val="0"/>
          <w:marRight w:val="0"/>
          <w:marTop w:val="0"/>
          <w:marBottom w:val="0"/>
          <w:divBdr>
            <w:top w:val="none" w:sz="0" w:space="0" w:color="auto"/>
            <w:left w:val="none" w:sz="0" w:space="0" w:color="auto"/>
            <w:bottom w:val="none" w:sz="0" w:space="0" w:color="auto"/>
            <w:right w:val="none" w:sz="0" w:space="0" w:color="auto"/>
          </w:divBdr>
        </w:div>
        <w:div w:id="162403286">
          <w:marLeft w:val="0"/>
          <w:marRight w:val="0"/>
          <w:marTop w:val="0"/>
          <w:marBottom w:val="0"/>
          <w:divBdr>
            <w:top w:val="none" w:sz="0" w:space="0" w:color="auto"/>
            <w:left w:val="none" w:sz="0" w:space="0" w:color="auto"/>
            <w:bottom w:val="none" w:sz="0" w:space="0" w:color="auto"/>
            <w:right w:val="none" w:sz="0" w:space="0" w:color="auto"/>
          </w:divBdr>
        </w:div>
        <w:div w:id="229048910">
          <w:marLeft w:val="0"/>
          <w:marRight w:val="0"/>
          <w:marTop w:val="0"/>
          <w:marBottom w:val="0"/>
          <w:divBdr>
            <w:top w:val="none" w:sz="0" w:space="0" w:color="auto"/>
            <w:left w:val="none" w:sz="0" w:space="0" w:color="auto"/>
            <w:bottom w:val="none" w:sz="0" w:space="0" w:color="auto"/>
            <w:right w:val="none" w:sz="0" w:space="0" w:color="auto"/>
          </w:divBdr>
        </w:div>
        <w:div w:id="230432496">
          <w:marLeft w:val="0"/>
          <w:marRight w:val="0"/>
          <w:marTop w:val="0"/>
          <w:marBottom w:val="0"/>
          <w:divBdr>
            <w:top w:val="none" w:sz="0" w:space="0" w:color="auto"/>
            <w:left w:val="none" w:sz="0" w:space="0" w:color="auto"/>
            <w:bottom w:val="none" w:sz="0" w:space="0" w:color="auto"/>
            <w:right w:val="none" w:sz="0" w:space="0" w:color="auto"/>
          </w:divBdr>
        </w:div>
        <w:div w:id="231085659">
          <w:marLeft w:val="0"/>
          <w:marRight w:val="0"/>
          <w:marTop w:val="0"/>
          <w:marBottom w:val="0"/>
          <w:divBdr>
            <w:top w:val="none" w:sz="0" w:space="0" w:color="auto"/>
            <w:left w:val="none" w:sz="0" w:space="0" w:color="auto"/>
            <w:bottom w:val="none" w:sz="0" w:space="0" w:color="auto"/>
            <w:right w:val="none" w:sz="0" w:space="0" w:color="auto"/>
          </w:divBdr>
        </w:div>
        <w:div w:id="310523733">
          <w:marLeft w:val="0"/>
          <w:marRight w:val="0"/>
          <w:marTop w:val="0"/>
          <w:marBottom w:val="0"/>
          <w:divBdr>
            <w:top w:val="none" w:sz="0" w:space="0" w:color="auto"/>
            <w:left w:val="none" w:sz="0" w:space="0" w:color="auto"/>
            <w:bottom w:val="none" w:sz="0" w:space="0" w:color="auto"/>
            <w:right w:val="none" w:sz="0" w:space="0" w:color="auto"/>
          </w:divBdr>
        </w:div>
        <w:div w:id="656147451">
          <w:marLeft w:val="0"/>
          <w:marRight w:val="0"/>
          <w:marTop w:val="0"/>
          <w:marBottom w:val="0"/>
          <w:divBdr>
            <w:top w:val="none" w:sz="0" w:space="0" w:color="auto"/>
            <w:left w:val="none" w:sz="0" w:space="0" w:color="auto"/>
            <w:bottom w:val="none" w:sz="0" w:space="0" w:color="auto"/>
            <w:right w:val="none" w:sz="0" w:space="0" w:color="auto"/>
          </w:divBdr>
        </w:div>
        <w:div w:id="856381485">
          <w:marLeft w:val="0"/>
          <w:marRight w:val="0"/>
          <w:marTop w:val="0"/>
          <w:marBottom w:val="0"/>
          <w:divBdr>
            <w:top w:val="none" w:sz="0" w:space="0" w:color="auto"/>
            <w:left w:val="none" w:sz="0" w:space="0" w:color="auto"/>
            <w:bottom w:val="none" w:sz="0" w:space="0" w:color="auto"/>
            <w:right w:val="none" w:sz="0" w:space="0" w:color="auto"/>
          </w:divBdr>
        </w:div>
        <w:div w:id="868908625">
          <w:marLeft w:val="0"/>
          <w:marRight w:val="0"/>
          <w:marTop w:val="0"/>
          <w:marBottom w:val="0"/>
          <w:divBdr>
            <w:top w:val="none" w:sz="0" w:space="0" w:color="auto"/>
            <w:left w:val="none" w:sz="0" w:space="0" w:color="auto"/>
            <w:bottom w:val="none" w:sz="0" w:space="0" w:color="auto"/>
            <w:right w:val="none" w:sz="0" w:space="0" w:color="auto"/>
          </w:divBdr>
        </w:div>
        <w:div w:id="924221365">
          <w:marLeft w:val="0"/>
          <w:marRight w:val="0"/>
          <w:marTop w:val="0"/>
          <w:marBottom w:val="0"/>
          <w:divBdr>
            <w:top w:val="none" w:sz="0" w:space="0" w:color="auto"/>
            <w:left w:val="none" w:sz="0" w:space="0" w:color="auto"/>
            <w:bottom w:val="none" w:sz="0" w:space="0" w:color="auto"/>
            <w:right w:val="none" w:sz="0" w:space="0" w:color="auto"/>
          </w:divBdr>
        </w:div>
        <w:div w:id="1005476262">
          <w:marLeft w:val="0"/>
          <w:marRight w:val="0"/>
          <w:marTop w:val="0"/>
          <w:marBottom w:val="0"/>
          <w:divBdr>
            <w:top w:val="none" w:sz="0" w:space="0" w:color="auto"/>
            <w:left w:val="none" w:sz="0" w:space="0" w:color="auto"/>
            <w:bottom w:val="none" w:sz="0" w:space="0" w:color="auto"/>
            <w:right w:val="none" w:sz="0" w:space="0" w:color="auto"/>
          </w:divBdr>
        </w:div>
        <w:div w:id="1049375582">
          <w:marLeft w:val="0"/>
          <w:marRight w:val="0"/>
          <w:marTop w:val="0"/>
          <w:marBottom w:val="0"/>
          <w:divBdr>
            <w:top w:val="none" w:sz="0" w:space="0" w:color="auto"/>
            <w:left w:val="none" w:sz="0" w:space="0" w:color="auto"/>
            <w:bottom w:val="none" w:sz="0" w:space="0" w:color="auto"/>
            <w:right w:val="none" w:sz="0" w:space="0" w:color="auto"/>
          </w:divBdr>
        </w:div>
        <w:div w:id="1208033062">
          <w:marLeft w:val="0"/>
          <w:marRight w:val="0"/>
          <w:marTop w:val="0"/>
          <w:marBottom w:val="0"/>
          <w:divBdr>
            <w:top w:val="none" w:sz="0" w:space="0" w:color="auto"/>
            <w:left w:val="none" w:sz="0" w:space="0" w:color="auto"/>
            <w:bottom w:val="none" w:sz="0" w:space="0" w:color="auto"/>
            <w:right w:val="none" w:sz="0" w:space="0" w:color="auto"/>
          </w:divBdr>
        </w:div>
        <w:div w:id="1251430244">
          <w:marLeft w:val="0"/>
          <w:marRight w:val="0"/>
          <w:marTop w:val="0"/>
          <w:marBottom w:val="0"/>
          <w:divBdr>
            <w:top w:val="none" w:sz="0" w:space="0" w:color="auto"/>
            <w:left w:val="none" w:sz="0" w:space="0" w:color="auto"/>
            <w:bottom w:val="none" w:sz="0" w:space="0" w:color="auto"/>
            <w:right w:val="none" w:sz="0" w:space="0" w:color="auto"/>
          </w:divBdr>
        </w:div>
        <w:div w:id="1262252534">
          <w:marLeft w:val="0"/>
          <w:marRight w:val="0"/>
          <w:marTop w:val="0"/>
          <w:marBottom w:val="0"/>
          <w:divBdr>
            <w:top w:val="none" w:sz="0" w:space="0" w:color="auto"/>
            <w:left w:val="none" w:sz="0" w:space="0" w:color="auto"/>
            <w:bottom w:val="none" w:sz="0" w:space="0" w:color="auto"/>
            <w:right w:val="none" w:sz="0" w:space="0" w:color="auto"/>
          </w:divBdr>
        </w:div>
        <w:div w:id="1271165868">
          <w:marLeft w:val="0"/>
          <w:marRight w:val="0"/>
          <w:marTop w:val="0"/>
          <w:marBottom w:val="0"/>
          <w:divBdr>
            <w:top w:val="none" w:sz="0" w:space="0" w:color="auto"/>
            <w:left w:val="none" w:sz="0" w:space="0" w:color="auto"/>
            <w:bottom w:val="none" w:sz="0" w:space="0" w:color="auto"/>
            <w:right w:val="none" w:sz="0" w:space="0" w:color="auto"/>
          </w:divBdr>
        </w:div>
        <w:div w:id="1322466185">
          <w:marLeft w:val="0"/>
          <w:marRight w:val="0"/>
          <w:marTop w:val="0"/>
          <w:marBottom w:val="0"/>
          <w:divBdr>
            <w:top w:val="none" w:sz="0" w:space="0" w:color="auto"/>
            <w:left w:val="none" w:sz="0" w:space="0" w:color="auto"/>
            <w:bottom w:val="none" w:sz="0" w:space="0" w:color="auto"/>
            <w:right w:val="none" w:sz="0" w:space="0" w:color="auto"/>
          </w:divBdr>
        </w:div>
        <w:div w:id="1343701133">
          <w:marLeft w:val="0"/>
          <w:marRight w:val="0"/>
          <w:marTop w:val="0"/>
          <w:marBottom w:val="0"/>
          <w:divBdr>
            <w:top w:val="none" w:sz="0" w:space="0" w:color="auto"/>
            <w:left w:val="none" w:sz="0" w:space="0" w:color="auto"/>
            <w:bottom w:val="none" w:sz="0" w:space="0" w:color="auto"/>
            <w:right w:val="none" w:sz="0" w:space="0" w:color="auto"/>
          </w:divBdr>
        </w:div>
        <w:div w:id="1639215700">
          <w:marLeft w:val="0"/>
          <w:marRight w:val="0"/>
          <w:marTop w:val="0"/>
          <w:marBottom w:val="0"/>
          <w:divBdr>
            <w:top w:val="none" w:sz="0" w:space="0" w:color="auto"/>
            <w:left w:val="none" w:sz="0" w:space="0" w:color="auto"/>
            <w:bottom w:val="none" w:sz="0" w:space="0" w:color="auto"/>
            <w:right w:val="none" w:sz="0" w:space="0" w:color="auto"/>
          </w:divBdr>
        </w:div>
        <w:div w:id="1735155573">
          <w:marLeft w:val="0"/>
          <w:marRight w:val="0"/>
          <w:marTop w:val="0"/>
          <w:marBottom w:val="0"/>
          <w:divBdr>
            <w:top w:val="none" w:sz="0" w:space="0" w:color="auto"/>
            <w:left w:val="none" w:sz="0" w:space="0" w:color="auto"/>
            <w:bottom w:val="none" w:sz="0" w:space="0" w:color="auto"/>
            <w:right w:val="none" w:sz="0" w:space="0" w:color="auto"/>
          </w:divBdr>
        </w:div>
        <w:div w:id="2042509180">
          <w:marLeft w:val="0"/>
          <w:marRight w:val="0"/>
          <w:marTop w:val="0"/>
          <w:marBottom w:val="0"/>
          <w:divBdr>
            <w:top w:val="none" w:sz="0" w:space="0" w:color="auto"/>
            <w:left w:val="none" w:sz="0" w:space="0" w:color="auto"/>
            <w:bottom w:val="none" w:sz="0" w:space="0" w:color="auto"/>
            <w:right w:val="none" w:sz="0" w:space="0" w:color="auto"/>
          </w:divBdr>
        </w:div>
      </w:divsChild>
    </w:div>
    <w:div w:id="802238412">
      <w:bodyDiv w:val="1"/>
      <w:marLeft w:val="0"/>
      <w:marRight w:val="0"/>
      <w:marTop w:val="0"/>
      <w:marBottom w:val="0"/>
      <w:divBdr>
        <w:top w:val="none" w:sz="0" w:space="0" w:color="auto"/>
        <w:left w:val="none" w:sz="0" w:space="0" w:color="auto"/>
        <w:bottom w:val="none" w:sz="0" w:space="0" w:color="auto"/>
        <w:right w:val="none" w:sz="0" w:space="0" w:color="auto"/>
      </w:divBdr>
      <w:divsChild>
        <w:div w:id="23361024">
          <w:marLeft w:val="0"/>
          <w:marRight w:val="0"/>
          <w:marTop w:val="0"/>
          <w:marBottom w:val="0"/>
          <w:divBdr>
            <w:top w:val="none" w:sz="0" w:space="0" w:color="auto"/>
            <w:left w:val="none" w:sz="0" w:space="0" w:color="auto"/>
            <w:bottom w:val="none" w:sz="0" w:space="0" w:color="auto"/>
            <w:right w:val="none" w:sz="0" w:space="0" w:color="auto"/>
          </w:divBdr>
        </w:div>
        <w:div w:id="302928156">
          <w:marLeft w:val="0"/>
          <w:marRight w:val="0"/>
          <w:marTop w:val="0"/>
          <w:marBottom w:val="0"/>
          <w:divBdr>
            <w:top w:val="none" w:sz="0" w:space="0" w:color="auto"/>
            <w:left w:val="none" w:sz="0" w:space="0" w:color="auto"/>
            <w:bottom w:val="none" w:sz="0" w:space="0" w:color="auto"/>
            <w:right w:val="none" w:sz="0" w:space="0" w:color="auto"/>
          </w:divBdr>
        </w:div>
        <w:div w:id="367803428">
          <w:marLeft w:val="0"/>
          <w:marRight w:val="0"/>
          <w:marTop w:val="0"/>
          <w:marBottom w:val="0"/>
          <w:divBdr>
            <w:top w:val="none" w:sz="0" w:space="0" w:color="auto"/>
            <w:left w:val="none" w:sz="0" w:space="0" w:color="auto"/>
            <w:bottom w:val="none" w:sz="0" w:space="0" w:color="auto"/>
            <w:right w:val="none" w:sz="0" w:space="0" w:color="auto"/>
          </w:divBdr>
        </w:div>
        <w:div w:id="464658669">
          <w:marLeft w:val="0"/>
          <w:marRight w:val="0"/>
          <w:marTop w:val="0"/>
          <w:marBottom w:val="0"/>
          <w:divBdr>
            <w:top w:val="none" w:sz="0" w:space="0" w:color="auto"/>
            <w:left w:val="none" w:sz="0" w:space="0" w:color="auto"/>
            <w:bottom w:val="none" w:sz="0" w:space="0" w:color="auto"/>
            <w:right w:val="none" w:sz="0" w:space="0" w:color="auto"/>
          </w:divBdr>
        </w:div>
        <w:div w:id="719090344">
          <w:marLeft w:val="0"/>
          <w:marRight w:val="0"/>
          <w:marTop w:val="0"/>
          <w:marBottom w:val="0"/>
          <w:divBdr>
            <w:top w:val="none" w:sz="0" w:space="0" w:color="auto"/>
            <w:left w:val="none" w:sz="0" w:space="0" w:color="auto"/>
            <w:bottom w:val="none" w:sz="0" w:space="0" w:color="auto"/>
            <w:right w:val="none" w:sz="0" w:space="0" w:color="auto"/>
          </w:divBdr>
        </w:div>
        <w:div w:id="919288862">
          <w:marLeft w:val="0"/>
          <w:marRight w:val="0"/>
          <w:marTop w:val="0"/>
          <w:marBottom w:val="0"/>
          <w:divBdr>
            <w:top w:val="none" w:sz="0" w:space="0" w:color="auto"/>
            <w:left w:val="none" w:sz="0" w:space="0" w:color="auto"/>
            <w:bottom w:val="none" w:sz="0" w:space="0" w:color="auto"/>
            <w:right w:val="none" w:sz="0" w:space="0" w:color="auto"/>
          </w:divBdr>
        </w:div>
        <w:div w:id="1089275149">
          <w:marLeft w:val="0"/>
          <w:marRight w:val="0"/>
          <w:marTop w:val="0"/>
          <w:marBottom w:val="0"/>
          <w:divBdr>
            <w:top w:val="none" w:sz="0" w:space="0" w:color="auto"/>
            <w:left w:val="none" w:sz="0" w:space="0" w:color="auto"/>
            <w:bottom w:val="none" w:sz="0" w:space="0" w:color="auto"/>
            <w:right w:val="none" w:sz="0" w:space="0" w:color="auto"/>
          </w:divBdr>
        </w:div>
        <w:div w:id="1209491919">
          <w:marLeft w:val="0"/>
          <w:marRight w:val="0"/>
          <w:marTop w:val="0"/>
          <w:marBottom w:val="0"/>
          <w:divBdr>
            <w:top w:val="none" w:sz="0" w:space="0" w:color="auto"/>
            <w:left w:val="none" w:sz="0" w:space="0" w:color="auto"/>
            <w:bottom w:val="none" w:sz="0" w:space="0" w:color="auto"/>
            <w:right w:val="none" w:sz="0" w:space="0" w:color="auto"/>
          </w:divBdr>
        </w:div>
        <w:div w:id="1304850694">
          <w:marLeft w:val="0"/>
          <w:marRight w:val="0"/>
          <w:marTop w:val="0"/>
          <w:marBottom w:val="0"/>
          <w:divBdr>
            <w:top w:val="none" w:sz="0" w:space="0" w:color="auto"/>
            <w:left w:val="none" w:sz="0" w:space="0" w:color="auto"/>
            <w:bottom w:val="none" w:sz="0" w:space="0" w:color="auto"/>
            <w:right w:val="none" w:sz="0" w:space="0" w:color="auto"/>
          </w:divBdr>
        </w:div>
        <w:div w:id="1461068351">
          <w:marLeft w:val="0"/>
          <w:marRight w:val="0"/>
          <w:marTop w:val="0"/>
          <w:marBottom w:val="0"/>
          <w:divBdr>
            <w:top w:val="none" w:sz="0" w:space="0" w:color="auto"/>
            <w:left w:val="none" w:sz="0" w:space="0" w:color="auto"/>
            <w:bottom w:val="none" w:sz="0" w:space="0" w:color="auto"/>
            <w:right w:val="none" w:sz="0" w:space="0" w:color="auto"/>
          </w:divBdr>
        </w:div>
        <w:div w:id="1678802622">
          <w:marLeft w:val="0"/>
          <w:marRight w:val="0"/>
          <w:marTop w:val="0"/>
          <w:marBottom w:val="0"/>
          <w:divBdr>
            <w:top w:val="none" w:sz="0" w:space="0" w:color="auto"/>
            <w:left w:val="none" w:sz="0" w:space="0" w:color="auto"/>
            <w:bottom w:val="none" w:sz="0" w:space="0" w:color="auto"/>
            <w:right w:val="none" w:sz="0" w:space="0" w:color="auto"/>
          </w:divBdr>
        </w:div>
        <w:div w:id="1724476008">
          <w:marLeft w:val="0"/>
          <w:marRight w:val="0"/>
          <w:marTop w:val="0"/>
          <w:marBottom w:val="0"/>
          <w:divBdr>
            <w:top w:val="none" w:sz="0" w:space="0" w:color="auto"/>
            <w:left w:val="none" w:sz="0" w:space="0" w:color="auto"/>
            <w:bottom w:val="none" w:sz="0" w:space="0" w:color="auto"/>
            <w:right w:val="none" w:sz="0" w:space="0" w:color="auto"/>
          </w:divBdr>
        </w:div>
        <w:div w:id="1753509462">
          <w:marLeft w:val="0"/>
          <w:marRight w:val="0"/>
          <w:marTop w:val="0"/>
          <w:marBottom w:val="0"/>
          <w:divBdr>
            <w:top w:val="none" w:sz="0" w:space="0" w:color="auto"/>
            <w:left w:val="none" w:sz="0" w:space="0" w:color="auto"/>
            <w:bottom w:val="none" w:sz="0" w:space="0" w:color="auto"/>
            <w:right w:val="none" w:sz="0" w:space="0" w:color="auto"/>
          </w:divBdr>
        </w:div>
        <w:div w:id="1804884688">
          <w:marLeft w:val="0"/>
          <w:marRight w:val="0"/>
          <w:marTop w:val="0"/>
          <w:marBottom w:val="0"/>
          <w:divBdr>
            <w:top w:val="none" w:sz="0" w:space="0" w:color="auto"/>
            <w:left w:val="none" w:sz="0" w:space="0" w:color="auto"/>
            <w:bottom w:val="none" w:sz="0" w:space="0" w:color="auto"/>
            <w:right w:val="none" w:sz="0" w:space="0" w:color="auto"/>
          </w:divBdr>
        </w:div>
        <w:div w:id="1857889403">
          <w:marLeft w:val="0"/>
          <w:marRight w:val="0"/>
          <w:marTop w:val="0"/>
          <w:marBottom w:val="0"/>
          <w:divBdr>
            <w:top w:val="none" w:sz="0" w:space="0" w:color="auto"/>
            <w:left w:val="none" w:sz="0" w:space="0" w:color="auto"/>
            <w:bottom w:val="none" w:sz="0" w:space="0" w:color="auto"/>
            <w:right w:val="none" w:sz="0" w:space="0" w:color="auto"/>
          </w:divBdr>
        </w:div>
      </w:divsChild>
    </w:div>
    <w:div w:id="803278845">
      <w:bodyDiv w:val="1"/>
      <w:marLeft w:val="0"/>
      <w:marRight w:val="0"/>
      <w:marTop w:val="0"/>
      <w:marBottom w:val="0"/>
      <w:divBdr>
        <w:top w:val="none" w:sz="0" w:space="0" w:color="auto"/>
        <w:left w:val="none" w:sz="0" w:space="0" w:color="auto"/>
        <w:bottom w:val="none" w:sz="0" w:space="0" w:color="auto"/>
        <w:right w:val="none" w:sz="0" w:space="0" w:color="auto"/>
      </w:divBdr>
    </w:div>
    <w:div w:id="805515635">
      <w:bodyDiv w:val="1"/>
      <w:marLeft w:val="0"/>
      <w:marRight w:val="0"/>
      <w:marTop w:val="0"/>
      <w:marBottom w:val="0"/>
      <w:divBdr>
        <w:top w:val="none" w:sz="0" w:space="0" w:color="auto"/>
        <w:left w:val="none" w:sz="0" w:space="0" w:color="auto"/>
        <w:bottom w:val="none" w:sz="0" w:space="0" w:color="auto"/>
        <w:right w:val="none" w:sz="0" w:space="0" w:color="auto"/>
      </w:divBdr>
      <w:divsChild>
        <w:div w:id="62341379">
          <w:marLeft w:val="0"/>
          <w:marRight w:val="0"/>
          <w:marTop w:val="0"/>
          <w:marBottom w:val="0"/>
          <w:divBdr>
            <w:top w:val="none" w:sz="0" w:space="0" w:color="auto"/>
            <w:left w:val="none" w:sz="0" w:space="0" w:color="auto"/>
            <w:bottom w:val="none" w:sz="0" w:space="0" w:color="auto"/>
            <w:right w:val="none" w:sz="0" w:space="0" w:color="auto"/>
          </w:divBdr>
        </w:div>
        <w:div w:id="415707514">
          <w:marLeft w:val="0"/>
          <w:marRight w:val="0"/>
          <w:marTop w:val="0"/>
          <w:marBottom w:val="0"/>
          <w:divBdr>
            <w:top w:val="none" w:sz="0" w:space="0" w:color="auto"/>
            <w:left w:val="none" w:sz="0" w:space="0" w:color="auto"/>
            <w:bottom w:val="none" w:sz="0" w:space="0" w:color="auto"/>
            <w:right w:val="none" w:sz="0" w:space="0" w:color="auto"/>
          </w:divBdr>
        </w:div>
        <w:div w:id="447744656">
          <w:marLeft w:val="0"/>
          <w:marRight w:val="0"/>
          <w:marTop w:val="0"/>
          <w:marBottom w:val="0"/>
          <w:divBdr>
            <w:top w:val="none" w:sz="0" w:space="0" w:color="auto"/>
            <w:left w:val="none" w:sz="0" w:space="0" w:color="auto"/>
            <w:bottom w:val="none" w:sz="0" w:space="0" w:color="auto"/>
            <w:right w:val="none" w:sz="0" w:space="0" w:color="auto"/>
          </w:divBdr>
        </w:div>
        <w:div w:id="484785108">
          <w:marLeft w:val="0"/>
          <w:marRight w:val="0"/>
          <w:marTop w:val="0"/>
          <w:marBottom w:val="0"/>
          <w:divBdr>
            <w:top w:val="none" w:sz="0" w:space="0" w:color="auto"/>
            <w:left w:val="none" w:sz="0" w:space="0" w:color="auto"/>
            <w:bottom w:val="none" w:sz="0" w:space="0" w:color="auto"/>
            <w:right w:val="none" w:sz="0" w:space="0" w:color="auto"/>
          </w:divBdr>
        </w:div>
        <w:div w:id="493494407">
          <w:marLeft w:val="0"/>
          <w:marRight w:val="0"/>
          <w:marTop w:val="0"/>
          <w:marBottom w:val="0"/>
          <w:divBdr>
            <w:top w:val="none" w:sz="0" w:space="0" w:color="auto"/>
            <w:left w:val="none" w:sz="0" w:space="0" w:color="auto"/>
            <w:bottom w:val="none" w:sz="0" w:space="0" w:color="auto"/>
            <w:right w:val="none" w:sz="0" w:space="0" w:color="auto"/>
          </w:divBdr>
        </w:div>
        <w:div w:id="533999096">
          <w:marLeft w:val="0"/>
          <w:marRight w:val="0"/>
          <w:marTop w:val="0"/>
          <w:marBottom w:val="0"/>
          <w:divBdr>
            <w:top w:val="none" w:sz="0" w:space="0" w:color="auto"/>
            <w:left w:val="none" w:sz="0" w:space="0" w:color="auto"/>
            <w:bottom w:val="none" w:sz="0" w:space="0" w:color="auto"/>
            <w:right w:val="none" w:sz="0" w:space="0" w:color="auto"/>
          </w:divBdr>
        </w:div>
        <w:div w:id="785470103">
          <w:marLeft w:val="0"/>
          <w:marRight w:val="0"/>
          <w:marTop w:val="0"/>
          <w:marBottom w:val="0"/>
          <w:divBdr>
            <w:top w:val="none" w:sz="0" w:space="0" w:color="auto"/>
            <w:left w:val="none" w:sz="0" w:space="0" w:color="auto"/>
            <w:bottom w:val="none" w:sz="0" w:space="0" w:color="auto"/>
            <w:right w:val="none" w:sz="0" w:space="0" w:color="auto"/>
          </w:divBdr>
        </w:div>
        <w:div w:id="1030959912">
          <w:marLeft w:val="0"/>
          <w:marRight w:val="0"/>
          <w:marTop w:val="0"/>
          <w:marBottom w:val="0"/>
          <w:divBdr>
            <w:top w:val="none" w:sz="0" w:space="0" w:color="auto"/>
            <w:left w:val="none" w:sz="0" w:space="0" w:color="auto"/>
            <w:bottom w:val="none" w:sz="0" w:space="0" w:color="auto"/>
            <w:right w:val="none" w:sz="0" w:space="0" w:color="auto"/>
          </w:divBdr>
        </w:div>
        <w:div w:id="1094015617">
          <w:marLeft w:val="0"/>
          <w:marRight w:val="0"/>
          <w:marTop w:val="0"/>
          <w:marBottom w:val="0"/>
          <w:divBdr>
            <w:top w:val="none" w:sz="0" w:space="0" w:color="auto"/>
            <w:left w:val="none" w:sz="0" w:space="0" w:color="auto"/>
            <w:bottom w:val="none" w:sz="0" w:space="0" w:color="auto"/>
            <w:right w:val="none" w:sz="0" w:space="0" w:color="auto"/>
          </w:divBdr>
        </w:div>
        <w:div w:id="1276330845">
          <w:marLeft w:val="0"/>
          <w:marRight w:val="0"/>
          <w:marTop w:val="0"/>
          <w:marBottom w:val="0"/>
          <w:divBdr>
            <w:top w:val="none" w:sz="0" w:space="0" w:color="auto"/>
            <w:left w:val="none" w:sz="0" w:space="0" w:color="auto"/>
            <w:bottom w:val="none" w:sz="0" w:space="0" w:color="auto"/>
            <w:right w:val="none" w:sz="0" w:space="0" w:color="auto"/>
          </w:divBdr>
        </w:div>
        <w:div w:id="1470898474">
          <w:marLeft w:val="0"/>
          <w:marRight w:val="0"/>
          <w:marTop w:val="0"/>
          <w:marBottom w:val="0"/>
          <w:divBdr>
            <w:top w:val="none" w:sz="0" w:space="0" w:color="auto"/>
            <w:left w:val="none" w:sz="0" w:space="0" w:color="auto"/>
            <w:bottom w:val="none" w:sz="0" w:space="0" w:color="auto"/>
            <w:right w:val="none" w:sz="0" w:space="0" w:color="auto"/>
          </w:divBdr>
        </w:div>
        <w:div w:id="1564027593">
          <w:marLeft w:val="0"/>
          <w:marRight w:val="0"/>
          <w:marTop w:val="0"/>
          <w:marBottom w:val="0"/>
          <w:divBdr>
            <w:top w:val="none" w:sz="0" w:space="0" w:color="auto"/>
            <w:left w:val="none" w:sz="0" w:space="0" w:color="auto"/>
            <w:bottom w:val="none" w:sz="0" w:space="0" w:color="auto"/>
            <w:right w:val="none" w:sz="0" w:space="0" w:color="auto"/>
          </w:divBdr>
        </w:div>
        <w:div w:id="1591507231">
          <w:marLeft w:val="0"/>
          <w:marRight w:val="0"/>
          <w:marTop w:val="0"/>
          <w:marBottom w:val="0"/>
          <w:divBdr>
            <w:top w:val="none" w:sz="0" w:space="0" w:color="auto"/>
            <w:left w:val="none" w:sz="0" w:space="0" w:color="auto"/>
            <w:bottom w:val="none" w:sz="0" w:space="0" w:color="auto"/>
            <w:right w:val="none" w:sz="0" w:space="0" w:color="auto"/>
          </w:divBdr>
        </w:div>
        <w:div w:id="1728643663">
          <w:marLeft w:val="0"/>
          <w:marRight w:val="0"/>
          <w:marTop w:val="0"/>
          <w:marBottom w:val="0"/>
          <w:divBdr>
            <w:top w:val="none" w:sz="0" w:space="0" w:color="auto"/>
            <w:left w:val="none" w:sz="0" w:space="0" w:color="auto"/>
            <w:bottom w:val="none" w:sz="0" w:space="0" w:color="auto"/>
            <w:right w:val="none" w:sz="0" w:space="0" w:color="auto"/>
          </w:divBdr>
        </w:div>
        <w:div w:id="1873414590">
          <w:marLeft w:val="0"/>
          <w:marRight w:val="0"/>
          <w:marTop w:val="0"/>
          <w:marBottom w:val="0"/>
          <w:divBdr>
            <w:top w:val="none" w:sz="0" w:space="0" w:color="auto"/>
            <w:left w:val="none" w:sz="0" w:space="0" w:color="auto"/>
            <w:bottom w:val="none" w:sz="0" w:space="0" w:color="auto"/>
            <w:right w:val="none" w:sz="0" w:space="0" w:color="auto"/>
          </w:divBdr>
        </w:div>
      </w:divsChild>
    </w:div>
    <w:div w:id="808127872">
      <w:bodyDiv w:val="1"/>
      <w:marLeft w:val="0"/>
      <w:marRight w:val="0"/>
      <w:marTop w:val="0"/>
      <w:marBottom w:val="0"/>
      <w:divBdr>
        <w:top w:val="none" w:sz="0" w:space="0" w:color="auto"/>
        <w:left w:val="none" w:sz="0" w:space="0" w:color="auto"/>
        <w:bottom w:val="none" w:sz="0" w:space="0" w:color="auto"/>
        <w:right w:val="none" w:sz="0" w:space="0" w:color="auto"/>
      </w:divBdr>
      <w:divsChild>
        <w:div w:id="6757654">
          <w:marLeft w:val="0"/>
          <w:marRight w:val="0"/>
          <w:marTop w:val="0"/>
          <w:marBottom w:val="0"/>
          <w:divBdr>
            <w:top w:val="none" w:sz="0" w:space="0" w:color="auto"/>
            <w:left w:val="none" w:sz="0" w:space="0" w:color="auto"/>
            <w:bottom w:val="none" w:sz="0" w:space="0" w:color="auto"/>
            <w:right w:val="none" w:sz="0" w:space="0" w:color="auto"/>
          </w:divBdr>
        </w:div>
        <w:div w:id="16008620">
          <w:marLeft w:val="0"/>
          <w:marRight w:val="0"/>
          <w:marTop w:val="0"/>
          <w:marBottom w:val="0"/>
          <w:divBdr>
            <w:top w:val="none" w:sz="0" w:space="0" w:color="auto"/>
            <w:left w:val="none" w:sz="0" w:space="0" w:color="auto"/>
            <w:bottom w:val="none" w:sz="0" w:space="0" w:color="auto"/>
            <w:right w:val="none" w:sz="0" w:space="0" w:color="auto"/>
          </w:divBdr>
        </w:div>
        <w:div w:id="82606426">
          <w:marLeft w:val="0"/>
          <w:marRight w:val="0"/>
          <w:marTop w:val="0"/>
          <w:marBottom w:val="0"/>
          <w:divBdr>
            <w:top w:val="none" w:sz="0" w:space="0" w:color="auto"/>
            <w:left w:val="none" w:sz="0" w:space="0" w:color="auto"/>
            <w:bottom w:val="none" w:sz="0" w:space="0" w:color="auto"/>
            <w:right w:val="none" w:sz="0" w:space="0" w:color="auto"/>
          </w:divBdr>
        </w:div>
        <w:div w:id="201983843">
          <w:marLeft w:val="0"/>
          <w:marRight w:val="0"/>
          <w:marTop w:val="0"/>
          <w:marBottom w:val="0"/>
          <w:divBdr>
            <w:top w:val="none" w:sz="0" w:space="0" w:color="auto"/>
            <w:left w:val="none" w:sz="0" w:space="0" w:color="auto"/>
            <w:bottom w:val="none" w:sz="0" w:space="0" w:color="auto"/>
            <w:right w:val="none" w:sz="0" w:space="0" w:color="auto"/>
          </w:divBdr>
        </w:div>
        <w:div w:id="223760719">
          <w:marLeft w:val="0"/>
          <w:marRight w:val="0"/>
          <w:marTop w:val="0"/>
          <w:marBottom w:val="0"/>
          <w:divBdr>
            <w:top w:val="none" w:sz="0" w:space="0" w:color="auto"/>
            <w:left w:val="none" w:sz="0" w:space="0" w:color="auto"/>
            <w:bottom w:val="none" w:sz="0" w:space="0" w:color="auto"/>
            <w:right w:val="none" w:sz="0" w:space="0" w:color="auto"/>
          </w:divBdr>
        </w:div>
        <w:div w:id="224226412">
          <w:marLeft w:val="0"/>
          <w:marRight w:val="0"/>
          <w:marTop w:val="0"/>
          <w:marBottom w:val="0"/>
          <w:divBdr>
            <w:top w:val="none" w:sz="0" w:space="0" w:color="auto"/>
            <w:left w:val="none" w:sz="0" w:space="0" w:color="auto"/>
            <w:bottom w:val="none" w:sz="0" w:space="0" w:color="auto"/>
            <w:right w:val="none" w:sz="0" w:space="0" w:color="auto"/>
          </w:divBdr>
        </w:div>
        <w:div w:id="559248331">
          <w:marLeft w:val="0"/>
          <w:marRight w:val="0"/>
          <w:marTop w:val="0"/>
          <w:marBottom w:val="0"/>
          <w:divBdr>
            <w:top w:val="none" w:sz="0" w:space="0" w:color="auto"/>
            <w:left w:val="none" w:sz="0" w:space="0" w:color="auto"/>
            <w:bottom w:val="none" w:sz="0" w:space="0" w:color="auto"/>
            <w:right w:val="none" w:sz="0" w:space="0" w:color="auto"/>
          </w:divBdr>
        </w:div>
        <w:div w:id="1013998065">
          <w:marLeft w:val="0"/>
          <w:marRight w:val="0"/>
          <w:marTop w:val="0"/>
          <w:marBottom w:val="0"/>
          <w:divBdr>
            <w:top w:val="none" w:sz="0" w:space="0" w:color="auto"/>
            <w:left w:val="none" w:sz="0" w:space="0" w:color="auto"/>
            <w:bottom w:val="none" w:sz="0" w:space="0" w:color="auto"/>
            <w:right w:val="none" w:sz="0" w:space="0" w:color="auto"/>
          </w:divBdr>
        </w:div>
        <w:div w:id="1395466182">
          <w:marLeft w:val="0"/>
          <w:marRight w:val="0"/>
          <w:marTop w:val="0"/>
          <w:marBottom w:val="0"/>
          <w:divBdr>
            <w:top w:val="none" w:sz="0" w:space="0" w:color="auto"/>
            <w:left w:val="none" w:sz="0" w:space="0" w:color="auto"/>
            <w:bottom w:val="none" w:sz="0" w:space="0" w:color="auto"/>
            <w:right w:val="none" w:sz="0" w:space="0" w:color="auto"/>
          </w:divBdr>
        </w:div>
        <w:div w:id="1464736113">
          <w:marLeft w:val="0"/>
          <w:marRight w:val="0"/>
          <w:marTop w:val="0"/>
          <w:marBottom w:val="0"/>
          <w:divBdr>
            <w:top w:val="none" w:sz="0" w:space="0" w:color="auto"/>
            <w:left w:val="none" w:sz="0" w:space="0" w:color="auto"/>
            <w:bottom w:val="none" w:sz="0" w:space="0" w:color="auto"/>
            <w:right w:val="none" w:sz="0" w:space="0" w:color="auto"/>
          </w:divBdr>
        </w:div>
        <w:div w:id="1618482338">
          <w:marLeft w:val="0"/>
          <w:marRight w:val="0"/>
          <w:marTop w:val="0"/>
          <w:marBottom w:val="0"/>
          <w:divBdr>
            <w:top w:val="none" w:sz="0" w:space="0" w:color="auto"/>
            <w:left w:val="none" w:sz="0" w:space="0" w:color="auto"/>
            <w:bottom w:val="none" w:sz="0" w:space="0" w:color="auto"/>
            <w:right w:val="none" w:sz="0" w:space="0" w:color="auto"/>
          </w:divBdr>
        </w:div>
        <w:div w:id="1664433962">
          <w:marLeft w:val="0"/>
          <w:marRight w:val="0"/>
          <w:marTop w:val="0"/>
          <w:marBottom w:val="0"/>
          <w:divBdr>
            <w:top w:val="none" w:sz="0" w:space="0" w:color="auto"/>
            <w:left w:val="none" w:sz="0" w:space="0" w:color="auto"/>
            <w:bottom w:val="none" w:sz="0" w:space="0" w:color="auto"/>
            <w:right w:val="none" w:sz="0" w:space="0" w:color="auto"/>
          </w:divBdr>
        </w:div>
        <w:div w:id="1812556372">
          <w:marLeft w:val="0"/>
          <w:marRight w:val="0"/>
          <w:marTop w:val="0"/>
          <w:marBottom w:val="0"/>
          <w:divBdr>
            <w:top w:val="none" w:sz="0" w:space="0" w:color="auto"/>
            <w:left w:val="none" w:sz="0" w:space="0" w:color="auto"/>
            <w:bottom w:val="none" w:sz="0" w:space="0" w:color="auto"/>
            <w:right w:val="none" w:sz="0" w:space="0" w:color="auto"/>
          </w:divBdr>
        </w:div>
        <w:div w:id="1878154619">
          <w:marLeft w:val="0"/>
          <w:marRight w:val="0"/>
          <w:marTop w:val="0"/>
          <w:marBottom w:val="0"/>
          <w:divBdr>
            <w:top w:val="none" w:sz="0" w:space="0" w:color="auto"/>
            <w:left w:val="none" w:sz="0" w:space="0" w:color="auto"/>
            <w:bottom w:val="none" w:sz="0" w:space="0" w:color="auto"/>
            <w:right w:val="none" w:sz="0" w:space="0" w:color="auto"/>
          </w:divBdr>
        </w:div>
        <w:div w:id="2033217993">
          <w:marLeft w:val="0"/>
          <w:marRight w:val="0"/>
          <w:marTop w:val="0"/>
          <w:marBottom w:val="0"/>
          <w:divBdr>
            <w:top w:val="none" w:sz="0" w:space="0" w:color="auto"/>
            <w:left w:val="none" w:sz="0" w:space="0" w:color="auto"/>
            <w:bottom w:val="none" w:sz="0" w:space="0" w:color="auto"/>
            <w:right w:val="none" w:sz="0" w:space="0" w:color="auto"/>
          </w:divBdr>
        </w:div>
      </w:divsChild>
    </w:div>
    <w:div w:id="824705820">
      <w:bodyDiv w:val="1"/>
      <w:marLeft w:val="0"/>
      <w:marRight w:val="0"/>
      <w:marTop w:val="0"/>
      <w:marBottom w:val="0"/>
      <w:divBdr>
        <w:top w:val="none" w:sz="0" w:space="0" w:color="auto"/>
        <w:left w:val="none" w:sz="0" w:space="0" w:color="auto"/>
        <w:bottom w:val="none" w:sz="0" w:space="0" w:color="auto"/>
        <w:right w:val="none" w:sz="0" w:space="0" w:color="auto"/>
      </w:divBdr>
    </w:div>
    <w:div w:id="833229271">
      <w:bodyDiv w:val="1"/>
      <w:marLeft w:val="0"/>
      <w:marRight w:val="0"/>
      <w:marTop w:val="0"/>
      <w:marBottom w:val="0"/>
      <w:divBdr>
        <w:top w:val="none" w:sz="0" w:space="0" w:color="auto"/>
        <w:left w:val="none" w:sz="0" w:space="0" w:color="auto"/>
        <w:bottom w:val="none" w:sz="0" w:space="0" w:color="auto"/>
        <w:right w:val="none" w:sz="0" w:space="0" w:color="auto"/>
      </w:divBdr>
      <w:divsChild>
        <w:div w:id="257912527">
          <w:marLeft w:val="0"/>
          <w:marRight w:val="0"/>
          <w:marTop w:val="0"/>
          <w:marBottom w:val="0"/>
          <w:divBdr>
            <w:top w:val="none" w:sz="0" w:space="0" w:color="auto"/>
            <w:left w:val="none" w:sz="0" w:space="0" w:color="auto"/>
            <w:bottom w:val="none" w:sz="0" w:space="0" w:color="auto"/>
            <w:right w:val="none" w:sz="0" w:space="0" w:color="auto"/>
          </w:divBdr>
        </w:div>
        <w:div w:id="652833895">
          <w:marLeft w:val="0"/>
          <w:marRight w:val="0"/>
          <w:marTop w:val="0"/>
          <w:marBottom w:val="0"/>
          <w:divBdr>
            <w:top w:val="none" w:sz="0" w:space="0" w:color="auto"/>
            <w:left w:val="none" w:sz="0" w:space="0" w:color="auto"/>
            <w:bottom w:val="none" w:sz="0" w:space="0" w:color="auto"/>
            <w:right w:val="none" w:sz="0" w:space="0" w:color="auto"/>
          </w:divBdr>
        </w:div>
        <w:div w:id="1050105551">
          <w:marLeft w:val="0"/>
          <w:marRight w:val="0"/>
          <w:marTop w:val="0"/>
          <w:marBottom w:val="0"/>
          <w:divBdr>
            <w:top w:val="none" w:sz="0" w:space="0" w:color="auto"/>
            <w:left w:val="none" w:sz="0" w:space="0" w:color="auto"/>
            <w:bottom w:val="none" w:sz="0" w:space="0" w:color="auto"/>
            <w:right w:val="none" w:sz="0" w:space="0" w:color="auto"/>
          </w:divBdr>
        </w:div>
        <w:div w:id="1259409794">
          <w:marLeft w:val="0"/>
          <w:marRight w:val="0"/>
          <w:marTop w:val="0"/>
          <w:marBottom w:val="0"/>
          <w:divBdr>
            <w:top w:val="none" w:sz="0" w:space="0" w:color="auto"/>
            <w:left w:val="none" w:sz="0" w:space="0" w:color="auto"/>
            <w:bottom w:val="none" w:sz="0" w:space="0" w:color="auto"/>
            <w:right w:val="none" w:sz="0" w:space="0" w:color="auto"/>
          </w:divBdr>
        </w:div>
        <w:div w:id="1356734928">
          <w:marLeft w:val="0"/>
          <w:marRight w:val="0"/>
          <w:marTop w:val="0"/>
          <w:marBottom w:val="0"/>
          <w:divBdr>
            <w:top w:val="none" w:sz="0" w:space="0" w:color="auto"/>
            <w:left w:val="none" w:sz="0" w:space="0" w:color="auto"/>
            <w:bottom w:val="none" w:sz="0" w:space="0" w:color="auto"/>
            <w:right w:val="none" w:sz="0" w:space="0" w:color="auto"/>
          </w:divBdr>
        </w:div>
        <w:div w:id="1434863670">
          <w:marLeft w:val="0"/>
          <w:marRight w:val="0"/>
          <w:marTop w:val="0"/>
          <w:marBottom w:val="0"/>
          <w:divBdr>
            <w:top w:val="none" w:sz="0" w:space="0" w:color="auto"/>
            <w:left w:val="none" w:sz="0" w:space="0" w:color="auto"/>
            <w:bottom w:val="none" w:sz="0" w:space="0" w:color="auto"/>
            <w:right w:val="none" w:sz="0" w:space="0" w:color="auto"/>
          </w:divBdr>
        </w:div>
        <w:div w:id="1856264047">
          <w:marLeft w:val="0"/>
          <w:marRight w:val="0"/>
          <w:marTop w:val="0"/>
          <w:marBottom w:val="0"/>
          <w:divBdr>
            <w:top w:val="none" w:sz="0" w:space="0" w:color="auto"/>
            <w:left w:val="none" w:sz="0" w:space="0" w:color="auto"/>
            <w:bottom w:val="none" w:sz="0" w:space="0" w:color="auto"/>
            <w:right w:val="none" w:sz="0" w:space="0" w:color="auto"/>
          </w:divBdr>
        </w:div>
      </w:divsChild>
    </w:div>
    <w:div w:id="845634550">
      <w:bodyDiv w:val="1"/>
      <w:marLeft w:val="0"/>
      <w:marRight w:val="0"/>
      <w:marTop w:val="0"/>
      <w:marBottom w:val="0"/>
      <w:divBdr>
        <w:top w:val="none" w:sz="0" w:space="0" w:color="auto"/>
        <w:left w:val="none" w:sz="0" w:space="0" w:color="auto"/>
        <w:bottom w:val="none" w:sz="0" w:space="0" w:color="auto"/>
        <w:right w:val="none" w:sz="0" w:space="0" w:color="auto"/>
      </w:divBdr>
      <w:divsChild>
        <w:div w:id="92552780">
          <w:marLeft w:val="0"/>
          <w:marRight w:val="0"/>
          <w:marTop w:val="0"/>
          <w:marBottom w:val="0"/>
          <w:divBdr>
            <w:top w:val="none" w:sz="0" w:space="0" w:color="auto"/>
            <w:left w:val="none" w:sz="0" w:space="0" w:color="auto"/>
            <w:bottom w:val="none" w:sz="0" w:space="0" w:color="auto"/>
            <w:right w:val="none" w:sz="0" w:space="0" w:color="auto"/>
          </w:divBdr>
        </w:div>
        <w:div w:id="231626337">
          <w:marLeft w:val="0"/>
          <w:marRight w:val="0"/>
          <w:marTop w:val="0"/>
          <w:marBottom w:val="0"/>
          <w:divBdr>
            <w:top w:val="none" w:sz="0" w:space="0" w:color="auto"/>
            <w:left w:val="none" w:sz="0" w:space="0" w:color="auto"/>
            <w:bottom w:val="none" w:sz="0" w:space="0" w:color="auto"/>
            <w:right w:val="none" w:sz="0" w:space="0" w:color="auto"/>
          </w:divBdr>
        </w:div>
        <w:div w:id="319189865">
          <w:marLeft w:val="0"/>
          <w:marRight w:val="0"/>
          <w:marTop w:val="0"/>
          <w:marBottom w:val="0"/>
          <w:divBdr>
            <w:top w:val="none" w:sz="0" w:space="0" w:color="auto"/>
            <w:left w:val="none" w:sz="0" w:space="0" w:color="auto"/>
            <w:bottom w:val="none" w:sz="0" w:space="0" w:color="auto"/>
            <w:right w:val="none" w:sz="0" w:space="0" w:color="auto"/>
          </w:divBdr>
        </w:div>
        <w:div w:id="531308457">
          <w:marLeft w:val="0"/>
          <w:marRight w:val="0"/>
          <w:marTop w:val="0"/>
          <w:marBottom w:val="0"/>
          <w:divBdr>
            <w:top w:val="none" w:sz="0" w:space="0" w:color="auto"/>
            <w:left w:val="none" w:sz="0" w:space="0" w:color="auto"/>
            <w:bottom w:val="none" w:sz="0" w:space="0" w:color="auto"/>
            <w:right w:val="none" w:sz="0" w:space="0" w:color="auto"/>
          </w:divBdr>
        </w:div>
        <w:div w:id="578444226">
          <w:marLeft w:val="0"/>
          <w:marRight w:val="0"/>
          <w:marTop w:val="0"/>
          <w:marBottom w:val="0"/>
          <w:divBdr>
            <w:top w:val="none" w:sz="0" w:space="0" w:color="auto"/>
            <w:left w:val="none" w:sz="0" w:space="0" w:color="auto"/>
            <w:bottom w:val="none" w:sz="0" w:space="0" w:color="auto"/>
            <w:right w:val="none" w:sz="0" w:space="0" w:color="auto"/>
          </w:divBdr>
        </w:div>
        <w:div w:id="579142404">
          <w:marLeft w:val="0"/>
          <w:marRight w:val="0"/>
          <w:marTop w:val="0"/>
          <w:marBottom w:val="0"/>
          <w:divBdr>
            <w:top w:val="none" w:sz="0" w:space="0" w:color="auto"/>
            <w:left w:val="none" w:sz="0" w:space="0" w:color="auto"/>
            <w:bottom w:val="none" w:sz="0" w:space="0" w:color="auto"/>
            <w:right w:val="none" w:sz="0" w:space="0" w:color="auto"/>
          </w:divBdr>
        </w:div>
        <w:div w:id="608319826">
          <w:marLeft w:val="0"/>
          <w:marRight w:val="0"/>
          <w:marTop w:val="0"/>
          <w:marBottom w:val="0"/>
          <w:divBdr>
            <w:top w:val="none" w:sz="0" w:space="0" w:color="auto"/>
            <w:left w:val="none" w:sz="0" w:space="0" w:color="auto"/>
            <w:bottom w:val="none" w:sz="0" w:space="0" w:color="auto"/>
            <w:right w:val="none" w:sz="0" w:space="0" w:color="auto"/>
          </w:divBdr>
        </w:div>
        <w:div w:id="728185869">
          <w:marLeft w:val="0"/>
          <w:marRight w:val="0"/>
          <w:marTop w:val="0"/>
          <w:marBottom w:val="0"/>
          <w:divBdr>
            <w:top w:val="none" w:sz="0" w:space="0" w:color="auto"/>
            <w:left w:val="none" w:sz="0" w:space="0" w:color="auto"/>
            <w:bottom w:val="none" w:sz="0" w:space="0" w:color="auto"/>
            <w:right w:val="none" w:sz="0" w:space="0" w:color="auto"/>
          </w:divBdr>
        </w:div>
        <w:div w:id="864097257">
          <w:marLeft w:val="0"/>
          <w:marRight w:val="0"/>
          <w:marTop w:val="0"/>
          <w:marBottom w:val="0"/>
          <w:divBdr>
            <w:top w:val="none" w:sz="0" w:space="0" w:color="auto"/>
            <w:left w:val="none" w:sz="0" w:space="0" w:color="auto"/>
            <w:bottom w:val="none" w:sz="0" w:space="0" w:color="auto"/>
            <w:right w:val="none" w:sz="0" w:space="0" w:color="auto"/>
          </w:divBdr>
        </w:div>
        <w:div w:id="959190927">
          <w:marLeft w:val="0"/>
          <w:marRight w:val="0"/>
          <w:marTop w:val="0"/>
          <w:marBottom w:val="0"/>
          <w:divBdr>
            <w:top w:val="none" w:sz="0" w:space="0" w:color="auto"/>
            <w:left w:val="none" w:sz="0" w:space="0" w:color="auto"/>
            <w:bottom w:val="none" w:sz="0" w:space="0" w:color="auto"/>
            <w:right w:val="none" w:sz="0" w:space="0" w:color="auto"/>
          </w:divBdr>
        </w:div>
        <w:div w:id="1022785300">
          <w:marLeft w:val="0"/>
          <w:marRight w:val="0"/>
          <w:marTop w:val="0"/>
          <w:marBottom w:val="0"/>
          <w:divBdr>
            <w:top w:val="none" w:sz="0" w:space="0" w:color="auto"/>
            <w:left w:val="none" w:sz="0" w:space="0" w:color="auto"/>
            <w:bottom w:val="none" w:sz="0" w:space="0" w:color="auto"/>
            <w:right w:val="none" w:sz="0" w:space="0" w:color="auto"/>
          </w:divBdr>
        </w:div>
        <w:div w:id="1047530923">
          <w:marLeft w:val="0"/>
          <w:marRight w:val="0"/>
          <w:marTop w:val="0"/>
          <w:marBottom w:val="0"/>
          <w:divBdr>
            <w:top w:val="none" w:sz="0" w:space="0" w:color="auto"/>
            <w:left w:val="none" w:sz="0" w:space="0" w:color="auto"/>
            <w:bottom w:val="none" w:sz="0" w:space="0" w:color="auto"/>
            <w:right w:val="none" w:sz="0" w:space="0" w:color="auto"/>
          </w:divBdr>
        </w:div>
        <w:div w:id="1140998776">
          <w:marLeft w:val="0"/>
          <w:marRight w:val="0"/>
          <w:marTop w:val="0"/>
          <w:marBottom w:val="0"/>
          <w:divBdr>
            <w:top w:val="none" w:sz="0" w:space="0" w:color="auto"/>
            <w:left w:val="none" w:sz="0" w:space="0" w:color="auto"/>
            <w:bottom w:val="none" w:sz="0" w:space="0" w:color="auto"/>
            <w:right w:val="none" w:sz="0" w:space="0" w:color="auto"/>
          </w:divBdr>
        </w:div>
        <w:div w:id="1201821654">
          <w:marLeft w:val="0"/>
          <w:marRight w:val="0"/>
          <w:marTop w:val="0"/>
          <w:marBottom w:val="0"/>
          <w:divBdr>
            <w:top w:val="none" w:sz="0" w:space="0" w:color="auto"/>
            <w:left w:val="none" w:sz="0" w:space="0" w:color="auto"/>
            <w:bottom w:val="none" w:sz="0" w:space="0" w:color="auto"/>
            <w:right w:val="none" w:sz="0" w:space="0" w:color="auto"/>
          </w:divBdr>
        </w:div>
        <w:div w:id="1254973004">
          <w:marLeft w:val="0"/>
          <w:marRight w:val="0"/>
          <w:marTop w:val="0"/>
          <w:marBottom w:val="0"/>
          <w:divBdr>
            <w:top w:val="none" w:sz="0" w:space="0" w:color="auto"/>
            <w:left w:val="none" w:sz="0" w:space="0" w:color="auto"/>
            <w:bottom w:val="none" w:sz="0" w:space="0" w:color="auto"/>
            <w:right w:val="none" w:sz="0" w:space="0" w:color="auto"/>
          </w:divBdr>
        </w:div>
        <w:div w:id="1427460021">
          <w:marLeft w:val="0"/>
          <w:marRight w:val="0"/>
          <w:marTop w:val="0"/>
          <w:marBottom w:val="0"/>
          <w:divBdr>
            <w:top w:val="none" w:sz="0" w:space="0" w:color="auto"/>
            <w:left w:val="none" w:sz="0" w:space="0" w:color="auto"/>
            <w:bottom w:val="none" w:sz="0" w:space="0" w:color="auto"/>
            <w:right w:val="none" w:sz="0" w:space="0" w:color="auto"/>
          </w:divBdr>
        </w:div>
        <w:div w:id="1479222106">
          <w:marLeft w:val="0"/>
          <w:marRight w:val="0"/>
          <w:marTop w:val="0"/>
          <w:marBottom w:val="0"/>
          <w:divBdr>
            <w:top w:val="none" w:sz="0" w:space="0" w:color="auto"/>
            <w:left w:val="none" w:sz="0" w:space="0" w:color="auto"/>
            <w:bottom w:val="none" w:sz="0" w:space="0" w:color="auto"/>
            <w:right w:val="none" w:sz="0" w:space="0" w:color="auto"/>
          </w:divBdr>
        </w:div>
        <w:div w:id="1759906156">
          <w:marLeft w:val="0"/>
          <w:marRight w:val="0"/>
          <w:marTop w:val="0"/>
          <w:marBottom w:val="0"/>
          <w:divBdr>
            <w:top w:val="none" w:sz="0" w:space="0" w:color="auto"/>
            <w:left w:val="none" w:sz="0" w:space="0" w:color="auto"/>
            <w:bottom w:val="none" w:sz="0" w:space="0" w:color="auto"/>
            <w:right w:val="none" w:sz="0" w:space="0" w:color="auto"/>
          </w:divBdr>
        </w:div>
        <w:div w:id="1939870579">
          <w:marLeft w:val="0"/>
          <w:marRight w:val="0"/>
          <w:marTop w:val="0"/>
          <w:marBottom w:val="0"/>
          <w:divBdr>
            <w:top w:val="none" w:sz="0" w:space="0" w:color="auto"/>
            <w:left w:val="none" w:sz="0" w:space="0" w:color="auto"/>
            <w:bottom w:val="none" w:sz="0" w:space="0" w:color="auto"/>
            <w:right w:val="none" w:sz="0" w:space="0" w:color="auto"/>
          </w:divBdr>
        </w:div>
        <w:div w:id="1952778451">
          <w:marLeft w:val="0"/>
          <w:marRight w:val="0"/>
          <w:marTop w:val="0"/>
          <w:marBottom w:val="0"/>
          <w:divBdr>
            <w:top w:val="none" w:sz="0" w:space="0" w:color="auto"/>
            <w:left w:val="none" w:sz="0" w:space="0" w:color="auto"/>
            <w:bottom w:val="none" w:sz="0" w:space="0" w:color="auto"/>
            <w:right w:val="none" w:sz="0" w:space="0" w:color="auto"/>
          </w:divBdr>
        </w:div>
        <w:div w:id="1973512520">
          <w:marLeft w:val="0"/>
          <w:marRight w:val="0"/>
          <w:marTop w:val="0"/>
          <w:marBottom w:val="0"/>
          <w:divBdr>
            <w:top w:val="none" w:sz="0" w:space="0" w:color="auto"/>
            <w:left w:val="none" w:sz="0" w:space="0" w:color="auto"/>
            <w:bottom w:val="none" w:sz="0" w:space="0" w:color="auto"/>
            <w:right w:val="none" w:sz="0" w:space="0" w:color="auto"/>
          </w:divBdr>
        </w:div>
      </w:divsChild>
    </w:div>
    <w:div w:id="845902849">
      <w:bodyDiv w:val="1"/>
      <w:marLeft w:val="0"/>
      <w:marRight w:val="0"/>
      <w:marTop w:val="0"/>
      <w:marBottom w:val="0"/>
      <w:divBdr>
        <w:top w:val="none" w:sz="0" w:space="0" w:color="auto"/>
        <w:left w:val="none" w:sz="0" w:space="0" w:color="auto"/>
        <w:bottom w:val="none" w:sz="0" w:space="0" w:color="auto"/>
        <w:right w:val="none" w:sz="0" w:space="0" w:color="auto"/>
      </w:divBdr>
      <w:divsChild>
        <w:div w:id="1338771325">
          <w:marLeft w:val="0"/>
          <w:marRight w:val="0"/>
          <w:marTop w:val="0"/>
          <w:marBottom w:val="0"/>
          <w:divBdr>
            <w:top w:val="none" w:sz="0" w:space="0" w:color="auto"/>
            <w:left w:val="none" w:sz="0" w:space="0" w:color="auto"/>
            <w:bottom w:val="none" w:sz="0" w:space="0" w:color="auto"/>
            <w:right w:val="none" w:sz="0" w:space="0" w:color="auto"/>
          </w:divBdr>
        </w:div>
        <w:div w:id="1523081531">
          <w:marLeft w:val="0"/>
          <w:marRight w:val="0"/>
          <w:marTop w:val="0"/>
          <w:marBottom w:val="0"/>
          <w:divBdr>
            <w:top w:val="none" w:sz="0" w:space="0" w:color="auto"/>
            <w:left w:val="none" w:sz="0" w:space="0" w:color="auto"/>
            <w:bottom w:val="none" w:sz="0" w:space="0" w:color="auto"/>
            <w:right w:val="none" w:sz="0" w:space="0" w:color="auto"/>
          </w:divBdr>
        </w:div>
        <w:div w:id="2056389668">
          <w:marLeft w:val="0"/>
          <w:marRight w:val="0"/>
          <w:marTop w:val="0"/>
          <w:marBottom w:val="0"/>
          <w:divBdr>
            <w:top w:val="none" w:sz="0" w:space="0" w:color="auto"/>
            <w:left w:val="none" w:sz="0" w:space="0" w:color="auto"/>
            <w:bottom w:val="none" w:sz="0" w:space="0" w:color="auto"/>
            <w:right w:val="none" w:sz="0" w:space="0" w:color="auto"/>
          </w:divBdr>
        </w:div>
      </w:divsChild>
    </w:div>
    <w:div w:id="846362145">
      <w:bodyDiv w:val="1"/>
      <w:marLeft w:val="0"/>
      <w:marRight w:val="0"/>
      <w:marTop w:val="0"/>
      <w:marBottom w:val="0"/>
      <w:divBdr>
        <w:top w:val="none" w:sz="0" w:space="0" w:color="auto"/>
        <w:left w:val="none" w:sz="0" w:space="0" w:color="auto"/>
        <w:bottom w:val="none" w:sz="0" w:space="0" w:color="auto"/>
        <w:right w:val="none" w:sz="0" w:space="0" w:color="auto"/>
      </w:divBdr>
      <w:divsChild>
        <w:div w:id="1799644832">
          <w:marLeft w:val="0"/>
          <w:marRight w:val="0"/>
          <w:marTop w:val="0"/>
          <w:marBottom w:val="0"/>
          <w:divBdr>
            <w:top w:val="none" w:sz="0" w:space="0" w:color="auto"/>
            <w:left w:val="none" w:sz="0" w:space="0" w:color="auto"/>
            <w:bottom w:val="none" w:sz="0" w:space="0" w:color="auto"/>
            <w:right w:val="none" w:sz="0" w:space="0" w:color="auto"/>
          </w:divBdr>
        </w:div>
      </w:divsChild>
    </w:div>
    <w:div w:id="846748569">
      <w:bodyDiv w:val="1"/>
      <w:marLeft w:val="0"/>
      <w:marRight w:val="0"/>
      <w:marTop w:val="0"/>
      <w:marBottom w:val="0"/>
      <w:divBdr>
        <w:top w:val="none" w:sz="0" w:space="0" w:color="auto"/>
        <w:left w:val="none" w:sz="0" w:space="0" w:color="auto"/>
        <w:bottom w:val="none" w:sz="0" w:space="0" w:color="auto"/>
        <w:right w:val="none" w:sz="0" w:space="0" w:color="auto"/>
      </w:divBdr>
    </w:div>
    <w:div w:id="856769703">
      <w:bodyDiv w:val="1"/>
      <w:marLeft w:val="0"/>
      <w:marRight w:val="0"/>
      <w:marTop w:val="0"/>
      <w:marBottom w:val="0"/>
      <w:divBdr>
        <w:top w:val="none" w:sz="0" w:space="0" w:color="auto"/>
        <w:left w:val="none" w:sz="0" w:space="0" w:color="auto"/>
        <w:bottom w:val="none" w:sz="0" w:space="0" w:color="auto"/>
        <w:right w:val="none" w:sz="0" w:space="0" w:color="auto"/>
      </w:divBdr>
      <w:divsChild>
        <w:div w:id="22171058">
          <w:marLeft w:val="0"/>
          <w:marRight w:val="0"/>
          <w:marTop w:val="0"/>
          <w:marBottom w:val="0"/>
          <w:divBdr>
            <w:top w:val="none" w:sz="0" w:space="0" w:color="auto"/>
            <w:left w:val="none" w:sz="0" w:space="0" w:color="auto"/>
            <w:bottom w:val="none" w:sz="0" w:space="0" w:color="auto"/>
            <w:right w:val="none" w:sz="0" w:space="0" w:color="auto"/>
          </w:divBdr>
        </w:div>
        <w:div w:id="81145423">
          <w:marLeft w:val="0"/>
          <w:marRight w:val="0"/>
          <w:marTop w:val="0"/>
          <w:marBottom w:val="0"/>
          <w:divBdr>
            <w:top w:val="none" w:sz="0" w:space="0" w:color="auto"/>
            <w:left w:val="none" w:sz="0" w:space="0" w:color="auto"/>
            <w:bottom w:val="none" w:sz="0" w:space="0" w:color="auto"/>
            <w:right w:val="none" w:sz="0" w:space="0" w:color="auto"/>
          </w:divBdr>
        </w:div>
        <w:div w:id="183057285">
          <w:marLeft w:val="0"/>
          <w:marRight w:val="0"/>
          <w:marTop w:val="0"/>
          <w:marBottom w:val="0"/>
          <w:divBdr>
            <w:top w:val="none" w:sz="0" w:space="0" w:color="auto"/>
            <w:left w:val="none" w:sz="0" w:space="0" w:color="auto"/>
            <w:bottom w:val="none" w:sz="0" w:space="0" w:color="auto"/>
            <w:right w:val="none" w:sz="0" w:space="0" w:color="auto"/>
          </w:divBdr>
        </w:div>
        <w:div w:id="358969785">
          <w:marLeft w:val="0"/>
          <w:marRight w:val="0"/>
          <w:marTop w:val="0"/>
          <w:marBottom w:val="0"/>
          <w:divBdr>
            <w:top w:val="none" w:sz="0" w:space="0" w:color="auto"/>
            <w:left w:val="none" w:sz="0" w:space="0" w:color="auto"/>
            <w:bottom w:val="none" w:sz="0" w:space="0" w:color="auto"/>
            <w:right w:val="none" w:sz="0" w:space="0" w:color="auto"/>
          </w:divBdr>
        </w:div>
        <w:div w:id="755324170">
          <w:marLeft w:val="0"/>
          <w:marRight w:val="0"/>
          <w:marTop w:val="0"/>
          <w:marBottom w:val="0"/>
          <w:divBdr>
            <w:top w:val="none" w:sz="0" w:space="0" w:color="auto"/>
            <w:left w:val="none" w:sz="0" w:space="0" w:color="auto"/>
            <w:bottom w:val="none" w:sz="0" w:space="0" w:color="auto"/>
            <w:right w:val="none" w:sz="0" w:space="0" w:color="auto"/>
          </w:divBdr>
        </w:div>
        <w:div w:id="1870364331">
          <w:marLeft w:val="0"/>
          <w:marRight w:val="0"/>
          <w:marTop w:val="0"/>
          <w:marBottom w:val="0"/>
          <w:divBdr>
            <w:top w:val="none" w:sz="0" w:space="0" w:color="auto"/>
            <w:left w:val="none" w:sz="0" w:space="0" w:color="auto"/>
            <w:bottom w:val="none" w:sz="0" w:space="0" w:color="auto"/>
            <w:right w:val="none" w:sz="0" w:space="0" w:color="auto"/>
          </w:divBdr>
        </w:div>
        <w:div w:id="1982418757">
          <w:marLeft w:val="0"/>
          <w:marRight w:val="0"/>
          <w:marTop w:val="0"/>
          <w:marBottom w:val="0"/>
          <w:divBdr>
            <w:top w:val="none" w:sz="0" w:space="0" w:color="auto"/>
            <w:left w:val="none" w:sz="0" w:space="0" w:color="auto"/>
            <w:bottom w:val="none" w:sz="0" w:space="0" w:color="auto"/>
            <w:right w:val="none" w:sz="0" w:space="0" w:color="auto"/>
          </w:divBdr>
        </w:div>
      </w:divsChild>
    </w:div>
    <w:div w:id="865367978">
      <w:bodyDiv w:val="1"/>
      <w:marLeft w:val="0"/>
      <w:marRight w:val="0"/>
      <w:marTop w:val="0"/>
      <w:marBottom w:val="0"/>
      <w:divBdr>
        <w:top w:val="none" w:sz="0" w:space="0" w:color="auto"/>
        <w:left w:val="none" w:sz="0" w:space="0" w:color="auto"/>
        <w:bottom w:val="none" w:sz="0" w:space="0" w:color="auto"/>
        <w:right w:val="none" w:sz="0" w:space="0" w:color="auto"/>
      </w:divBdr>
    </w:div>
    <w:div w:id="877593612">
      <w:bodyDiv w:val="1"/>
      <w:marLeft w:val="0"/>
      <w:marRight w:val="0"/>
      <w:marTop w:val="0"/>
      <w:marBottom w:val="0"/>
      <w:divBdr>
        <w:top w:val="none" w:sz="0" w:space="0" w:color="auto"/>
        <w:left w:val="none" w:sz="0" w:space="0" w:color="auto"/>
        <w:bottom w:val="none" w:sz="0" w:space="0" w:color="auto"/>
        <w:right w:val="none" w:sz="0" w:space="0" w:color="auto"/>
      </w:divBdr>
      <w:divsChild>
        <w:div w:id="987051989">
          <w:marLeft w:val="0"/>
          <w:marRight w:val="0"/>
          <w:marTop w:val="0"/>
          <w:marBottom w:val="0"/>
          <w:divBdr>
            <w:top w:val="none" w:sz="0" w:space="0" w:color="auto"/>
            <w:left w:val="none" w:sz="0" w:space="0" w:color="auto"/>
            <w:bottom w:val="none" w:sz="0" w:space="0" w:color="auto"/>
            <w:right w:val="none" w:sz="0" w:space="0" w:color="auto"/>
          </w:divBdr>
        </w:div>
        <w:div w:id="1916622113">
          <w:marLeft w:val="0"/>
          <w:marRight w:val="0"/>
          <w:marTop w:val="0"/>
          <w:marBottom w:val="0"/>
          <w:divBdr>
            <w:top w:val="none" w:sz="0" w:space="0" w:color="auto"/>
            <w:left w:val="none" w:sz="0" w:space="0" w:color="auto"/>
            <w:bottom w:val="none" w:sz="0" w:space="0" w:color="auto"/>
            <w:right w:val="none" w:sz="0" w:space="0" w:color="auto"/>
          </w:divBdr>
        </w:div>
        <w:div w:id="2028022143">
          <w:marLeft w:val="0"/>
          <w:marRight w:val="0"/>
          <w:marTop w:val="0"/>
          <w:marBottom w:val="0"/>
          <w:divBdr>
            <w:top w:val="none" w:sz="0" w:space="0" w:color="auto"/>
            <w:left w:val="none" w:sz="0" w:space="0" w:color="auto"/>
            <w:bottom w:val="none" w:sz="0" w:space="0" w:color="auto"/>
            <w:right w:val="none" w:sz="0" w:space="0" w:color="auto"/>
          </w:divBdr>
        </w:div>
      </w:divsChild>
    </w:div>
    <w:div w:id="881022034">
      <w:bodyDiv w:val="1"/>
      <w:marLeft w:val="0"/>
      <w:marRight w:val="0"/>
      <w:marTop w:val="0"/>
      <w:marBottom w:val="0"/>
      <w:divBdr>
        <w:top w:val="none" w:sz="0" w:space="0" w:color="auto"/>
        <w:left w:val="none" w:sz="0" w:space="0" w:color="auto"/>
        <w:bottom w:val="none" w:sz="0" w:space="0" w:color="auto"/>
        <w:right w:val="none" w:sz="0" w:space="0" w:color="auto"/>
      </w:divBdr>
    </w:div>
    <w:div w:id="901676064">
      <w:bodyDiv w:val="1"/>
      <w:marLeft w:val="0"/>
      <w:marRight w:val="0"/>
      <w:marTop w:val="0"/>
      <w:marBottom w:val="0"/>
      <w:divBdr>
        <w:top w:val="none" w:sz="0" w:space="0" w:color="auto"/>
        <w:left w:val="none" w:sz="0" w:space="0" w:color="auto"/>
        <w:bottom w:val="none" w:sz="0" w:space="0" w:color="auto"/>
        <w:right w:val="none" w:sz="0" w:space="0" w:color="auto"/>
      </w:divBdr>
    </w:div>
    <w:div w:id="901713996">
      <w:bodyDiv w:val="1"/>
      <w:marLeft w:val="0"/>
      <w:marRight w:val="0"/>
      <w:marTop w:val="0"/>
      <w:marBottom w:val="0"/>
      <w:divBdr>
        <w:top w:val="none" w:sz="0" w:space="0" w:color="auto"/>
        <w:left w:val="none" w:sz="0" w:space="0" w:color="auto"/>
        <w:bottom w:val="none" w:sz="0" w:space="0" w:color="auto"/>
        <w:right w:val="none" w:sz="0" w:space="0" w:color="auto"/>
      </w:divBdr>
      <w:divsChild>
        <w:div w:id="93324356">
          <w:marLeft w:val="0"/>
          <w:marRight w:val="0"/>
          <w:marTop w:val="0"/>
          <w:marBottom w:val="0"/>
          <w:divBdr>
            <w:top w:val="none" w:sz="0" w:space="0" w:color="auto"/>
            <w:left w:val="none" w:sz="0" w:space="0" w:color="auto"/>
            <w:bottom w:val="none" w:sz="0" w:space="0" w:color="auto"/>
            <w:right w:val="none" w:sz="0" w:space="0" w:color="auto"/>
          </w:divBdr>
        </w:div>
        <w:div w:id="477041559">
          <w:marLeft w:val="0"/>
          <w:marRight w:val="0"/>
          <w:marTop w:val="0"/>
          <w:marBottom w:val="0"/>
          <w:divBdr>
            <w:top w:val="none" w:sz="0" w:space="0" w:color="auto"/>
            <w:left w:val="none" w:sz="0" w:space="0" w:color="auto"/>
            <w:bottom w:val="none" w:sz="0" w:space="0" w:color="auto"/>
            <w:right w:val="none" w:sz="0" w:space="0" w:color="auto"/>
          </w:divBdr>
        </w:div>
      </w:divsChild>
    </w:div>
    <w:div w:id="901870499">
      <w:bodyDiv w:val="1"/>
      <w:marLeft w:val="0"/>
      <w:marRight w:val="0"/>
      <w:marTop w:val="0"/>
      <w:marBottom w:val="0"/>
      <w:divBdr>
        <w:top w:val="none" w:sz="0" w:space="0" w:color="auto"/>
        <w:left w:val="none" w:sz="0" w:space="0" w:color="auto"/>
        <w:bottom w:val="none" w:sz="0" w:space="0" w:color="auto"/>
        <w:right w:val="none" w:sz="0" w:space="0" w:color="auto"/>
      </w:divBdr>
      <w:divsChild>
        <w:div w:id="164134863">
          <w:marLeft w:val="0"/>
          <w:marRight w:val="0"/>
          <w:marTop w:val="0"/>
          <w:marBottom w:val="0"/>
          <w:divBdr>
            <w:top w:val="none" w:sz="0" w:space="0" w:color="auto"/>
            <w:left w:val="none" w:sz="0" w:space="0" w:color="auto"/>
            <w:bottom w:val="none" w:sz="0" w:space="0" w:color="auto"/>
            <w:right w:val="none" w:sz="0" w:space="0" w:color="auto"/>
          </w:divBdr>
        </w:div>
        <w:div w:id="416563079">
          <w:marLeft w:val="0"/>
          <w:marRight w:val="0"/>
          <w:marTop w:val="0"/>
          <w:marBottom w:val="0"/>
          <w:divBdr>
            <w:top w:val="none" w:sz="0" w:space="0" w:color="auto"/>
            <w:left w:val="none" w:sz="0" w:space="0" w:color="auto"/>
            <w:bottom w:val="none" w:sz="0" w:space="0" w:color="auto"/>
            <w:right w:val="none" w:sz="0" w:space="0" w:color="auto"/>
          </w:divBdr>
        </w:div>
        <w:div w:id="1709985483">
          <w:marLeft w:val="0"/>
          <w:marRight w:val="0"/>
          <w:marTop w:val="0"/>
          <w:marBottom w:val="0"/>
          <w:divBdr>
            <w:top w:val="none" w:sz="0" w:space="0" w:color="auto"/>
            <w:left w:val="none" w:sz="0" w:space="0" w:color="auto"/>
            <w:bottom w:val="none" w:sz="0" w:space="0" w:color="auto"/>
            <w:right w:val="none" w:sz="0" w:space="0" w:color="auto"/>
          </w:divBdr>
        </w:div>
        <w:div w:id="1726559095">
          <w:marLeft w:val="0"/>
          <w:marRight w:val="0"/>
          <w:marTop w:val="0"/>
          <w:marBottom w:val="0"/>
          <w:divBdr>
            <w:top w:val="none" w:sz="0" w:space="0" w:color="auto"/>
            <w:left w:val="none" w:sz="0" w:space="0" w:color="auto"/>
            <w:bottom w:val="none" w:sz="0" w:space="0" w:color="auto"/>
            <w:right w:val="none" w:sz="0" w:space="0" w:color="auto"/>
          </w:divBdr>
        </w:div>
        <w:div w:id="1973248785">
          <w:marLeft w:val="0"/>
          <w:marRight w:val="0"/>
          <w:marTop w:val="0"/>
          <w:marBottom w:val="0"/>
          <w:divBdr>
            <w:top w:val="none" w:sz="0" w:space="0" w:color="auto"/>
            <w:left w:val="none" w:sz="0" w:space="0" w:color="auto"/>
            <w:bottom w:val="none" w:sz="0" w:space="0" w:color="auto"/>
            <w:right w:val="none" w:sz="0" w:space="0" w:color="auto"/>
          </w:divBdr>
        </w:div>
      </w:divsChild>
    </w:div>
    <w:div w:id="901908585">
      <w:bodyDiv w:val="1"/>
      <w:marLeft w:val="0"/>
      <w:marRight w:val="0"/>
      <w:marTop w:val="0"/>
      <w:marBottom w:val="0"/>
      <w:divBdr>
        <w:top w:val="none" w:sz="0" w:space="0" w:color="auto"/>
        <w:left w:val="none" w:sz="0" w:space="0" w:color="auto"/>
        <w:bottom w:val="none" w:sz="0" w:space="0" w:color="auto"/>
        <w:right w:val="none" w:sz="0" w:space="0" w:color="auto"/>
      </w:divBdr>
      <w:divsChild>
        <w:div w:id="44571346">
          <w:marLeft w:val="0"/>
          <w:marRight w:val="0"/>
          <w:marTop w:val="0"/>
          <w:marBottom w:val="0"/>
          <w:divBdr>
            <w:top w:val="none" w:sz="0" w:space="0" w:color="auto"/>
            <w:left w:val="none" w:sz="0" w:space="0" w:color="auto"/>
            <w:bottom w:val="none" w:sz="0" w:space="0" w:color="auto"/>
            <w:right w:val="none" w:sz="0" w:space="0" w:color="auto"/>
          </w:divBdr>
        </w:div>
        <w:div w:id="1060060100">
          <w:marLeft w:val="0"/>
          <w:marRight w:val="0"/>
          <w:marTop w:val="0"/>
          <w:marBottom w:val="0"/>
          <w:divBdr>
            <w:top w:val="none" w:sz="0" w:space="0" w:color="auto"/>
            <w:left w:val="none" w:sz="0" w:space="0" w:color="auto"/>
            <w:bottom w:val="none" w:sz="0" w:space="0" w:color="auto"/>
            <w:right w:val="none" w:sz="0" w:space="0" w:color="auto"/>
          </w:divBdr>
        </w:div>
        <w:div w:id="1495145240">
          <w:marLeft w:val="0"/>
          <w:marRight w:val="0"/>
          <w:marTop w:val="0"/>
          <w:marBottom w:val="0"/>
          <w:divBdr>
            <w:top w:val="none" w:sz="0" w:space="0" w:color="auto"/>
            <w:left w:val="none" w:sz="0" w:space="0" w:color="auto"/>
            <w:bottom w:val="none" w:sz="0" w:space="0" w:color="auto"/>
            <w:right w:val="none" w:sz="0" w:space="0" w:color="auto"/>
          </w:divBdr>
        </w:div>
        <w:div w:id="1701543779">
          <w:marLeft w:val="0"/>
          <w:marRight w:val="0"/>
          <w:marTop w:val="0"/>
          <w:marBottom w:val="0"/>
          <w:divBdr>
            <w:top w:val="none" w:sz="0" w:space="0" w:color="auto"/>
            <w:left w:val="none" w:sz="0" w:space="0" w:color="auto"/>
            <w:bottom w:val="none" w:sz="0" w:space="0" w:color="auto"/>
            <w:right w:val="none" w:sz="0" w:space="0" w:color="auto"/>
          </w:divBdr>
        </w:div>
        <w:div w:id="2030257135">
          <w:marLeft w:val="0"/>
          <w:marRight w:val="0"/>
          <w:marTop w:val="0"/>
          <w:marBottom w:val="0"/>
          <w:divBdr>
            <w:top w:val="none" w:sz="0" w:space="0" w:color="auto"/>
            <w:left w:val="none" w:sz="0" w:space="0" w:color="auto"/>
            <w:bottom w:val="none" w:sz="0" w:space="0" w:color="auto"/>
            <w:right w:val="none" w:sz="0" w:space="0" w:color="auto"/>
          </w:divBdr>
        </w:div>
      </w:divsChild>
    </w:div>
    <w:div w:id="903175152">
      <w:bodyDiv w:val="1"/>
      <w:marLeft w:val="0"/>
      <w:marRight w:val="0"/>
      <w:marTop w:val="0"/>
      <w:marBottom w:val="0"/>
      <w:divBdr>
        <w:top w:val="none" w:sz="0" w:space="0" w:color="auto"/>
        <w:left w:val="none" w:sz="0" w:space="0" w:color="auto"/>
        <w:bottom w:val="none" w:sz="0" w:space="0" w:color="auto"/>
        <w:right w:val="none" w:sz="0" w:space="0" w:color="auto"/>
      </w:divBdr>
      <w:divsChild>
        <w:div w:id="25253577">
          <w:marLeft w:val="274"/>
          <w:marRight w:val="0"/>
          <w:marTop w:val="0"/>
          <w:marBottom w:val="0"/>
          <w:divBdr>
            <w:top w:val="none" w:sz="0" w:space="0" w:color="auto"/>
            <w:left w:val="none" w:sz="0" w:space="0" w:color="auto"/>
            <w:bottom w:val="none" w:sz="0" w:space="0" w:color="auto"/>
            <w:right w:val="none" w:sz="0" w:space="0" w:color="auto"/>
          </w:divBdr>
        </w:div>
        <w:div w:id="93284578">
          <w:marLeft w:val="994"/>
          <w:marRight w:val="0"/>
          <w:marTop w:val="0"/>
          <w:marBottom w:val="0"/>
          <w:divBdr>
            <w:top w:val="none" w:sz="0" w:space="0" w:color="auto"/>
            <w:left w:val="none" w:sz="0" w:space="0" w:color="auto"/>
            <w:bottom w:val="none" w:sz="0" w:space="0" w:color="auto"/>
            <w:right w:val="none" w:sz="0" w:space="0" w:color="auto"/>
          </w:divBdr>
        </w:div>
        <w:div w:id="164787819">
          <w:marLeft w:val="1714"/>
          <w:marRight w:val="0"/>
          <w:marTop w:val="0"/>
          <w:marBottom w:val="0"/>
          <w:divBdr>
            <w:top w:val="none" w:sz="0" w:space="0" w:color="auto"/>
            <w:left w:val="none" w:sz="0" w:space="0" w:color="auto"/>
            <w:bottom w:val="none" w:sz="0" w:space="0" w:color="auto"/>
            <w:right w:val="none" w:sz="0" w:space="0" w:color="auto"/>
          </w:divBdr>
        </w:div>
        <w:div w:id="176384601">
          <w:marLeft w:val="1714"/>
          <w:marRight w:val="0"/>
          <w:marTop w:val="0"/>
          <w:marBottom w:val="0"/>
          <w:divBdr>
            <w:top w:val="none" w:sz="0" w:space="0" w:color="auto"/>
            <w:left w:val="none" w:sz="0" w:space="0" w:color="auto"/>
            <w:bottom w:val="none" w:sz="0" w:space="0" w:color="auto"/>
            <w:right w:val="none" w:sz="0" w:space="0" w:color="auto"/>
          </w:divBdr>
        </w:div>
        <w:div w:id="243078247">
          <w:marLeft w:val="1714"/>
          <w:marRight w:val="0"/>
          <w:marTop w:val="0"/>
          <w:marBottom w:val="0"/>
          <w:divBdr>
            <w:top w:val="none" w:sz="0" w:space="0" w:color="auto"/>
            <w:left w:val="none" w:sz="0" w:space="0" w:color="auto"/>
            <w:bottom w:val="none" w:sz="0" w:space="0" w:color="auto"/>
            <w:right w:val="none" w:sz="0" w:space="0" w:color="auto"/>
          </w:divBdr>
        </w:div>
        <w:div w:id="430852904">
          <w:marLeft w:val="274"/>
          <w:marRight w:val="0"/>
          <w:marTop w:val="0"/>
          <w:marBottom w:val="0"/>
          <w:divBdr>
            <w:top w:val="none" w:sz="0" w:space="0" w:color="auto"/>
            <w:left w:val="none" w:sz="0" w:space="0" w:color="auto"/>
            <w:bottom w:val="none" w:sz="0" w:space="0" w:color="auto"/>
            <w:right w:val="none" w:sz="0" w:space="0" w:color="auto"/>
          </w:divBdr>
        </w:div>
        <w:div w:id="529952935">
          <w:marLeft w:val="1714"/>
          <w:marRight w:val="0"/>
          <w:marTop w:val="0"/>
          <w:marBottom w:val="0"/>
          <w:divBdr>
            <w:top w:val="none" w:sz="0" w:space="0" w:color="auto"/>
            <w:left w:val="none" w:sz="0" w:space="0" w:color="auto"/>
            <w:bottom w:val="none" w:sz="0" w:space="0" w:color="auto"/>
            <w:right w:val="none" w:sz="0" w:space="0" w:color="auto"/>
          </w:divBdr>
        </w:div>
        <w:div w:id="542059950">
          <w:marLeft w:val="994"/>
          <w:marRight w:val="0"/>
          <w:marTop w:val="0"/>
          <w:marBottom w:val="0"/>
          <w:divBdr>
            <w:top w:val="none" w:sz="0" w:space="0" w:color="auto"/>
            <w:left w:val="none" w:sz="0" w:space="0" w:color="auto"/>
            <w:bottom w:val="none" w:sz="0" w:space="0" w:color="auto"/>
            <w:right w:val="none" w:sz="0" w:space="0" w:color="auto"/>
          </w:divBdr>
        </w:div>
        <w:div w:id="555777170">
          <w:marLeft w:val="1714"/>
          <w:marRight w:val="0"/>
          <w:marTop w:val="0"/>
          <w:marBottom w:val="0"/>
          <w:divBdr>
            <w:top w:val="none" w:sz="0" w:space="0" w:color="auto"/>
            <w:left w:val="none" w:sz="0" w:space="0" w:color="auto"/>
            <w:bottom w:val="none" w:sz="0" w:space="0" w:color="auto"/>
            <w:right w:val="none" w:sz="0" w:space="0" w:color="auto"/>
          </w:divBdr>
        </w:div>
        <w:div w:id="575633390">
          <w:marLeft w:val="994"/>
          <w:marRight w:val="0"/>
          <w:marTop w:val="0"/>
          <w:marBottom w:val="0"/>
          <w:divBdr>
            <w:top w:val="none" w:sz="0" w:space="0" w:color="auto"/>
            <w:left w:val="none" w:sz="0" w:space="0" w:color="auto"/>
            <w:bottom w:val="none" w:sz="0" w:space="0" w:color="auto"/>
            <w:right w:val="none" w:sz="0" w:space="0" w:color="auto"/>
          </w:divBdr>
        </w:div>
        <w:div w:id="599946167">
          <w:marLeft w:val="994"/>
          <w:marRight w:val="0"/>
          <w:marTop w:val="0"/>
          <w:marBottom w:val="0"/>
          <w:divBdr>
            <w:top w:val="none" w:sz="0" w:space="0" w:color="auto"/>
            <w:left w:val="none" w:sz="0" w:space="0" w:color="auto"/>
            <w:bottom w:val="none" w:sz="0" w:space="0" w:color="auto"/>
            <w:right w:val="none" w:sz="0" w:space="0" w:color="auto"/>
          </w:divBdr>
        </w:div>
        <w:div w:id="600457984">
          <w:marLeft w:val="2434"/>
          <w:marRight w:val="0"/>
          <w:marTop w:val="0"/>
          <w:marBottom w:val="0"/>
          <w:divBdr>
            <w:top w:val="none" w:sz="0" w:space="0" w:color="auto"/>
            <w:left w:val="none" w:sz="0" w:space="0" w:color="auto"/>
            <w:bottom w:val="none" w:sz="0" w:space="0" w:color="auto"/>
            <w:right w:val="none" w:sz="0" w:space="0" w:color="auto"/>
          </w:divBdr>
        </w:div>
        <w:div w:id="603196907">
          <w:marLeft w:val="1714"/>
          <w:marRight w:val="0"/>
          <w:marTop w:val="0"/>
          <w:marBottom w:val="0"/>
          <w:divBdr>
            <w:top w:val="none" w:sz="0" w:space="0" w:color="auto"/>
            <w:left w:val="none" w:sz="0" w:space="0" w:color="auto"/>
            <w:bottom w:val="none" w:sz="0" w:space="0" w:color="auto"/>
            <w:right w:val="none" w:sz="0" w:space="0" w:color="auto"/>
          </w:divBdr>
        </w:div>
        <w:div w:id="699286398">
          <w:marLeft w:val="994"/>
          <w:marRight w:val="0"/>
          <w:marTop w:val="0"/>
          <w:marBottom w:val="0"/>
          <w:divBdr>
            <w:top w:val="none" w:sz="0" w:space="0" w:color="auto"/>
            <w:left w:val="none" w:sz="0" w:space="0" w:color="auto"/>
            <w:bottom w:val="none" w:sz="0" w:space="0" w:color="auto"/>
            <w:right w:val="none" w:sz="0" w:space="0" w:color="auto"/>
          </w:divBdr>
        </w:div>
        <w:div w:id="816386286">
          <w:marLeft w:val="1714"/>
          <w:marRight w:val="0"/>
          <w:marTop w:val="0"/>
          <w:marBottom w:val="0"/>
          <w:divBdr>
            <w:top w:val="none" w:sz="0" w:space="0" w:color="auto"/>
            <w:left w:val="none" w:sz="0" w:space="0" w:color="auto"/>
            <w:bottom w:val="none" w:sz="0" w:space="0" w:color="auto"/>
            <w:right w:val="none" w:sz="0" w:space="0" w:color="auto"/>
          </w:divBdr>
        </w:div>
        <w:div w:id="890269307">
          <w:marLeft w:val="1714"/>
          <w:marRight w:val="0"/>
          <w:marTop w:val="0"/>
          <w:marBottom w:val="0"/>
          <w:divBdr>
            <w:top w:val="none" w:sz="0" w:space="0" w:color="auto"/>
            <w:left w:val="none" w:sz="0" w:space="0" w:color="auto"/>
            <w:bottom w:val="none" w:sz="0" w:space="0" w:color="auto"/>
            <w:right w:val="none" w:sz="0" w:space="0" w:color="auto"/>
          </w:divBdr>
        </w:div>
        <w:div w:id="1010303714">
          <w:marLeft w:val="1714"/>
          <w:marRight w:val="0"/>
          <w:marTop w:val="0"/>
          <w:marBottom w:val="0"/>
          <w:divBdr>
            <w:top w:val="none" w:sz="0" w:space="0" w:color="auto"/>
            <w:left w:val="none" w:sz="0" w:space="0" w:color="auto"/>
            <w:bottom w:val="none" w:sz="0" w:space="0" w:color="auto"/>
            <w:right w:val="none" w:sz="0" w:space="0" w:color="auto"/>
          </w:divBdr>
        </w:div>
        <w:div w:id="1069811865">
          <w:marLeft w:val="274"/>
          <w:marRight w:val="0"/>
          <w:marTop w:val="0"/>
          <w:marBottom w:val="0"/>
          <w:divBdr>
            <w:top w:val="none" w:sz="0" w:space="0" w:color="auto"/>
            <w:left w:val="none" w:sz="0" w:space="0" w:color="auto"/>
            <w:bottom w:val="none" w:sz="0" w:space="0" w:color="auto"/>
            <w:right w:val="none" w:sz="0" w:space="0" w:color="auto"/>
          </w:divBdr>
        </w:div>
        <w:div w:id="1255629568">
          <w:marLeft w:val="2434"/>
          <w:marRight w:val="0"/>
          <w:marTop w:val="0"/>
          <w:marBottom w:val="0"/>
          <w:divBdr>
            <w:top w:val="none" w:sz="0" w:space="0" w:color="auto"/>
            <w:left w:val="none" w:sz="0" w:space="0" w:color="auto"/>
            <w:bottom w:val="none" w:sz="0" w:space="0" w:color="auto"/>
            <w:right w:val="none" w:sz="0" w:space="0" w:color="auto"/>
          </w:divBdr>
        </w:div>
        <w:div w:id="1334605455">
          <w:marLeft w:val="1714"/>
          <w:marRight w:val="0"/>
          <w:marTop w:val="0"/>
          <w:marBottom w:val="0"/>
          <w:divBdr>
            <w:top w:val="none" w:sz="0" w:space="0" w:color="auto"/>
            <w:left w:val="none" w:sz="0" w:space="0" w:color="auto"/>
            <w:bottom w:val="none" w:sz="0" w:space="0" w:color="auto"/>
            <w:right w:val="none" w:sz="0" w:space="0" w:color="auto"/>
          </w:divBdr>
        </w:div>
        <w:div w:id="1350378085">
          <w:marLeft w:val="1714"/>
          <w:marRight w:val="0"/>
          <w:marTop w:val="0"/>
          <w:marBottom w:val="0"/>
          <w:divBdr>
            <w:top w:val="none" w:sz="0" w:space="0" w:color="auto"/>
            <w:left w:val="none" w:sz="0" w:space="0" w:color="auto"/>
            <w:bottom w:val="none" w:sz="0" w:space="0" w:color="auto"/>
            <w:right w:val="none" w:sz="0" w:space="0" w:color="auto"/>
          </w:divBdr>
        </w:div>
        <w:div w:id="1393195460">
          <w:marLeft w:val="994"/>
          <w:marRight w:val="0"/>
          <w:marTop w:val="0"/>
          <w:marBottom w:val="0"/>
          <w:divBdr>
            <w:top w:val="none" w:sz="0" w:space="0" w:color="auto"/>
            <w:left w:val="none" w:sz="0" w:space="0" w:color="auto"/>
            <w:bottom w:val="none" w:sz="0" w:space="0" w:color="auto"/>
            <w:right w:val="none" w:sz="0" w:space="0" w:color="auto"/>
          </w:divBdr>
        </w:div>
        <w:div w:id="1663195134">
          <w:marLeft w:val="1714"/>
          <w:marRight w:val="0"/>
          <w:marTop w:val="0"/>
          <w:marBottom w:val="0"/>
          <w:divBdr>
            <w:top w:val="none" w:sz="0" w:space="0" w:color="auto"/>
            <w:left w:val="none" w:sz="0" w:space="0" w:color="auto"/>
            <w:bottom w:val="none" w:sz="0" w:space="0" w:color="auto"/>
            <w:right w:val="none" w:sz="0" w:space="0" w:color="auto"/>
          </w:divBdr>
        </w:div>
        <w:div w:id="1669601916">
          <w:marLeft w:val="994"/>
          <w:marRight w:val="0"/>
          <w:marTop w:val="0"/>
          <w:marBottom w:val="0"/>
          <w:divBdr>
            <w:top w:val="none" w:sz="0" w:space="0" w:color="auto"/>
            <w:left w:val="none" w:sz="0" w:space="0" w:color="auto"/>
            <w:bottom w:val="none" w:sz="0" w:space="0" w:color="auto"/>
            <w:right w:val="none" w:sz="0" w:space="0" w:color="auto"/>
          </w:divBdr>
        </w:div>
        <w:div w:id="1797748898">
          <w:marLeft w:val="1714"/>
          <w:marRight w:val="0"/>
          <w:marTop w:val="0"/>
          <w:marBottom w:val="0"/>
          <w:divBdr>
            <w:top w:val="none" w:sz="0" w:space="0" w:color="auto"/>
            <w:left w:val="none" w:sz="0" w:space="0" w:color="auto"/>
            <w:bottom w:val="none" w:sz="0" w:space="0" w:color="auto"/>
            <w:right w:val="none" w:sz="0" w:space="0" w:color="auto"/>
          </w:divBdr>
        </w:div>
        <w:div w:id="1827700312">
          <w:marLeft w:val="274"/>
          <w:marRight w:val="0"/>
          <w:marTop w:val="0"/>
          <w:marBottom w:val="0"/>
          <w:divBdr>
            <w:top w:val="none" w:sz="0" w:space="0" w:color="auto"/>
            <w:left w:val="none" w:sz="0" w:space="0" w:color="auto"/>
            <w:bottom w:val="none" w:sz="0" w:space="0" w:color="auto"/>
            <w:right w:val="none" w:sz="0" w:space="0" w:color="auto"/>
          </w:divBdr>
        </w:div>
        <w:div w:id="1841311526">
          <w:marLeft w:val="2434"/>
          <w:marRight w:val="0"/>
          <w:marTop w:val="0"/>
          <w:marBottom w:val="0"/>
          <w:divBdr>
            <w:top w:val="none" w:sz="0" w:space="0" w:color="auto"/>
            <w:left w:val="none" w:sz="0" w:space="0" w:color="auto"/>
            <w:bottom w:val="none" w:sz="0" w:space="0" w:color="auto"/>
            <w:right w:val="none" w:sz="0" w:space="0" w:color="auto"/>
          </w:divBdr>
        </w:div>
        <w:div w:id="1869877338">
          <w:marLeft w:val="994"/>
          <w:marRight w:val="0"/>
          <w:marTop w:val="0"/>
          <w:marBottom w:val="0"/>
          <w:divBdr>
            <w:top w:val="none" w:sz="0" w:space="0" w:color="auto"/>
            <w:left w:val="none" w:sz="0" w:space="0" w:color="auto"/>
            <w:bottom w:val="none" w:sz="0" w:space="0" w:color="auto"/>
            <w:right w:val="none" w:sz="0" w:space="0" w:color="auto"/>
          </w:divBdr>
        </w:div>
        <w:div w:id="1909539175">
          <w:marLeft w:val="1714"/>
          <w:marRight w:val="0"/>
          <w:marTop w:val="0"/>
          <w:marBottom w:val="0"/>
          <w:divBdr>
            <w:top w:val="none" w:sz="0" w:space="0" w:color="auto"/>
            <w:left w:val="none" w:sz="0" w:space="0" w:color="auto"/>
            <w:bottom w:val="none" w:sz="0" w:space="0" w:color="auto"/>
            <w:right w:val="none" w:sz="0" w:space="0" w:color="auto"/>
          </w:divBdr>
        </w:div>
        <w:div w:id="2022000072">
          <w:marLeft w:val="274"/>
          <w:marRight w:val="0"/>
          <w:marTop w:val="0"/>
          <w:marBottom w:val="0"/>
          <w:divBdr>
            <w:top w:val="none" w:sz="0" w:space="0" w:color="auto"/>
            <w:left w:val="none" w:sz="0" w:space="0" w:color="auto"/>
            <w:bottom w:val="none" w:sz="0" w:space="0" w:color="auto"/>
            <w:right w:val="none" w:sz="0" w:space="0" w:color="auto"/>
          </w:divBdr>
        </w:div>
        <w:div w:id="2034571829">
          <w:marLeft w:val="274"/>
          <w:marRight w:val="0"/>
          <w:marTop w:val="0"/>
          <w:marBottom w:val="0"/>
          <w:divBdr>
            <w:top w:val="none" w:sz="0" w:space="0" w:color="auto"/>
            <w:left w:val="none" w:sz="0" w:space="0" w:color="auto"/>
            <w:bottom w:val="none" w:sz="0" w:space="0" w:color="auto"/>
            <w:right w:val="none" w:sz="0" w:space="0" w:color="auto"/>
          </w:divBdr>
        </w:div>
        <w:div w:id="2060013335">
          <w:marLeft w:val="994"/>
          <w:marRight w:val="0"/>
          <w:marTop w:val="0"/>
          <w:marBottom w:val="0"/>
          <w:divBdr>
            <w:top w:val="none" w:sz="0" w:space="0" w:color="auto"/>
            <w:left w:val="none" w:sz="0" w:space="0" w:color="auto"/>
            <w:bottom w:val="none" w:sz="0" w:space="0" w:color="auto"/>
            <w:right w:val="none" w:sz="0" w:space="0" w:color="auto"/>
          </w:divBdr>
        </w:div>
        <w:div w:id="2115249264">
          <w:marLeft w:val="1714"/>
          <w:marRight w:val="0"/>
          <w:marTop w:val="0"/>
          <w:marBottom w:val="0"/>
          <w:divBdr>
            <w:top w:val="none" w:sz="0" w:space="0" w:color="auto"/>
            <w:left w:val="none" w:sz="0" w:space="0" w:color="auto"/>
            <w:bottom w:val="none" w:sz="0" w:space="0" w:color="auto"/>
            <w:right w:val="none" w:sz="0" w:space="0" w:color="auto"/>
          </w:divBdr>
        </w:div>
        <w:div w:id="2116514472">
          <w:marLeft w:val="1714"/>
          <w:marRight w:val="0"/>
          <w:marTop w:val="0"/>
          <w:marBottom w:val="0"/>
          <w:divBdr>
            <w:top w:val="none" w:sz="0" w:space="0" w:color="auto"/>
            <w:left w:val="none" w:sz="0" w:space="0" w:color="auto"/>
            <w:bottom w:val="none" w:sz="0" w:space="0" w:color="auto"/>
            <w:right w:val="none" w:sz="0" w:space="0" w:color="auto"/>
          </w:divBdr>
        </w:div>
        <w:div w:id="2125801960">
          <w:marLeft w:val="274"/>
          <w:marRight w:val="0"/>
          <w:marTop w:val="0"/>
          <w:marBottom w:val="0"/>
          <w:divBdr>
            <w:top w:val="none" w:sz="0" w:space="0" w:color="auto"/>
            <w:left w:val="none" w:sz="0" w:space="0" w:color="auto"/>
            <w:bottom w:val="none" w:sz="0" w:space="0" w:color="auto"/>
            <w:right w:val="none" w:sz="0" w:space="0" w:color="auto"/>
          </w:divBdr>
        </w:div>
      </w:divsChild>
    </w:div>
    <w:div w:id="923994591">
      <w:bodyDiv w:val="1"/>
      <w:marLeft w:val="0"/>
      <w:marRight w:val="0"/>
      <w:marTop w:val="0"/>
      <w:marBottom w:val="0"/>
      <w:divBdr>
        <w:top w:val="none" w:sz="0" w:space="0" w:color="auto"/>
        <w:left w:val="none" w:sz="0" w:space="0" w:color="auto"/>
        <w:bottom w:val="none" w:sz="0" w:space="0" w:color="auto"/>
        <w:right w:val="none" w:sz="0" w:space="0" w:color="auto"/>
      </w:divBdr>
      <w:divsChild>
        <w:div w:id="949165694">
          <w:marLeft w:val="0"/>
          <w:marRight w:val="0"/>
          <w:marTop w:val="0"/>
          <w:marBottom w:val="0"/>
          <w:divBdr>
            <w:top w:val="none" w:sz="0" w:space="0" w:color="auto"/>
            <w:left w:val="none" w:sz="0" w:space="0" w:color="auto"/>
            <w:bottom w:val="none" w:sz="0" w:space="0" w:color="auto"/>
            <w:right w:val="none" w:sz="0" w:space="0" w:color="auto"/>
          </w:divBdr>
        </w:div>
        <w:div w:id="1201435619">
          <w:marLeft w:val="0"/>
          <w:marRight w:val="0"/>
          <w:marTop w:val="0"/>
          <w:marBottom w:val="0"/>
          <w:divBdr>
            <w:top w:val="none" w:sz="0" w:space="0" w:color="auto"/>
            <w:left w:val="none" w:sz="0" w:space="0" w:color="auto"/>
            <w:bottom w:val="none" w:sz="0" w:space="0" w:color="auto"/>
            <w:right w:val="none" w:sz="0" w:space="0" w:color="auto"/>
          </w:divBdr>
        </w:div>
        <w:div w:id="1546914712">
          <w:marLeft w:val="0"/>
          <w:marRight w:val="0"/>
          <w:marTop w:val="0"/>
          <w:marBottom w:val="0"/>
          <w:divBdr>
            <w:top w:val="none" w:sz="0" w:space="0" w:color="auto"/>
            <w:left w:val="none" w:sz="0" w:space="0" w:color="auto"/>
            <w:bottom w:val="none" w:sz="0" w:space="0" w:color="auto"/>
            <w:right w:val="none" w:sz="0" w:space="0" w:color="auto"/>
          </w:divBdr>
        </w:div>
        <w:div w:id="1812599150">
          <w:marLeft w:val="0"/>
          <w:marRight w:val="0"/>
          <w:marTop w:val="0"/>
          <w:marBottom w:val="0"/>
          <w:divBdr>
            <w:top w:val="none" w:sz="0" w:space="0" w:color="auto"/>
            <w:left w:val="none" w:sz="0" w:space="0" w:color="auto"/>
            <w:bottom w:val="none" w:sz="0" w:space="0" w:color="auto"/>
            <w:right w:val="none" w:sz="0" w:space="0" w:color="auto"/>
          </w:divBdr>
        </w:div>
      </w:divsChild>
    </w:div>
    <w:div w:id="924732341">
      <w:bodyDiv w:val="1"/>
      <w:marLeft w:val="0"/>
      <w:marRight w:val="0"/>
      <w:marTop w:val="0"/>
      <w:marBottom w:val="0"/>
      <w:divBdr>
        <w:top w:val="none" w:sz="0" w:space="0" w:color="auto"/>
        <w:left w:val="none" w:sz="0" w:space="0" w:color="auto"/>
        <w:bottom w:val="none" w:sz="0" w:space="0" w:color="auto"/>
        <w:right w:val="none" w:sz="0" w:space="0" w:color="auto"/>
      </w:divBdr>
      <w:divsChild>
        <w:div w:id="69353882">
          <w:marLeft w:val="0"/>
          <w:marRight w:val="0"/>
          <w:marTop w:val="0"/>
          <w:marBottom w:val="0"/>
          <w:divBdr>
            <w:top w:val="none" w:sz="0" w:space="0" w:color="auto"/>
            <w:left w:val="none" w:sz="0" w:space="0" w:color="auto"/>
            <w:bottom w:val="none" w:sz="0" w:space="0" w:color="auto"/>
            <w:right w:val="none" w:sz="0" w:space="0" w:color="auto"/>
          </w:divBdr>
        </w:div>
        <w:div w:id="1211065691">
          <w:marLeft w:val="0"/>
          <w:marRight w:val="0"/>
          <w:marTop w:val="0"/>
          <w:marBottom w:val="0"/>
          <w:divBdr>
            <w:top w:val="none" w:sz="0" w:space="0" w:color="auto"/>
            <w:left w:val="none" w:sz="0" w:space="0" w:color="auto"/>
            <w:bottom w:val="none" w:sz="0" w:space="0" w:color="auto"/>
            <w:right w:val="none" w:sz="0" w:space="0" w:color="auto"/>
          </w:divBdr>
        </w:div>
        <w:div w:id="1462961431">
          <w:marLeft w:val="0"/>
          <w:marRight w:val="0"/>
          <w:marTop w:val="0"/>
          <w:marBottom w:val="0"/>
          <w:divBdr>
            <w:top w:val="none" w:sz="0" w:space="0" w:color="auto"/>
            <w:left w:val="none" w:sz="0" w:space="0" w:color="auto"/>
            <w:bottom w:val="none" w:sz="0" w:space="0" w:color="auto"/>
            <w:right w:val="none" w:sz="0" w:space="0" w:color="auto"/>
          </w:divBdr>
        </w:div>
        <w:div w:id="2108648487">
          <w:marLeft w:val="0"/>
          <w:marRight w:val="0"/>
          <w:marTop w:val="0"/>
          <w:marBottom w:val="0"/>
          <w:divBdr>
            <w:top w:val="none" w:sz="0" w:space="0" w:color="auto"/>
            <w:left w:val="none" w:sz="0" w:space="0" w:color="auto"/>
            <w:bottom w:val="none" w:sz="0" w:space="0" w:color="auto"/>
            <w:right w:val="none" w:sz="0" w:space="0" w:color="auto"/>
          </w:divBdr>
        </w:div>
      </w:divsChild>
    </w:div>
    <w:div w:id="930239444">
      <w:bodyDiv w:val="1"/>
      <w:marLeft w:val="0"/>
      <w:marRight w:val="0"/>
      <w:marTop w:val="0"/>
      <w:marBottom w:val="0"/>
      <w:divBdr>
        <w:top w:val="none" w:sz="0" w:space="0" w:color="auto"/>
        <w:left w:val="none" w:sz="0" w:space="0" w:color="auto"/>
        <w:bottom w:val="none" w:sz="0" w:space="0" w:color="auto"/>
        <w:right w:val="none" w:sz="0" w:space="0" w:color="auto"/>
      </w:divBdr>
      <w:divsChild>
        <w:div w:id="1381858870">
          <w:marLeft w:val="0"/>
          <w:marRight w:val="0"/>
          <w:marTop w:val="0"/>
          <w:marBottom w:val="0"/>
          <w:divBdr>
            <w:top w:val="none" w:sz="0" w:space="0" w:color="auto"/>
            <w:left w:val="none" w:sz="0" w:space="0" w:color="auto"/>
            <w:bottom w:val="none" w:sz="0" w:space="0" w:color="auto"/>
            <w:right w:val="none" w:sz="0" w:space="0" w:color="auto"/>
          </w:divBdr>
        </w:div>
        <w:div w:id="2026595923">
          <w:marLeft w:val="0"/>
          <w:marRight w:val="0"/>
          <w:marTop w:val="0"/>
          <w:marBottom w:val="0"/>
          <w:divBdr>
            <w:top w:val="none" w:sz="0" w:space="0" w:color="auto"/>
            <w:left w:val="none" w:sz="0" w:space="0" w:color="auto"/>
            <w:bottom w:val="none" w:sz="0" w:space="0" w:color="auto"/>
            <w:right w:val="none" w:sz="0" w:space="0" w:color="auto"/>
          </w:divBdr>
        </w:div>
      </w:divsChild>
    </w:div>
    <w:div w:id="950011055">
      <w:bodyDiv w:val="1"/>
      <w:marLeft w:val="0"/>
      <w:marRight w:val="0"/>
      <w:marTop w:val="0"/>
      <w:marBottom w:val="0"/>
      <w:divBdr>
        <w:top w:val="none" w:sz="0" w:space="0" w:color="auto"/>
        <w:left w:val="none" w:sz="0" w:space="0" w:color="auto"/>
        <w:bottom w:val="none" w:sz="0" w:space="0" w:color="auto"/>
        <w:right w:val="none" w:sz="0" w:space="0" w:color="auto"/>
      </w:divBdr>
      <w:divsChild>
        <w:div w:id="591091820">
          <w:marLeft w:val="0"/>
          <w:marRight w:val="0"/>
          <w:marTop w:val="0"/>
          <w:marBottom w:val="0"/>
          <w:divBdr>
            <w:top w:val="none" w:sz="0" w:space="0" w:color="auto"/>
            <w:left w:val="none" w:sz="0" w:space="0" w:color="auto"/>
            <w:bottom w:val="none" w:sz="0" w:space="0" w:color="auto"/>
            <w:right w:val="none" w:sz="0" w:space="0" w:color="auto"/>
          </w:divBdr>
        </w:div>
        <w:div w:id="841504488">
          <w:marLeft w:val="0"/>
          <w:marRight w:val="0"/>
          <w:marTop w:val="0"/>
          <w:marBottom w:val="0"/>
          <w:divBdr>
            <w:top w:val="none" w:sz="0" w:space="0" w:color="auto"/>
            <w:left w:val="none" w:sz="0" w:space="0" w:color="auto"/>
            <w:bottom w:val="none" w:sz="0" w:space="0" w:color="auto"/>
            <w:right w:val="none" w:sz="0" w:space="0" w:color="auto"/>
          </w:divBdr>
        </w:div>
        <w:div w:id="1945921861">
          <w:marLeft w:val="0"/>
          <w:marRight w:val="0"/>
          <w:marTop w:val="0"/>
          <w:marBottom w:val="0"/>
          <w:divBdr>
            <w:top w:val="none" w:sz="0" w:space="0" w:color="auto"/>
            <w:left w:val="none" w:sz="0" w:space="0" w:color="auto"/>
            <w:bottom w:val="none" w:sz="0" w:space="0" w:color="auto"/>
            <w:right w:val="none" w:sz="0" w:space="0" w:color="auto"/>
          </w:divBdr>
        </w:div>
      </w:divsChild>
    </w:div>
    <w:div w:id="956106274">
      <w:bodyDiv w:val="1"/>
      <w:marLeft w:val="0"/>
      <w:marRight w:val="0"/>
      <w:marTop w:val="0"/>
      <w:marBottom w:val="0"/>
      <w:divBdr>
        <w:top w:val="none" w:sz="0" w:space="0" w:color="auto"/>
        <w:left w:val="none" w:sz="0" w:space="0" w:color="auto"/>
        <w:bottom w:val="none" w:sz="0" w:space="0" w:color="auto"/>
        <w:right w:val="none" w:sz="0" w:space="0" w:color="auto"/>
      </w:divBdr>
    </w:div>
    <w:div w:id="957101379">
      <w:bodyDiv w:val="1"/>
      <w:marLeft w:val="0"/>
      <w:marRight w:val="0"/>
      <w:marTop w:val="0"/>
      <w:marBottom w:val="0"/>
      <w:divBdr>
        <w:top w:val="none" w:sz="0" w:space="0" w:color="auto"/>
        <w:left w:val="none" w:sz="0" w:space="0" w:color="auto"/>
        <w:bottom w:val="none" w:sz="0" w:space="0" w:color="auto"/>
        <w:right w:val="none" w:sz="0" w:space="0" w:color="auto"/>
      </w:divBdr>
      <w:divsChild>
        <w:div w:id="535627216">
          <w:marLeft w:val="0"/>
          <w:marRight w:val="0"/>
          <w:marTop w:val="0"/>
          <w:marBottom w:val="0"/>
          <w:divBdr>
            <w:top w:val="none" w:sz="0" w:space="0" w:color="auto"/>
            <w:left w:val="none" w:sz="0" w:space="0" w:color="auto"/>
            <w:bottom w:val="none" w:sz="0" w:space="0" w:color="auto"/>
            <w:right w:val="none" w:sz="0" w:space="0" w:color="auto"/>
          </w:divBdr>
        </w:div>
        <w:div w:id="1343702177">
          <w:marLeft w:val="0"/>
          <w:marRight w:val="0"/>
          <w:marTop w:val="0"/>
          <w:marBottom w:val="0"/>
          <w:divBdr>
            <w:top w:val="none" w:sz="0" w:space="0" w:color="auto"/>
            <w:left w:val="none" w:sz="0" w:space="0" w:color="auto"/>
            <w:bottom w:val="none" w:sz="0" w:space="0" w:color="auto"/>
            <w:right w:val="none" w:sz="0" w:space="0" w:color="auto"/>
          </w:divBdr>
        </w:div>
        <w:div w:id="2146195082">
          <w:marLeft w:val="0"/>
          <w:marRight w:val="0"/>
          <w:marTop w:val="0"/>
          <w:marBottom w:val="0"/>
          <w:divBdr>
            <w:top w:val="none" w:sz="0" w:space="0" w:color="auto"/>
            <w:left w:val="none" w:sz="0" w:space="0" w:color="auto"/>
            <w:bottom w:val="none" w:sz="0" w:space="0" w:color="auto"/>
            <w:right w:val="none" w:sz="0" w:space="0" w:color="auto"/>
          </w:divBdr>
        </w:div>
      </w:divsChild>
    </w:div>
    <w:div w:id="958144766">
      <w:bodyDiv w:val="1"/>
      <w:marLeft w:val="0"/>
      <w:marRight w:val="0"/>
      <w:marTop w:val="0"/>
      <w:marBottom w:val="0"/>
      <w:divBdr>
        <w:top w:val="none" w:sz="0" w:space="0" w:color="auto"/>
        <w:left w:val="none" w:sz="0" w:space="0" w:color="auto"/>
        <w:bottom w:val="none" w:sz="0" w:space="0" w:color="auto"/>
        <w:right w:val="none" w:sz="0" w:space="0" w:color="auto"/>
      </w:divBdr>
      <w:divsChild>
        <w:div w:id="504786437">
          <w:marLeft w:val="0"/>
          <w:marRight w:val="0"/>
          <w:marTop w:val="0"/>
          <w:marBottom w:val="0"/>
          <w:divBdr>
            <w:top w:val="none" w:sz="0" w:space="0" w:color="auto"/>
            <w:left w:val="none" w:sz="0" w:space="0" w:color="auto"/>
            <w:bottom w:val="none" w:sz="0" w:space="0" w:color="auto"/>
            <w:right w:val="none" w:sz="0" w:space="0" w:color="auto"/>
          </w:divBdr>
        </w:div>
        <w:div w:id="753287665">
          <w:marLeft w:val="0"/>
          <w:marRight w:val="0"/>
          <w:marTop w:val="0"/>
          <w:marBottom w:val="0"/>
          <w:divBdr>
            <w:top w:val="none" w:sz="0" w:space="0" w:color="auto"/>
            <w:left w:val="none" w:sz="0" w:space="0" w:color="auto"/>
            <w:bottom w:val="none" w:sz="0" w:space="0" w:color="auto"/>
            <w:right w:val="none" w:sz="0" w:space="0" w:color="auto"/>
          </w:divBdr>
        </w:div>
        <w:div w:id="1511338589">
          <w:marLeft w:val="0"/>
          <w:marRight w:val="0"/>
          <w:marTop w:val="0"/>
          <w:marBottom w:val="0"/>
          <w:divBdr>
            <w:top w:val="none" w:sz="0" w:space="0" w:color="auto"/>
            <w:left w:val="none" w:sz="0" w:space="0" w:color="auto"/>
            <w:bottom w:val="none" w:sz="0" w:space="0" w:color="auto"/>
            <w:right w:val="none" w:sz="0" w:space="0" w:color="auto"/>
          </w:divBdr>
        </w:div>
        <w:div w:id="1727297706">
          <w:marLeft w:val="0"/>
          <w:marRight w:val="0"/>
          <w:marTop w:val="0"/>
          <w:marBottom w:val="0"/>
          <w:divBdr>
            <w:top w:val="none" w:sz="0" w:space="0" w:color="auto"/>
            <w:left w:val="none" w:sz="0" w:space="0" w:color="auto"/>
            <w:bottom w:val="none" w:sz="0" w:space="0" w:color="auto"/>
            <w:right w:val="none" w:sz="0" w:space="0" w:color="auto"/>
          </w:divBdr>
        </w:div>
        <w:div w:id="1862165270">
          <w:marLeft w:val="0"/>
          <w:marRight w:val="0"/>
          <w:marTop w:val="0"/>
          <w:marBottom w:val="0"/>
          <w:divBdr>
            <w:top w:val="none" w:sz="0" w:space="0" w:color="auto"/>
            <w:left w:val="none" w:sz="0" w:space="0" w:color="auto"/>
            <w:bottom w:val="none" w:sz="0" w:space="0" w:color="auto"/>
            <w:right w:val="none" w:sz="0" w:space="0" w:color="auto"/>
          </w:divBdr>
        </w:div>
      </w:divsChild>
    </w:div>
    <w:div w:id="960300684">
      <w:bodyDiv w:val="1"/>
      <w:marLeft w:val="0"/>
      <w:marRight w:val="0"/>
      <w:marTop w:val="0"/>
      <w:marBottom w:val="0"/>
      <w:divBdr>
        <w:top w:val="none" w:sz="0" w:space="0" w:color="auto"/>
        <w:left w:val="none" w:sz="0" w:space="0" w:color="auto"/>
        <w:bottom w:val="none" w:sz="0" w:space="0" w:color="auto"/>
        <w:right w:val="none" w:sz="0" w:space="0" w:color="auto"/>
      </w:divBdr>
      <w:divsChild>
        <w:div w:id="1148210317">
          <w:marLeft w:val="0"/>
          <w:marRight w:val="0"/>
          <w:marTop w:val="0"/>
          <w:marBottom w:val="0"/>
          <w:divBdr>
            <w:top w:val="none" w:sz="0" w:space="0" w:color="auto"/>
            <w:left w:val="none" w:sz="0" w:space="0" w:color="auto"/>
            <w:bottom w:val="none" w:sz="0" w:space="0" w:color="auto"/>
            <w:right w:val="none" w:sz="0" w:space="0" w:color="auto"/>
          </w:divBdr>
        </w:div>
        <w:div w:id="1606184833">
          <w:marLeft w:val="0"/>
          <w:marRight w:val="0"/>
          <w:marTop w:val="0"/>
          <w:marBottom w:val="0"/>
          <w:divBdr>
            <w:top w:val="none" w:sz="0" w:space="0" w:color="auto"/>
            <w:left w:val="none" w:sz="0" w:space="0" w:color="auto"/>
            <w:bottom w:val="none" w:sz="0" w:space="0" w:color="auto"/>
            <w:right w:val="none" w:sz="0" w:space="0" w:color="auto"/>
          </w:divBdr>
        </w:div>
        <w:div w:id="1625228179">
          <w:marLeft w:val="0"/>
          <w:marRight w:val="0"/>
          <w:marTop w:val="0"/>
          <w:marBottom w:val="0"/>
          <w:divBdr>
            <w:top w:val="none" w:sz="0" w:space="0" w:color="auto"/>
            <w:left w:val="none" w:sz="0" w:space="0" w:color="auto"/>
            <w:bottom w:val="none" w:sz="0" w:space="0" w:color="auto"/>
            <w:right w:val="none" w:sz="0" w:space="0" w:color="auto"/>
          </w:divBdr>
        </w:div>
      </w:divsChild>
    </w:div>
    <w:div w:id="969289447">
      <w:bodyDiv w:val="1"/>
      <w:marLeft w:val="0"/>
      <w:marRight w:val="0"/>
      <w:marTop w:val="0"/>
      <w:marBottom w:val="0"/>
      <w:divBdr>
        <w:top w:val="none" w:sz="0" w:space="0" w:color="auto"/>
        <w:left w:val="none" w:sz="0" w:space="0" w:color="auto"/>
        <w:bottom w:val="none" w:sz="0" w:space="0" w:color="auto"/>
        <w:right w:val="none" w:sz="0" w:space="0" w:color="auto"/>
      </w:divBdr>
    </w:div>
    <w:div w:id="970133913">
      <w:bodyDiv w:val="1"/>
      <w:marLeft w:val="0"/>
      <w:marRight w:val="0"/>
      <w:marTop w:val="0"/>
      <w:marBottom w:val="0"/>
      <w:divBdr>
        <w:top w:val="none" w:sz="0" w:space="0" w:color="auto"/>
        <w:left w:val="none" w:sz="0" w:space="0" w:color="auto"/>
        <w:bottom w:val="none" w:sz="0" w:space="0" w:color="auto"/>
        <w:right w:val="none" w:sz="0" w:space="0" w:color="auto"/>
      </w:divBdr>
      <w:divsChild>
        <w:div w:id="1694988779">
          <w:marLeft w:val="0"/>
          <w:marRight w:val="0"/>
          <w:marTop w:val="0"/>
          <w:marBottom w:val="0"/>
          <w:divBdr>
            <w:top w:val="none" w:sz="0" w:space="0" w:color="auto"/>
            <w:left w:val="none" w:sz="0" w:space="0" w:color="auto"/>
            <w:bottom w:val="none" w:sz="0" w:space="0" w:color="auto"/>
            <w:right w:val="none" w:sz="0" w:space="0" w:color="auto"/>
          </w:divBdr>
        </w:div>
        <w:div w:id="1789160590">
          <w:marLeft w:val="0"/>
          <w:marRight w:val="0"/>
          <w:marTop w:val="0"/>
          <w:marBottom w:val="0"/>
          <w:divBdr>
            <w:top w:val="none" w:sz="0" w:space="0" w:color="auto"/>
            <w:left w:val="none" w:sz="0" w:space="0" w:color="auto"/>
            <w:bottom w:val="none" w:sz="0" w:space="0" w:color="auto"/>
            <w:right w:val="none" w:sz="0" w:space="0" w:color="auto"/>
          </w:divBdr>
        </w:div>
      </w:divsChild>
    </w:div>
    <w:div w:id="980036306">
      <w:bodyDiv w:val="1"/>
      <w:marLeft w:val="0"/>
      <w:marRight w:val="0"/>
      <w:marTop w:val="0"/>
      <w:marBottom w:val="0"/>
      <w:divBdr>
        <w:top w:val="none" w:sz="0" w:space="0" w:color="auto"/>
        <w:left w:val="none" w:sz="0" w:space="0" w:color="auto"/>
        <w:bottom w:val="none" w:sz="0" w:space="0" w:color="auto"/>
        <w:right w:val="none" w:sz="0" w:space="0" w:color="auto"/>
      </w:divBdr>
    </w:div>
    <w:div w:id="985359473">
      <w:bodyDiv w:val="1"/>
      <w:marLeft w:val="0"/>
      <w:marRight w:val="0"/>
      <w:marTop w:val="0"/>
      <w:marBottom w:val="0"/>
      <w:divBdr>
        <w:top w:val="none" w:sz="0" w:space="0" w:color="auto"/>
        <w:left w:val="none" w:sz="0" w:space="0" w:color="auto"/>
        <w:bottom w:val="none" w:sz="0" w:space="0" w:color="auto"/>
        <w:right w:val="none" w:sz="0" w:space="0" w:color="auto"/>
      </w:divBdr>
      <w:divsChild>
        <w:div w:id="407120927">
          <w:marLeft w:val="0"/>
          <w:marRight w:val="0"/>
          <w:marTop w:val="0"/>
          <w:marBottom w:val="0"/>
          <w:divBdr>
            <w:top w:val="none" w:sz="0" w:space="0" w:color="auto"/>
            <w:left w:val="none" w:sz="0" w:space="0" w:color="auto"/>
            <w:bottom w:val="none" w:sz="0" w:space="0" w:color="auto"/>
            <w:right w:val="none" w:sz="0" w:space="0" w:color="auto"/>
          </w:divBdr>
        </w:div>
        <w:div w:id="1099177827">
          <w:marLeft w:val="0"/>
          <w:marRight w:val="0"/>
          <w:marTop w:val="0"/>
          <w:marBottom w:val="0"/>
          <w:divBdr>
            <w:top w:val="none" w:sz="0" w:space="0" w:color="auto"/>
            <w:left w:val="none" w:sz="0" w:space="0" w:color="auto"/>
            <w:bottom w:val="none" w:sz="0" w:space="0" w:color="auto"/>
            <w:right w:val="none" w:sz="0" w:space="0" w:color="auto"/>
          </w:divBdr>
        </w:div>
      </w:divsChild>
    </w:div>
    <w:div w:id="986712619">
      <w:bodyDiv w:val="1"/>
      <w:marLeft w:val="0"/>
      <w:marRight w:val="0"/>
      <w:marTop w:val="0"/>
      <w:marBottom w:val="0"/>
      <w:divBdr>
        <w:top w:val="none" w:sz="0" w:space="0" w:color="auto"/>
        <w:left w:val="none" w:sz="0" w:space="0" w:color="auto"/>
        <w:bottom w:val="none" w:sz="0" w:space="0" w:color="auto"/>
        <w:right w:val="none" w:sz="0" w:space="0" w:color="auto"/>
      </w:divBdr>
    </w:div>
    <w:div w:id="987562077">
      <w:bodyDiv w:val="1"/>
      <w:marLeft w:val="0"/>
      <w:marRight w:val="0"/>
      <w:marTop w:val="0"/>
      <w:marBottom w:val="0"/>
      <w:divBdr>
        <w:top w:val="none" w:sz="0" w:space="0" w:color="auto"/>
        <w:left w:val="none" w:sz="0" w:space="0" w:color="auto"/>
        <w:bottom w:val="none" w:sz="0" w:space="0" w:color="auto"/>
        <w:right w:val="none" w:sz="0" w:space="0" w:color="auto"/>
      </w:divBdr>
      <w:divsChild>
        <w:div w:id="343173960">
          <w:marLeft w:val="0"/>
          <w:marRight w:val="0"/>
          <w:marTop w:val="0"/>
          <w:marBottom w:val="0"/>
          <w:divBdr>
            <w:top w:val="none" w:sz="0" w:space="0" w:color="auto"/>
            <w:left w:val="none" w:sz="0" w:space="0" w:color="auto"/>
            <w:bottom w:val="none" w:sz="0" w:space="0" w:color="auto"/>
            <w:right w:val="none" w:sz="0" w:space="0" w:color="auto"/>
          </w:divBdr>
        </w:div>
        <w:div w:id="675113330">
          <w:marLeft w:val="0"/>
          <w:marRight w:val="0"/>
          <w:marTop w:val="0"/>
          <w:marBottom w:val="0"/>
          <w:divBdr>
            <w:top w:val="none" w:sz="0" w:space="0" w:color="auto"/>
            <w:left w:val="none" w:sz="0" w:space="0" w:color="auto"/>
            <w:bottom w:val="none" w:sz="0" w:space="0" w:color="auto"/>
            <w:right w:val="none" w:sz="0" w:space="0" w:color="auto"/>
          </w:divBdr>
        </w:div>
        <w:div w:id="1380131963">
          <w:marLeft w:val="0"/>
          <w:marRight w:val="0"/>
          <w:marTop w:val="0"/>
          <w:marBottom w:val="0"/>
          <w:divBdr>
            <w:top w:val="none" w:sz="0" w:space="0" w:color="auto"/>
            <w:left w:val="none" w:sz="0" w:space="0" w:color="auto"/>
            <w:bottom w:val="none" w:sz="0" w:space="0" w:color="auto"/>
            <w:right w:val="none" w:sz="0" w:space="0" w:color="auto"/>
          </w:divBdr>
        </w:div>
        <w:div w:id="1412121179">
          <w:marLeft w:val="0"/>
          <w:marRight w:val="0"/>
          <w:marTop w:val="0"/>
          <w:marBottom w:val="0"/>
          <w:divBdr>
            <w:top w:val="none" w:sz="0" w:space="0" w:color="auto"/>
            <w:left w:val="none" w:sz="0" w:space="0" w:color="auto"/>
            <w:bottom w:val="none" w:sz="0" w:space="0" w:color="auto"/>
            <w:right w:val="none" w:sz="0" w:space="0" w:color="auto"/>
          </w:divBdr>
        </w:div>
      </w:divsChild>
    </w:div>
    <w:div w:id="1000042894">
      <w:bodyDiv w:val="1"/>
      <w:marLeft w:val="0"/>
      <w:marRight w:val="0"/>
      <w:marTop w:val="0"/>
      <w:marBottom w:val="0"/>
      <w:divBdr>
        <w:top w:val="none" w:sz="0" w:space="0" w:color="auto"/>
        <w:left w:val="none" w:sz="0" w:space="0" w:color="auto"/>
        <w:bottom w:val="none" w:sz="0" w:space="0" w:color="auto"/>
        <w:right w:val="none" w:sz="0" w:space="0" w:color="auto"/>
      </w:divBdr>
    </w:div>
    <w:div w:id="1008286996">
      <w:bodyDiv w:val="1"/>
      <w:marLeft w:val="0"/>
      <w:marRight w:val="0"/>
      <w:marTop w:val="0"/>
      <w:marBottom w:val="0"/>
      <w:divBdr>
        <w:top w:val="none" w:sz="0" w:space="0" w:color="auto"/>
        <w:left w:val="none" w:sz="0" w:space="0" w:color="auto"/>
        <w:bottom w:val="none" w:sz="0" w:space="0" w:color="auto"/>
        <w:right w:val="none" w:sz="0" w:space="0" w:color="auto"/>
      </w:divBdr>
      <w:divsChild>
        <w:div w:id="124660712">
          <w:marLeft w:val="0"/>
          <w:marRight w:val="0"/>
          <w:marTop w:val="0"/>
          <w:marBottom w:val="0"/>
          <w:divBdr>
            <w:top w:val="none" w:sz="0" w:space="0" w:color="auto"/>
            <w:left w:val="none" w:sz="0" w:space="0" w:color="auto"/>
            <w:bottom w:val="none" w:sz="0" w:space="0" w:color="auto"/>
            <w:right w:val="none" w:sz="0" w:space="0" w:color="auto"/>
          </w:divBdr>
        </w:div>
        <w:div w:id="713047324">
          <w:marLeft w:val="0"/>
          <w:marRight w:val="0"/>
          <w:marTop w:val="0"/>
          <w:marBottom w:val="0"/>
          <w:divBdr>
            <w:top w:val="none" w:sz="0" w:space="0" w:color="auto"/>
            <w:left w:val="none" w:sz="0" w:space="0" w:color="auto"/>
            <w:bottom w:val="none" w:sz="0" w:space="0" w:color="auto"/>
            <w:right w:val="none" w:sz="0" w:space="0" w:color="auto"/>
          </w:divBdr>
        </w:div>
        <w:div w:id="1023363848">
          <w:marLeft w:val="0"/>
          <w:marRight w:val="0"/>
          <w:marTop w:val="0"/>
          <w:marBottom w:val="0"/>
          <w:divBdr>
            <w:top w:val="none" w:sz="0" w:space="0" w:color="auto"/>
            <w:left w:val="none" w:sz="0" w:space="0" w:color="auto"/>
            <w:bottom w:val="none" w:sz="0" w:space="0" w:color="auto"/>
            <w:right w:val="none" w:sz="0" w:space="0" w:color="auto"/>
          </w:divBdr>
        </w:div>
        <w:div w:id="2007513947">
          <w:marLeft w:val="0"/>
          <w:marRight w:val="0"/>
          <w:marTop w:val="0"/>
          <w:marBottom w:val="0"/>
          <w:divBdr>
            <w:top w:val="none" w:sz="0" w:space="0" w:color="auto"/>
            <w:left w:val="none" w:sz="0" w:space="0" w:color="auto"/>
            <w:bottom w:val="none" w:sz="0" w:space="0" w:color="auto"/>
            <w:right w:val="none" w:sz="0" w:space="0" w:color="auto"/>
          </w:divBdr>
        </w:div>
        <w:div w:id="2046515213">
          <w:marLeft w:val="0"/>
          <w:marRight w:val="0"/>
          <w:marTop w:val="0"/>
          <w:marBottom w:val="0"/>
          <w:divBdr>
            <w:top w:val="none" w:sz="0" w:space="0" w:color="auto"/>
            <w:left w:val="none" w:sz="0" w:space="0" w:color="auto"/>
            <w:bottom w:val="none" w:sz="0" w:space="0" w:color="auto"/>
            <w:right w:val="none" w:sz="0" w:space="0" w:color="auto"/>
          </w:divBdr>
        </w:div>
      </w:divsChild>
    </w:div>
    <w:div w:id="1014646295">
      <w:bodyDiv w:val="1"/>
      <w:marLeft w:val="0"/>
      <w:marRight w:val="0"/>
      <w:marTop w:val="0"/>
      <w:marBottom w:val="0"/>
      <w:divBdr>
        <w:top w:val="none" w:sz="0" w:space="0" w:color="auto"/>
        <w:left w:val="none" w:sz="0" w:space="0" w:color="auto"/>
        <w:bottom w:val="none" w:sz="0" w:space="0" w:color="auto"/>
        <w:right w:val="none" w:sz="0" w:space="0" w:color="auto"/>
      </w:divBdr>
      <w:divsChild>
        <w:div w:id="83497940">
          <w:marLeft w:val="0"/>
          <w:marRight w:val="0"/>
          <w:marTop w:val="0"/>
          <w:marBottom w:val="0"/>
          <w:divBdr>
            <w:top w:val="none" w:sz="0" w:space="0" w:color="auto"/>
            <w:left w:val="none" w:sz="0" w:space="0" w:color="auto"/>
            <w:bottom w:val="none" w:sz="0" w:space="0" w:color="auto"/>
            <w:right w:val="none" w:sz="0" w:space="0" w:color="auto"/>
          </w:divBdr>
        </w:div>
        <w:div w:id="1253394105">
          <w:marLeft w:val="0"/>
          <w:marRight w:val="0"/>
          <w:marTop w:val="0"/>
          <w:marBottom w:val="0"/>
          <w:divBdr>
            <w:top w:val="none" w:sz="0" w:space="0" w:color="auto"/>
            <w:left w:val="none" w:sz="0" w:space="0" w:color="auto"/>
            <w:bottom w:val="none" w:sz="0" w:space="0" w:color="auto"/>
            <w:right w:val="none" w:sz="0" w:space="0" w:color="auto"/>
          </w:divBdr>
        </w:div>
      </w:divsChild>
    </w:div>
    <w:div w:id="1027214048">
      <w:bodyDiv w:val="1"/>
      <w:marLeft w:val="0"/>
      <w:marRight w:val="0"/>
      <w:marTop w:val="0"/>
      <w:marBottom w:val="0"/>
      <w:divBdr>
        <w:top w:val="none" w:sz="0" w:space="0" w:color="auto"/>
        <w:left w:val="none" w:sz="0" w:space="0" w:color="auto"/>
        <w:bottom w:val="none" w:sz="0" w:space="0" w:color="auto"/>
        <w:right w:val="none" w:sz="0" w:space="0" w:color="auto"/>
      </w:divBdr>
    </w:div>
    <w:div w:id="1041127794">
      <w:bodyDiv w:val="1"/>
      <w:marLeft w:val="0"/>
      <w:marRight w:val="0"/>
      <w:marTop w:val="0"/>
      <w:marBottom w:val="0"/>
      <w:divBdr>
        <w:top w:val="none" w:sz="0" w:space="0" w:color="auto"/>
        <w:left w:val="none" w:sz="0" w:space="0" w:color="auto"/>
        <w:bottom w:val="none" w:sz="0" w:space="0" w:color="auto"/>
        <w:right w:val="none" w:sz="0" w:space="0" w:color="auto"/>
      </w:divBdr>
      <w:divsChild>
        <w:div w:id="39944092">
          <w:marLeft w:val="0"/>
          <w:marRight w:val="0"/>
          <w:marTop w:val="0"/>
          <w:marBottom w:val="0"/>
          <w:divBdr>
            <w:top w:val="none" w:sz="0" w:space="0" w:color="auto"/>
            <w:left w:val="none" w:sz="0" w:space="0" w:color="auto"/>
            <w:bottom w:val="none" w:sz="0" w:space="0" w:color="auto"/>
            <w:right w:val="none" w:sz="0" w:space="0" w:color="auto"/>
          </w:divBdr>
        </w:div>
        <w:div w:id="402410202">
          <w:marLeft w:val="0"/>
          <w:marRight w:val="0"/>
          <w:marTop w:val="0"/>
          <w:marBottom w:val="0"/>
          <w:divBdr>
            <w:top w:val="none" w:sz="0" w:space="0" w:color="auto"/>
            <w:left w:val="none" w:sz="0" w:space="0" w:color="auto"/>
            <w:bottom w:val="none" w:sz="0" w:space="0" w:color="auto"/>
            <w:right w:val="none" w:sz="0" w:space="0" w:color="auto"/>
          </w:divBdr>
        </w:div>
        <w:div w:id="671568497">
          <w:marLeft w:val="0"/>
          <w:marRight w:val="0"/>
          <w:marTop w:val="0"/>
          <w:marBottom w:val="0"/>
          <w:divBdr>
            <w:top w:val="none" w:sz="0" w:space="0" w:color="auto"/>
            <w:left w:val="none" w:sz="0" w:space="0" w:color="auto"/>
            <w:bottom w:val="none" w:sz="0" w:space="0" w:color="auto"/>
            <w:right w:val="none" w:sz="0" w:space="0" w:color="auto"/>
          </w:divBdr>
        </w:div>
        <w:div w:id="675420257">
          <w:marLeft w:val="0"/>
          <w:marRight w:val="0"/>
          <w:marTop w:val="0"/>
          <w:marBottom w:val="0"/>
          <w:divBdr>
            <w:top w:val="none" w:sz="0" w:space="0" w:color="auto"/>
            <w:left w:val="none" w:sz="0" w:space="0" w:color="auto"/>
            <w:bottom w:val="none" w:sz="0" w:space="0" w:color="auto"/>
            <w:right w:val="none" w:sz="0" w:space="0" w:color="auto"/>
          </w:divBdr>
        </w:div>
        <w:div w:id="684359578">
          <w:marLeft w:val="0"/>
          <w:marRight w:val="0"/>
          <w:marTop w:val="0"/>
          <w:marBottom w:val="0"/>
          <w:divBdr>
            <w:top w:val="none" w:sz="0" w:space="0" w:color="auto"/>
            <w:left w:val="none" w:sz="0" w:space="0" w:color="auto"/>
            <w:bottom w:val="none" w:sz="0" w:space="0" w:color="auto"/>
            <w:right w:val="none" w:sz="0" w:space="0" w:color="auto"/>
          </w:divBdr>
        </w:div>
        <w:div w:id="696740733">
          <w:marLeft w:val="0"/>
          <w:marRight w:val="0"/>
          <w:marTop w:val="0"/>
          <w:marBottom w:val="0"/>
          <w:divBdr>
            <w:top w:val="none" w:sz="0" w:space="0" w:color="auto"/>
            <w:left w:val="none" w:sz="0" w:space="0" w:color="auto"/>
            <w:bottom w:val="none" w:sz="0" w:space="0" w:color="auto"/>
            <w:right w:val="none" w:sz="0" w:space="0" w:color="auto"/>
          </w:divBdr>
        </w:div>
        <w:div w:id="1002007091">
          <w:marLeft w:val="0"/>
          <w:marRight w:val="0"/>
          <w:marTop w:val="0"/>
          <w:marBottom w:val="0"/>
          <w:divBdr>
            <w:top w:val="none" w:sz="0" w:space="0" w:color="auto"/>
            <w:left w:val="none" w:sz="0" w:space="0" w:color="auto"/>
            <w:bottom w:val="none" w:sz="0" w:space="0" w:color="auto"/>
            <w:right w:val="none" w:sz="0" w:space="0" w:color="auto"/>
          </w:divBdr>
        </w:div>
        <w:div w:id="1168710987">
          <w:marLeft w:val="0"/>
          <w:marRight w:val="0"/>
          <w:marTop w:val="0"/>
          <w:marBottom w:val="0"/>
          <w:divBdr>
            <w:top w:val="none" w:sz="0" w:space="0" w:color="auto"/>
            <w:left w:val="none" w:sz="0" w:space="0" w:color="auto"/>
            <w:bottom w:val="none" w:sz="0" w:space="0" w:color="auto"/>
            <w:right w:val="none" w:sz="0" w:space="0" w:color="auto"/>
          </w:divBdr>
        </w:div>
        <w:div w:id="1174340620">
          <w:marLeft w:val="0"/>
          <w:marRight w:val="0"/>
          <w:marTop w:val="0"/>
          <w:marBottom w:val="0"/>
          <w:divBdr>
            <w:top w:val="none" w:sz="0" w:space="0" w:color="auto"/>
            <w:left w:val="none" w:sz="0" w:space="0" w:color="auto"/>
            <w:bottom w:val="none" w:sz="0" w:space="0" w:color="auto"/>
            <w:right w:val="none" w:sz="0" w:space="0" w:color="auto"/>
          </w:divBdr>
        </w:div>
        <w:div w:id="1225608265">
          <w:marLeft w:val="0"/>
          <w:marRight w:val="0"/>
          <w:marTop w:val="0"/>
          <w:marBottom w:val="0"/>
          <w:divBdr>
            <w:top w:val="none" w:sz="0" w:space="0" w:color="auto"/>
            <w:left w:val="none" w:sz="0" w:space="0" w:color="auto"/>
            <w:bottom w:val="none" w:sz="0" w:space="0" w:color="auto"/>
            <w:right w:val="none" w:sz="0" w:space="0" w:color="auto"/>
          </w:divBdr>
        </w:div>
        <w:div w:id="1271276863">
          <w:marLeft w:val="0"/>
          <w:marRight w:val="0"/>
          <w:marTop w:val="0"/>
          <w:marBottom w:val="0"/>
          <w:divBdr>
            <w:top w:val="none" w:sz="0" w:space="0" w:color="auto"/>
            <w:left w:val="none" w:sz="0" w:space="0" w:color="auto"/>
            <w:bottom w:val="none" w:sz="0" w:space="0" w:color="auto"/>
            <w:right w:val="none" w:sz="0" w:space="0" w:color="auto"/>
          </w:divBdr>
        </w:div>
        <w:div w:id="1287275181">
          <w:marLeft w:val="0"/>
          <w:marRight w:val="0"/>
          <w:marTop w:val="0"/>
          <w:marBottom w:val="0"/>
          <w:divBdr>
            <w:top w:val="none" w:sz="0" w:space="0" w:color="auto"/>
            <w:left w:val="none" w:sz="0" w:space="0" w:color="auto"/>
            <w:bottom w:val="none" w:sz="0" w:space="0" w:color="auto"/>
            <w:right w:val="none" w:sz="0" w:space="0" w:color="auto"/>
          </w:divBdr>
        </w:div>
        <w:div w:id="1329939907">
          <w:marLeft w:val="0"/>
          <w:marRight w:val="0"/>
          <w:marTop w:val="0"/>
          <w:marBottom w:val="0"/>
          <w:divBdr>
            <w:top w:val="none" w:sz="0" w:space="0" w:color="auto"/>
            <w:left w:val="none" w:sz="0" w:space="0" w:color="auto"/>
            <w:bottom w:val="none" w:sz="0" w:space="0" w:color="auto"/>
            <w:right w:val="none" w:sz="0" w:space="0" w:color="auto"/>
          </w:divBdr>
        </w:div>
        <w:div w:id="1414204541">
          <w:marLeft w:val="0"/>
          <w:marRight w:val="0"/>
          <w:marTop w:val="0"/>
          <w:marBottom w:val="0"/>
          <w:divBdr>
            <w:top w:val="none" w:sz="0" w:space="0" w:color="auto"/>
            <w:left w:val="none" w:sz="0" w:space="0" w:color="auto"/>
            <w:bottom w:val="none" w:sz="0" w:space="0" w:color="auto"/>
            <w:right w:val="none" w:sz="0" w:space="0" w:color="auto"/>
          </w:divBdr>
        </w:div>
        <w:div w:id="1458719376">
          <w:marLeft w:val="0"/>
          <w:marRight w:val="0"/>
          <w:marTop w:val="0"/>
          <w:marBottom w:val="0"/>
          <w:divBdr>
            <w:top w:val="none" w:sz="0" w:space="0" w:color="auto"/>
            <w:left w:val="none" w:sz="0" w:space="0" w:color="auto"/>
            <w:bottom w:val="none" w:sz="0" w:space="0" w:color="auto"/>
            <w:right w:val="none" w:sz="0" w:space="0" w:color="auto"/>
          </w:divBdr>
        </w:div>
        <w:div w:id="1533415430">
          <w:marLeft w:val="0"/>
          <w:marRight w:val="0"/>
          <w:marTop w:val="0"/>
          <w:marBottom w:val="0"/>
          <w:divBdr>
            <w:top w:val="none" w:sz="0" w:space="0" w:color="auto"/>
            <w:left w:val="none" w:sz="0" w:space="0" w:color="auto"/>
            <w:bottom w:val="none" w:sz="0" w:space="0" w:color="auto"/>
            <w:right w:val="none" w:sz="0" w:space="0" w:color="auto"/>
          </w:divBdr>
        </w:div>
        <w:div w:id="1660689485">
          <w:marLeft w:val="0"/>
          <w:marRight w:val="0"/>
          <w:marTop w:val="0"/>
          <w:marBottom w:val="0"/>
          <w:divBdr>
            <w:top w:val="none" w:sz="0" w:space="0" w:color="auto"/>
            <w:left w:val="none" w:sz="0" w:space="0" w:color="auto"/>
            <w:bottom w:val="none" w:sz="0" w:space="0" w:color="auto"/>
            <w:right w:val="none" w:sz="0" w:space="0" w:color="auto"/>
          </w:divBdr>
        </w:div>
        <w:div w:id="1804276425">
          <w:marLeft w:val="0"/>
          <w:marRight w:val="0"/>
          <w:marTop w:val="0"/>
          <w:marBottom w:val="0"/>
          <w:divBdr>
            <w:top w:val="none" w:sz="0" w:space="0" w:color="auto"/>
            <w:left w:val="none" w:sz="0" w:space="0" w:color="auto"/>
            <w:bottom w:val="none" w:sz="0" w:space="0" w:color="auto"/>
            <w:right w:val="none" w:sz="0" w:space="0" w:color="auto"/>
          </w:divBdr>
        </w:div>
        <w:div w:id="1952274417">
          <w:marLeft w:val="0"/>
          <w:marRight w:val="0"/>
          <w:marTop w:val="0"/>
          <w:marBottom w:val="0"/>
          <w:divBdr>
            <w:top w:val="none" w:sz="0" w:space="0" w:color="auto"/>
            <w:left w:val="none" w:sz="0" w:space="0" w:color="auto"/>
            <w:bottom w:val="none" w:sz="0" w:space="0" w:color="auto"/>
            <w:right w:val="none" w:sz="0" w:space="0" w:color="auto"/>
          </w:divBdr>
        </w:div>
      </w:divsChild>
    </w:div>
    <w:div w:id="1053046060">
      <w:bodyDiv w:val="1"/>
      <w:marLeft w:val="0"/>
      <w:marRight w:val="0"/>
      <w:marTop w:val="0"/>
      <w:marBottom w:val="0"/>
      <w:divBdr>
        <w:top w:val="none" w:sz="0" w:space="0" w:color="auto"/>
        <w:left w:val="none" w:sz="0" w:space="0" w:color="auto"/>
        <w:bottom w:val="none" w:sz="0" w:space="0" w:color="auto"/>
        <w:right w:val="none" w:sz="0" w:space="0" w:color="auto"/>
      </w:divBdr>
    </w:div>
    <w:div w:id="1055543512">
      <w:bodyDiv w:val="1"/>
      <w:marLeft w:val="0"/>
      <w:marRight w:val="0"/>
      <w:marTop w:val="0"/>
      <w:marBottom w:val="0"/>
      <w:divBdr>
        <w:top w:val="none" w:sz="0" w:space="0" w:color="auto"/>
        <w:left w:val="none" w:sz="0" w:space="0" w:color="auto"/>
        <w:bottom w:val="none" w:sz="0" w:space="0" w:color="auto"/>
        <w:right w:val="none" w:sz="0" w:space="0" w:color="auto"/>
      </w:divBdr>
    </w:div>
    <w:div w:id="1056466706">
      <w:bodyDiv w:val="1"/>
      <w:marLeft w:val="0"/>
      <w:marRight w:val="0"/>
      <w:marTop w:val="0"/>
      <w:marBottom w:val="0"/>
      <w:divBdr>
        <w:top w:val="none" w:sz="0" w:space="0" w:color="auto"/>
        <w:left w:val="none" w:sz="0" w:space="0" w:color="auto"/>
        <w:bottom w:val="none" w:sz="0" w:space="0" w:color="auto"/>
        <w:right w:val="none" w:sz="0" w:space="0" w:color="auto"/>
      </w:divBdr>
    </w:div>
    <w:div w:id="1059859082">
      <w:bodyDiv w:val="1"/>
      <w:marLeft w:val="0"/>
      <w:marRight w:val="0"/>
      <w:marTop w:val="0"/>
      <w:marBottom w:val="0"/>
      <w:divBdr>
        <w:top w:val="none" w:sz="0" w:space="0" w:color="auto"/>
        <w:left w:val="none" w:sz="0" w:space="0" w:color="auto"/>
        <w:bottom w:val="none" w:sz="0" w:space="0" w:color="auto"/>
        <w:right w:val="none" w:sz="0" w:space="0" w:color="auto"/>
      </w:divBdr>
      <w:divsChild>
        <w:div w:id="4288427">
          <w:marLeft w:val="0"/>
          <w:marRight w:val="0"/>
          <w:marTop w:val="0"/>
          <w:marBottom w:val="0"/>
          <w:divBdr>
            <w:top w:val="none" w:sz="0" w:space="0" w:color="auto"/>
            <w:left w:val="none" w:sz="0" w:space="0" w:color="auto"/>
            <w:bottom w:val="none" w:sz="0" w:space="0" w:color="auto"/>
            <w:right w:val="none" w:sz="0" w:space="0" w:color="auto"/>
          </w:divBdr>
        </w:div>
        <w:div w:id="138501291">
          <w:marLeft w:val="0"/>
          <w:marRight w:val="0"/>
          <w:marTop w:val="0"/>
          <w:marBottom w:val="0"/>
          <w:divBdr>
            <w:top w:val="none" w:sz="0" w:space="0" w:color="auto"/>
            <w:left w:val="none" w:sz="0" w:space="0" w:color="auto"/>
            <w:bottom w:val="none" w:sz="0" w:space="0" w:color="auto"/>
            <w:right w:val="none" w:sz="0" w:space="0" w:color="auto"/>
          </w:divBdr>
        </w:div>
        <w:div w:id="151919813">
          <w:marLeft w:val="0"/>
          <w:marRight w:val="0"/>
          <w:marTop w:val="0"/>
          <w:marBottom w:val="0"/>
          <w:divBdr>
            <w:top w:val="none" w:sz="0" w:space="0" w:color="auto"/>
            <w:left w:val="none" w:sz="0" w:space="0" w:color="auto"/>
            <w:bottom w:val="none" w:sz="0" w:space="0" w:color="auto"/>
            <w:right w:val="none" w:sz="0" w:space="0" w:color="auto"/>
          </w:divBdr>
        </w:div>
        <w:div w:id="216818235">
          <w:marLeft w:val="0"/>
          <w:marRight w:val="0"/>
          <w:marTop w:val="0"/>
          <w:marBottom w:val="0"/>
          <w:divBdr>
            <w:top w:val="none" w:sz="0" w:space="0" w:color="auto"/>
            <w:left w:val="none" w:sz="0" w:space="0" w:color="auto"/>
            <w:bottom w:val="none" w:sz="0" w:space="0" w:color="auto"/>
            <w:right w:val="none" w:sz="0" w:space="0" w:color="auto"/>
          </w:divBdr>
        </w:div>
        <w:div w:id="278417673">
          <w:marLeft w:val="0"/>
          <w:marRight w:val="0"/>
          <w:marTop w:val="0"/>
          <w:marBottom w:val="0"/>
          <w:divBdr>
            <w:top w:val="none" w:sz="0" w:space="0" w:color="auto"/>
            <w:left w:val="none" w:sz="0" w:space="0" w:color="auto"/>
            <w:bottom w:val="none" w:sz="0" w:space="0" w:color="auto"/>
            <w:right w:val="none" w:sz="0" w:space="0" w:color="auto"/>
          </w:divBdr>
        </w:div>
        <w:div w:id="388844333">
          <w:marLeft w:val="0"/>
          <w:marRight w:val="0"/>
          <w:marTop w:val="0"/>
          <w:marBottom w:val="0"/>
          <w:divBdr>
            <w:top w:val="none" w:sz="0" w:space="0" w:color="auto"/>
            <w:left w:val="none" w:sz="0" w:space="0" w:color="auto"/>
            <w:bottom w:val="none" w:sz="0" w:space="0" w:color="auto"/>
            <w:right w:val="none" w:sz="0" w:space="0" w:color="auto"/>
          </w:divBdr>
        </w:div>
        <w:div w:id="394669097">
          <w:marLeft w:val="0"/>
          <w:marRight w:val="0"/>
          <w:marTop w:val="0"/>
          <w:marBottom w:val="0"/>
          <w:divBdr>
            <w:top w:val="none" w:sz="0" w:space="0" w:color="auto"/>
            <w:left w:val="none" w:sz="0" w:space="0" w:color="auto"/>
            <w:bottom w:val="none" w:sz="0" w:space="0" w:color="auto"/>
            <w:right w:val="none" w:sz="0" w:space="0" w:color="auto"/>
          </w:divBdr>
        </w:div>
        <w:div w:id="433483747">
          <w:marLeft w:val="0"/>
          <w:marRight w:val="0"/>
          <w:marTop w:val="0"/>
          <w:marBottom w:val="0"/>
          <w:divBdr>
            <w:top w:val="none" w:sz="0" w:space="0" w:color="auto"/>
            <w:left w:val="none" w:sz="0" w:space="0" w:color="auto"/>
            <w:bottom w:val="none" w:sz="0" w:space="0" w:color="auto"/>
            <w:right w:val="none" w:sz="0" w:space="0" w:color="auto"/>
          </w:divBdr>
        </w:div>
        <w:div w:id="447431567">
          <w:marLeft w:val="0"/>
          <w:marRight w:val="0"/>
          <w:marTop w:val="0"/>
          <w:marBottom w:val="0"/>
          <w:divBdr>
            <w:top w:val="none" w:sz="0" w:space="0" w:color="auto"/>
            <w:left w:val="none" w:sz="0" w:space="0" w:color="auto"/>
            <w:bottom w:val="none" w:sz="0" w:space="0" w:color="auto"/>
            <w:right w:val="none" w:sz="0" w:space="0" w:color="auto"/>
          </w:divBdr>
        </w:div>
        <w:div w:id="541331226">
          <w:marLeft w:val="0"/>
          <w:marRight w:val="0"/>
          <w:marTop w:val="0"/>
          <w:marBottom w:val="0"/>
          <w:divBdr>
            <w:top w:val="none" w:sz="0" w:space="0" w:color="auto"/>
            <w:left w:val="none" w:sz="0" w:space="0" w:color="auto"/>
            <w:bottom w:val="none" w:sz="0" w:space="0" w:color="auto"/>
            <w:right w:val="none" w:sz="0" w:space="0" w:color="auto"/>
          </w:divBdr>
        </w:div>
        <w:div w:id="809203821">
          <w:marLeft w:val="0"/>
          <w:marRight w:val="0"/>
          <w:marTop w:val="0"/>
          <w:marBottom w:val="0"/>
          <w:divBdr>
            <w:top w:val="none" w:sz="0" w:space="0" w:color="auto"/>
            <w:left w:val="none" w:sz="0" w:space="0" w:color="auto"/>
            <w:bottom w:val="none" w:sz="0" w:space="0" w:color="auto"/>
            <w:right w:val="none" w:sz="0" w:space="0" w:color="auto"/>
          </w:divBdr>
        </w:div>
        <w:div w:id="887186166">
          <w:marLeft w:val="0"/>
          <w:marRight w:val="0"/>
          <w:marTop w:val="0"/>
          <w:marBottom w:val="0"/>
          <w:divBdr>
            <w:top w:val="none" w:sz="0" w:space="0" w:color="auto"/>
            <w:left w:val="none" w:sz="0" w:space="0" w:color="auto"/>
            <w:bottom w:val="none" w:sz="0" w:space="0" w:color="auto"/>
            <w:right w:val="none" w:sz="0" w:space="0" w:color="auto"/>
          </w:divBdr>
        </w:div>
        <w:div w:id="1023556644">
          <w:marLeft w:val="0"/>
          <w:marRight w:val="0"/>
          <w:marTop w:val="0"/>
          <w:marBottom w:val="0"/>
          <w:divBdr>
            <w:top w:val="none" w:sz="0" w:space="0" w:color="auto"/>
            <w:left w:val="none" w:sz="0" w:space="0" w:color="auto"/>
            <w:bottom w:val="none" w:sz="0" w:space="0" w:color="auto"/>
            <w:right w:val="none" w:sz="0" w:space="0" w:color="auto"/>
          </w:divBdr>
        </w:div>
        <w:div w:id="1037051016">
          <w:marLeft w:val="0"/>
          <w:marRight w:val="0"/>
          <w:marTop w:val="0"/>
          <w:marBottom w:val="0"/>
          <w:divBdr>
            <w:top w:val="none" w:sz="0" w:space="0" w:color="auto"/>
            <w:left w:val="none" w:sz="0" w:space="0" w:color="auto"/>
            <w:bottom w:val="none" w:sz="0" w:space="0" w:color="auto"/>
            <w:right w:val="none" w:sz="0" w:space="0" w:color="auto"/>
          </w:divBdr>
        </w:div>
        <w:div w:id="1092117846">
          <w:marLeft w:val="0"/>
          <w:marRight w:val="0"/>
          <w:marTop w:val="0"/>
          <w:marBottom w:val="0"/>
          <w:divBdr>
            <w:top w:val="none" w:sz="0" w:space="0" w:color="auto"/>
            <w:left w:val="none" w:sz="0" w:space="0" w:color="auto"/>
            <w:bottom w:val="none" w:sz="0" w:space="0" w:color="auto"/>
            <w:right w:val="none" w:sz="0" w:space="0" w:color="auto"/>
          </w:divBdr>
        </w:div>
        <w:div w:id="1159689214">
          <w:marLeft w:val="0"/>
          <w:marRight w:val="0"/>
          <w:marTop w:val="0"/>
          <w:marBottom w:val="0"/>
          <w:divBdr>
            <w:top w:val="none" w:sz="0" w:space="0" w:color="auto"/>
            <w:left w:val="none" w:sz="0" w:space="0" w:color="auto"/>
            <w:bottom w:val="none" w:sz="0" w:space="0" w:color="auto"/>
            <w:right w:val="none" w:sz="0" w:space="0" w:color="auto"/>
          </w:divBdr>
        </w:div>
        <w:div w:id="1261986599">
          <w:marLeft w:val="0"/>
          <w:marRight w:val="0"/>
          <w:marTop w:val="0"/>
          <w:marBottom w:val="0"/>
          <w:divBdr>
            <w:top w:val="none" w:sz="0" w:space="0" w:color="auto"/>
            <w:left w:val="none" w:sz="0" w:space="0" w:color="auto"/>
            <w:bottom w:val="none" w:sz="0" w:space="0" w:color="auto"/>
            <w:right w:val="none" w:sz="0" w:space="0" w:color="auto"/>
          </w:divBdr>
        </w:div>
        <w:div w:id="1450971128">
          <w:marLeft w:val="0"/>
          <w:marRight w:val="0"/>
          <w:marTop w:val="0"/>
          <w:marBottom w:val="0"/>
          <w:divBdr>
            <w:top w:val="none" w:sz="0" w:space="0" w:color="auto"/>
            <w:left w:val="none" w:sz="0" w:space="0" w:color="auto"/>
            <w:bottom w:val="none" w:sz="0" w:space="0" w:color="auto"/>
            <w:right w:val="none" w:sz="0" w:space="0" w:color="auto"/>
          </w:divBdr>
        </w:div>
        <w:div w:id="1482193186">
          <w:marLeft w:val="0"/>
          <w:marRight w:val="0"/>
          <w:marTop w:val="0"/>
          <w:marBottom w:val="0"/>
          <w:divBdr>
            <w:top w:val="none" w:sz="0" w:space="0" w:color="auto"/>
            <w:left w:val="none" w:sz="0" w:space="0" w:color="auto"/>
            <w:bottom w:val="none" w:sz="0" w:space="0" w:color="auto"/>
            <w:right w:val="none" w:sz="0" w:space="0" w:color="auto"/>
          </w:divBdr>
        </w:div>
        <w:div w:id="1830176463">
          <w:marLeft w:val="0"/>
          <w:marRight w:val="0"/>
          <w:marTop w:val="0"/>
          <w:marBottom w:val="0"/>
          <w:divBdr>
            <w:top w:val="none" w:sz="0" w:space="0" w:color="auto"/>
            <w:left w:val="none" w:sz="0" w:space="0" w:color="auto"/>
            <w:bottom w:val="none" w:sz="0" w:space="0" w:color="auto"/>
            <w:right w:val="none" w:sz="0" w:space="0" w:color="auto"/>
          </w:divBdr>
        </w:div>
        <w:div w:id="1855726426">
          <w:marLeft w:val="0"/>
          <w:marRight w:val="0"/>
          <w:marTop w:val="0"/>
          <w:marBottom w:val="0"/>
          <w:divBdr>
            <w:top w:val="none" w:sz="0" w:space="0" w:color="auto"/>
            <w:left w:val="none" w:sz="0" w:space="0" w:color="auto"/>
            <w:bottom w:val="none" w:sz="0" w:space="0" w:color="auto"/>
            <w:right w:val="none" w:sz="0" w:space="0" w:color="auto"/>
          </w:divBdr>
        </w:div>
        <w:div w:id="1862234185">
          <w:marLeft w:val="0"/>
          <w:marRight w:val="0"/>
          <w:marTop w:val="0"/>
          <w:marBottom w:val="0"/>
          <w:divBdr>
            <w:top w:val="none" w:sz="0" w:space="0" w:color="auto"/>
            <w:left w:val="none" w:sz="0" w:space="0" w:color="auto"/>
            <w:bottom w:val="none" w:sz="0" w:space="0" w:color="auto"/>
            <w:right w:val="none" w:sz="0" w:space="0" w:color="auto"/>
          </w:divBdr>
        </w:div>
        <w:div w:id="2047900295">
          <w:marLeft w:val="0"/>
          <w:marRight w:val="0"/>
          <w:marTop w:val="0"/>
          <w:marBottom w:val="0"/>
          <w:divBdr>
            <w:top w:val="none" w:sz="0" w:space="0" w:color="auto"/>
            <w:left w:val="none" w:sz="0" w:space="0" w:color="auto"/>
            <w:bottom w:val="none" w:sz="0" w:space="0" w:color="auto"/>
            <w:right w:val="none" w:sz="0" w:space="0" w:color="auto"/>
          </w:divBdr>
        </w:div>
      </w:divsChild>
    </w:div>
    <w:div w:id="1066879863">
      <w:bodyDiv w:val="1"/>
      <w:marLeft w:val="0"/>
      <w:marRight w:val="0"/>
      <w:marTop w:val="0"/>
      <w:marBottom w:val="0"/>
      <w:divBdr>
        <w:top w:val="none" w:sz="0" w:space="0" w:color="auto"/>
        <w:left w:val="none" w:sz="0" w:space="0" w:color="auto"/>
        <w:bottom w:val="none" w:sz="0" w:space="0" w:color="auto"/>
        <w:right w:val="none" w:sz="0" w:space="0" w:color="auto"/>
      </w:divBdr>
    </w:div>
    <w:div w:id="1084761835">
      <w:bodyDiv w:val="1"/>
      <w:marLeft w:val="0"/>
      <w:marRight w:val="0"/>
      <w:marTop w:val="0"/>
      <w:marBottom w:val="0"/>
      <w:divBdr>
        <w:top w:val="none" w:sz="0" w:space="0" w:color="auto"/>
        <w:left w:val="none" w:sz="0" w:space="0" w:color="auto"/>
        <w:bottom w:val="none" w:sz="0" w:space="0" w:color="auto"/>
        <w:right w:val="none" w:sz="0" w:space="0" w:color="auto"/>
      </w:divBdr>
      <w:divsChild>
        <w:div w:id="93017369">
          <w:marLeft w:val="0"/>
          <w:marRight w:val="0"/>
          <w:marTop w:val="0"/>
          <w:marBottom w:val="0"/>
          <w:divBdr>
            <w:top w:val="none" w:sz="0" w:space="0" w:color="auto"/>
            <w:left w:val="none" w:sz="0" w:space="0" w:color="auto"/>
            <w:bottom w:val="none" w:sz="0" w:space="0" w:color="auto"/>
            <w:right w:val="none" w:sz="0" w:space="0" w:color="auto"/>
          </w:divBdr>
        </w:div>
        <w:div w:id="892235165">
          <w:marLeft w:val="0"/>
          <w:marRight w:val="0"/>
          <w:marTop w:val="0"/>
          <w:marBottom w:val="0"/>
          <w:divBdr>
            <w:top w:val="none" w:sz="0" w:space="0" w:color="auto"/>
            <w:left w:val="none" w:sz="0" w:space="0" w:color="auto"/>
            <w:bottom w:val="none" w:sz="0" w:space="0" w:color="auto"/>
            <w:right w:val="none" w:sz="0" w:space="0" w:color="auto"/>
          </w:divBdr>
        </w:div>
        <w:div w:id="1240142731">
          <w:marLeft w:val="0"/>
          <w:marRight w:val="0"/>
          <w:marTop w:val="0"/>
          <w:marBottom w:val="0"/>
          <w:divBdr>
            <w:top w:val="none" w:sz="0" w:space="0" w:color="auto"/>
            <w:left w:val="none" w:sz="0" w:space="0" w:color="auto"/>
            <w:bottom w:val="none" w:sz="0" w:space="0" w:color="auto"/>
            <w:right w:val="none" w:sz="0" w:space="0" w:color="auto"/>
          </w:divBdr>
        </w:div>
      </w:divsChild>
    </w:div>
    <w:div w:id="1092622156">
      <w:bodyDiv w:val="1"/>
      <w:marLeft w:val="0"/>
      <w:marRight w:val="0"/>
      <w:marTop w:val="0"/>
      <w:marBottom w:val="0"/>
      <w:divBdr>
        <w:top w:val="none" w:sz="0" w:space="0" w:color="auto"/>
        <w:left w:val="none" w:sz="0" w:space="0" w:color="auto"/>
        <w:bottom w:val="none" w:sz="0" w:space="0" w:color="auto"/>
        <w:right w:val="none" w:sz="0" w:space="0" w:color="auto"/>
      </w:divBdr>
      <w:divsChild>
        <w:div w:id="1333681941">
          <w:marLeft w:val="0"/>
          <w:marRight w:val="0"/>
          <w:marTop w:val="0"/>
          <w:marBottom w:val="0"/>
          <w:divBdr>
            <w:top w:val="none" w:sz="0" w:space="0" w:color="auto"/>
            <w:left w:val="none" w:sz="0" w:space="0" w:color="auto"/>
            <w:bottom w:val="none" w:sz="0" w:space="0" w:color="auto"/>
            <w:right w:val="none" w:sz="0" w:space="0" w:color="auto"/>
          </w:divBdr>
          <w:divsChild>
            <w:div w:id="1547373374">
              <w:marLeft w:val="0"/>
              <w:marRight w:val="0"/>
              <w:marTop w:val="0"/>
              <w:marBottom w:val="0"/>
              <w:divBdr>
                <w:top w:val="none" w:sz="0" w:space="0" w:color="auto"/>
                <w:left w:val="none" w:sz="0" w:space="0" w:color="auto"/>
                <w:bottom w:val="none" w:sz="0" w:space="0" w:color="auto"/>
                <w:right w:val="none" w:sz="0" w:space="0" w:color="auto"/>
              </w:divBdr>
              <w:divsChild>
                <w:div w:id="111628793">
                  <w:marLeft w:val="0"/>
                  <w:marRight w:val="0"/>
                  <w:marTop w:val="0"/>
                  <w:marBottom w:val="0"/>
                  <w:divBdr>
                    <w:top w:val="none" w:sz="0" w:space="0" w:color="auto"/>
                    <w:left w:val="none" w:sz="0" w:space="0" w:color="auto"/>
                    <w:bottom w:val="none" w:sz="0" w:space="0" w:color="auto"/>
                    <w:right w:val="none" w:sz="0" w:space="0" w:color="auto"/>
                  </w:divBdr>
                </w:div>
                <w:div w:id="285350531">
                  <w:marLeft w:val="0"/>
                  <w:marRight w:val="0"/>
                  <w:marTop w:val="0"/>
                  <w:marBottom w:val="0"/>
                  <w:divBdr>
                    <w:top w:val="none" w:sz="0" w:space="0" w:color="auto"/>
                    <w:left w:val="none" w:sz="0" w:space="0" w:color="auto"/>
                    <w:bottom w:val="none" w:sz="0" w:space="0" w:color="auto"/>
                    <w:right w:val="none" w:sz="0" w:space="0" w:color="auto"/>
                  </w:divBdr>
                </w:div>
                <w:div w:id="374696149">
                  <w:marLeft w:val="0"/>
                  <w:marRight w:val="0"/>
                  <w:marTop w:val="0"/>
                  <w:marBottom w:val="0"/>
                  <w:divBdr>
                    <w:top w:val="none" w:sz="0" w:space="0" w:color="auto"/>
                    <w:left w:val="none" w:sz="0" w:space="0" w:color="auto"/>
                    <w:bottom w:val="none" w:sz="0" w:space="0" w:color="auto"/>
                    <w:right w:val="none" w:sz="0" w:space="0" w:color="auto"/>
                  </w:divBdr>
                </w:div>
                <w:div w:id="780614488">
                  <w:marLeft w:val="0"/>
                  <w:marRight w:val="0"/>
                  <w:marTop w:val="0"/>
                  <w:marBottom w:val="0"/>
                  <w:divBdr>
                    <w:top w:val="none" w:sz="0" w:space="0" w:color="auto"/>
                    <w:left w:val="none" w:sz="0" w:space="0" w:color="auto"/>
                    <w:bottom w:val="none" w:sz="0" w:space="0" w:color="auto"/>
                    <w:right w:val="none" w:sz="0" w:space="0" w:color="auto"/>
                  </w:divBdr>
                </w:div>
                <w:div w:id="797140906">
                  <w:marLeft w:val="0"/>
                  <w:marRight w:val="0"/>
                  <w:marTop w:val="0"/>
                  <w:marBottom w:val="0"/>
                  <w:divBdr>
                    <w:top w:val="none" w:sz="0" w:space="0" w:color="auto"/>
                    <w:left w:val="none" w:sz="0" w:space="0" w:color="auto"/>
                    <w:bottom w:val="none" w:sz="0" w:space="0" w:color="auto"/>
                    <w:right w:val="none" w:sz="0" w:space="0" w:color="auto"/>
                  </w:divBdr>
                </w:div>
                <w:div w:id="999697402">
                  <w:marLeft w:val="0"/>
                  <w:marRight w:val="0"/>
                  <w:marTop w:val="0"/>
                  <w:marBottom w:val="0"/>
                  <w:divBdr>
                    <w:top w:val="none" w:sz="0" w:space="0" w:color="auto"/>
                    <w:left w:val="none" w:sz="0" w:space="0" w:color="auto"/>
                    <w:bottom w:val="none" w:sz="0" w:space="0" w:color="auto"/>
                    <w:right w:val="none" w:sz="0" w:space="0" w:color="auto"/>
                  </w:divBdr>
                </w:div>
                <w:div w:id="1401053310">
                  <w:marLeft w:val="0"/>
                  <w:marRight w:val="0"/>
                  <w:marTop w:val="0"/>
                  <w:marBottom w:val="0"/>
                  <w:divBdr>
                    <w:top w:val="none" w:sz="0" w:space="0" w:color="auto"/>
                    <w:left w:val="none" w:sz="0" w:space="0" w:color="auto"/>
                    <w:bottom w:val="none" w:sz="0" w:space="0" w:color="auto"/>
                    <w:right w:val="none" w:sz="0" w:space="0" w:color="auto"/>
                  </w:divBdr>
                </w:div>
                <w:div w:id="1527329356">
                  <w:marLeft w:val="0"/>
                  <w:marRight w:val="0"/>
                  <w:marTop w:val="0"/>
                  <w:marBottom w:val="0"/>
                  <w:divBdr>
                    <w:top w:val="none" w:sz="0" w:space="0" w:color="auto"/>
                    <w:left w:val="none" w:sz="0" w:space="0" w:color="auto"/>
                    <w:bottom w:val="none" w:sz="0" w:space="0" w:color="auto"/>
                    <w:right w:val="none" w:sz="0" w:space="0" w:color="auto"/>
                  </w:divBdr>
                </w:div>
                <w:div w:id="16892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43642">
      <w:bodyDiv w:val="1"/>
      <w:marLeft w:val="0"/>
      <w:marRight w:val="0"/>
      <w:marTop w:val="0"/>
      <w:marBottom w:val="0"/>
      <w:divBdr>
        <w:top w:val="none" w:sz="0" w:space="0" w:color="auto"/>
        <w:left w:val="none" w:sz="0" w:space="0" w:color="auto"/>
        <w:bottom w:val="none" w:sz="0" w:space="0" w:color="auto"/>
        <w:right w:val="none" w:sz="0" w:space="0" w:color="auto"/>
      </w:divBdr>
      <w:divsChild>
        <w:div w:id="240919349">
          <w:marLeft w:val="0"/>
          <w:marRight w:val="0"/>
          <w:marTop w:val="0"/>
          <w:marBottom w:val="0"/>
          <w:divBdr>
            <w:top w:val="none" w:sz="0" w:space="0" w:color="auto"/>
            <w:left w:val="none" w:sz="0" w:space="0" w:color="auto"/>
            <w:bottom w:val="none" w:sz="0" w:space="0" w:color="auto"/>
            <w:right w:val="none" w:sz="0" w:space="0" w:color="auto"/>
          </w:divBdr>
        </w:div>
        <w:div w:id="885993899">
          <w:marLeft w:val="0"/>
          <w:marRight w:val="0"/>
          <w:marTop w:val="0"/>
          <w:marBottom w:val="0"/>
          <w:divBdr>
            <w:top w:val="none" w:sz="0" w:space="0" w:color="auto"/>
            <w:left w:val="none" w:sz="0" w:space="0" w:color="auto"/>
            <w:bottom w:val="none" w:sz="0" w:space="0" w:color="auto"/>
            <w:right w:val="none" w:sz="0" w:space="0" w:color="auto"/>
          </w:divBdr>
        </w:div>
        <w:div w:id="1002779149">
          <w:marLeft w:val="0"/>
          <w:marRight w:val="0"/>
          <w:marTop w:val="0"/>
          <w:marBottom w:val="0"/>
          <w:divBdr>
            <w:top w:val="none" w:sz="0" w:space="0" w:color="auto"/>
            <w:left w:val="none" w:sz="0" w:space="0" w:color="auto"/>
            <w:bottom w:val="none" w:sz="0" w:space="0" w:color="auto"/>
            <w:right w:val="none" w:sz="0" w:space="0" w:color="auto"/>
          </w:divBdr>
        </w:div>
      </w:divsChild>
    </w:div>
    <w:div w:id="1110320895">
      <w:bodyDiv w:val="1"/>
      <w:marLeft w:val="0"/>
      <w:marRight w:val="0"/>
      <w:marTop w:val="0"/>
      <w:marBottom w:val="0"/>
      <w:divBdr>
        <w:top w:val="none" w:sz="0" w:space="0" w:color="auto"/>
        <w:left w:val="none" w:sz="0" w:space="0" w:color="auto"/>
        <w:bottom w:val="none" w:sz="0" w:space="0" w:color="auto"/>
        <w:right w:val="none" w:sz="0" w:space="0" w:color="auto"/>
      </w:divBdr>
      <w:divsChild>
        <w:div w:id="1343585394">
          <w:marLeft w:val="0"/>
          <w:marRight w:val="0"/>
          <w:marTop w:val="0"/>
          <w:marBottom w:val="0"/>
          <w:divBdr>
            <w:top w:val="none" w:sz="0" w:space="0" w:color="auto"/>
            <w:left w:val="none" w:sz="0" w:space="0" w:color="auto"/>
            <w:bottom w:val="none" w:sz="0" w:space="0" w:color="auto"/>
            <w:right w:val="none" w:sz="0" w:space="0" w:color="auto"/>
          </w:divBdr>
        </w:div>
        <w:div w:id="1534727802">
          <w:marLeft w:val="0"/>
          <w:marRight w:val="0"/>
          <w:marTop w:val="0"/>
          <w:marBottom w:val="0"/>
          <w:divBdr>
            <w:top w:val="none" w:sz="0" w:space="0" w:color="auto"/>
            <w:left w:val="none" w:sz="0" w:space="0" w:color="auto"/>
            <w:bottom w:val="none" w:sz="0" w:space="0" w:color="auto"/>
            <w:right w:val="none" w:sz="0" w:space="0" w:color="auto"/>
          </w:divBdr>
        </w:div>
      </w:divsChild>
    </w:div>
    <w:div w:id="1114011130">
      <w:bodyDiv w:val="1"/>
      <w:marLeft w:val="0"/>
      <w:marRight w:val="0"/>
      <w:marTop w:val="0"/>
      <w:marBottom w:val="0"/>
      <w:divBdr>
        <w:top w:val="none" w:sz="0" w:space="0" w:color="auto"/>
        <w:left w:val="none" w:sz="0" w:space="0" w:color="auto"/>
        <w:bottom w:val="none" w:sz="0" w:space="0" w:color="auto"/>
        <w:right w:val="none" w:sz="0" w:space="0" w:color="auto"/>
      </w:divBdr>
      <w:divsChild>
        <w:div w:id="797841141">
          <w:marLeft w:val="0"/>
          <w:marRight w:val="0"/>
          <w:marTop w:val="0"/>
          <w:marBottom w:val="0"/>
          <w:divBdr>
            <w:top w:val="none" w:sz="0" w:space="0" w:color="auto"/>
            <w:left w:val="none" w:sz="0" w:space="0" w:color="auto"/>
            <w:bottom w:val="none" w:sz="0" w:space="0" w:color="auto"/>
            <w:right w:val="none" w:sz="0" w:space="0" w:color="auto"/>
          </w:divBdr>
        </w:div>
        <w:div w:id="1063988516">
          <w:marLeft w:val="0"/>
          <w:marRight w:val="0"/>
          <w:marTop w:val="0"/>
          <w:marBottom w:val="0"/>
          <w:divBdr>
            <w:top w:val="none" w:sz="0" w:space="0" w:color="auto"/>
            <w:left w:val="none" w:sz="0" w:space="0" w:color="auto"/>
            <w:bottom w:val="none" w:sz="0" w:space="0" w:color="auto"/>
            <w:right w:val="none" w:sz="0" w:space="0" w:color="auto"/>
          </w:divBdr>
        </w:div>
        <w:div w:id="1456220985">
          <w:marLeft w:val="0"/>
          <w:marRight w:val="0"/>
          <w:marTop w:val="0"/>
          <w:marBottom w:val="0"/>
          <w:divBdr>
            <w:top w:val="none" w:sz="0" w:space="0" w:color="auto"/>
            <w:left w:val="none" w:sz="0" w:space="0" w:color="auto"/>
            <w:bottom w:val="none" w:sz="0" w:space="0" w:color="auto"/>
            <w:right w:val="none" w:sz="0" w:space="0" w:color="auto"/>
          </w:divBdr>
        </w:div>
      </w:divsChild>
    </w:div>
    <w:div w:id="1115439873">
      <w:bodyDiv w:val="1"/>
      <w:marLeft w:val="0"/>
      <w:marRight w:val="0"/>
      <w:marTop w:val="0"/>
      <w:marBottom w:val="0"/>
      <w:divBdr>
        <w:top w:val="none" w:sz="0" w:space="0" w:color="auto"/>
        <w:left w:val="none" w:sz="0" w:space="0" w:color="auto"/>
        <w:bottom w:val="none" w:sz="0" w:space="0" w:color="auto"/>
        <w:right w:val="none" w:sz="0" w:space="0" w:color="auto"/>
      </w:divBdr>
    </w:div>
    <w:div w:id="1138692482">
      <w:bodyDiv w:val="1"/>
      <w:marLeft w:val="0"/>
      <w:marRight w:val="0"/>
      <w:marTop w:val="0"/>
      <w:marBottom w:val="0"/>
      <w:divBdr>
        <w:top w:val="none" w:sz="0" w:space="0" w:color="auto"/>
        <w:left w:val="none" w:sz="0" w:space="0" w:color="auto"/>
        <w:bottom w:val="none" w:sz="0" w:space="0" w:color="auto"/>
        <w:right w:val="none" w:sz="0" w:space="0" w:color="auto"/>
      </w:divBdr>
      <w:divsChild>
        <w:div w:id="385764861">
          <w:marLeft w:val="0"/>
          <w:marRight w:val="0"/>
          <w:marTop w:val="0"/>
          <w:marBottom w:val="0"/>
          <w:divBdr>
            <w:top w:val="none" w:sz="0" w:space="0" w:color="auto"/>
            <w:left w:val="none" w:sz="0" w:space="0" w:color="auto"/>
            <w:bottom w:val="none" w:sz="0" w:space="0" w:color="auto"/>
            <w:right w:val="none" w:sz="0" w:space="0" w:color="auto"/>
          </w:divBdr>
        </w:div>
        <w:div w:id="833684087">
          <w:marLeft w:val="0"/>
          <w:marRight w:val="0"/>
          <w:marTop w:val="0"/>
          <w:marBottom w:val="0"/>
          <w:divBdr>
            <w:top w:val="none" w:sz="0" w:space="0" w:color="auto"/>
            <w:left w:val="none" w:sz="0" w:space="0" w:color="auto"/>
            <w:bottom w:val="none" w:sz="0" w:space="0" w:color="auto"/>
            <w:right w:val="none" w:sz="0" w:space="0" w:color="auto"/>
          </w:divBdr>
        </w:div>
        <w:div w:id="1906140766">
          <w:marLeft w:val="0"/>
          <w:marRight w:val="0"/>
          <w:marTop w:val="0"/>
          <w:marBottom w:val="0"/>
          <w:divBdr>
            <w:top w:val="none" w:sz="0" w:space="0" w:color="auto"/>
            <w:left w:val="none" w:sz="0" w:space="0" w:color="auto"/>
            <w:bottom w:val="none" w:sz="0" w:space="0" w:color="auto"/>
            <w:right w:val="none" w:sz="0" w:space="0" w:color="auto"/>
          </w:divBdr>
        </w:div>
      </w:divsChild>
    </w:div>
    <w:div w:id="1141075889">
      <w:bodyDiv w:val="1"/>
      <w:marLeft w:val="0"/>
      <w:marRight w:val="0"/>
      <w:marTop w:val="0"/>
      <w:marBottom w:val="0"/>
      <w:divBdr>
        <w:top w:val="none" w:sz="0" w:space="0" w:color="auto"/>
        <w:left w:val="none" w:sz="0" w:space="0" w:color="auto"/>
        <w:bottom w:val="none" w:sz="0" w:space="0" w:color="auto"/>
        <w:right w:val="none" w:sz="0" w:space="0" w:color="auto"/>
      </w:divBdr>
      <w:divsChild>
        <w:div w:id="435440490">
          <w:marLeft w:val="0"/>
          <w:marRight w:val="0"/>
          <w:marTop w:val="0"/>
          <w:marBottom w:val="0"/>
          <w:divBdr>
            <w:top w:val="none" w:sz="0" w:space="0" w:color="auto"/>
            <w:left w:val="none" w:sz="0" w:space="0" w:color="auto"/>
            <w:bottom w:val="none" w:sz="0" w:space="0" w:color="auto"/>
            <w:right w:val="none" w:sz="0" w:space="0" w:color="auto"/>
          </w:divBdr>
        </w:div>
        <w:div w:id="449977060">
          <w:marLeft w:val="0"/>
          <w:marRight w:val="0"/>
          <w:marTop w:val="0"/>
          <w:marBottom w:val="0"/>
          <w:divBdr>
            <w:top w:val="none" w:sz="0" w:space="0" w:color="auto"/>
            <w:left w:val="none" w:sz="0" w:space="0" w:color="auto"/>
            <w:bottom w:val="none" w:sz="0" w:space="0" w:color="auto"/>
            <w:right w:val="none" w:sz="0" w:space="0" w:color="auto"/>
          </w:divBdr>
        </w:div>
        <w:div w:id="548954030">
          <w:marLeft w:val="0"/>
          <w:marRight w:val="0"/>
          <w:marTop w:val="0"/>
          <w:marBottom w:val="0"/>
          <w:divBdr>
            <w:top w:val="none" w:sz="0" w:space="0" w:color="auto"/>
            <w:left w:val="none" w:sz="0" w:space="0" w:color="auto"/>
            <w:bottom w:val="none" w:sz="0" w:space="0" w:color="auto"/>
            <w:right w:val="none" w:sz="0" w:space="0" w:color="auto"/>
          </w:divBdr>
        </w:div>
        <w:div w:id="1213661303">
          <w:marLeft w:val="0"/>
          <w:marRight w:val="0"/>
          <w:marTop w:val="0"/>
          <w:marBottom w:val="0"/>
          <w:divBdr>
            <w:top w:val="none" w:sz="0" w:space="0" w:color="auto"/>
            <w:left w:val="none" w:sz="0" w:space="0" w:color="auto"/>
            <w:bottom w:val="none" w:sz="0" w:space="0" w:color="auto"/>
            <w:right w:val="none" w:sz="0" w:space="0" w:color="auto"/>
          </w:divBdr>
        </w:div>
        <w:div w:id="1838693821">
          <w:marLeft w:val="0"/>
          <w:marRight w:val="0"/>
          <w:marTop w:val="0"/>
          <w:marBottom w:val="0"/>
          <w:divBdr>
            <w:top w:val="none" w:sz="0" w:space="0" w:color="auto"/>
            <w:left w:val="none" w:sz="0" w:space="0" w:color="auto"/>
            <w:bottom w:val="none" w:sz="0" w:space="0" w:color="auto"/>
            <w:right w:val="none" w:sz="0" w:space="0" w:color="auto"/>
          </w:divBdr>
        </w:div>
      </w:divsChild>
    </w:div>
    <w:div w:id="1148472068">
      <w:bodyDiv w:val="1"/>
      <w:marLeft w:val="0"/>
      <w:marRight w:val="0"/>
      <w:marTop w:val="0"/>
      <w:marBottom w:val="0"/>
      <w:divBdr>
        <w:top w:val="none" w:sz="0" w:space="0" w:color="auto"/>
        <w:left w:val="none" w:sz="0" w:space="0" w:color="auto"/>
        <w:bottom w:val="none" w:sz="0" w:space="0" w:color="auto"/>
        <w:right w:val="none" w:sz="0" w:space="0" w:color="auto"/>
      </w:divBdr>
      <w:divsChild>
        <w:div w:id="236869425">
          <w:marLeft w:val="274"/>
          <w:marRight w:val="0"/>
          <w:marTop w:val="0"/>
          <w:marBottom w:val="0"/>
          <w:divBdr>
            <w:top w:val="none" w:sz="0" w:space="0" w:color="auto"/>
            <w:left w:val="none" w:sz="0" w:space="0" w:color="auto"/>
            <w:bottom w:val="none" w:sz="0" w:space="0" w:color="auto"/>
            <w:right w:val="none" w:sz="0" w:space="0" w:color="auto"/>
          </w:divBdr>
        </w:div>
        <w:div w:id="480463316">
          <w:marLeft w:val="274"/>
          <w:marRight w:val="0"/>
          <w:marTop w:val="0"/>
          <w:marBottom w:val="0"/>
          <w:divBdr>
            <w:top w:val="none" w:sz="0" w:space="0" w:color="auto"/>
            <w:left w:val="none" w:sz="0" w:space="0" w:color="auto"/>
            <w:bottom w:val="none" w:sz="0" w:space="0" w:color="auto"/>
            <w:right w:val="none" w:sz="0" w:space="0" w:color="auto"/>
          </w:divBdr>
        </w:div>
        <w:div w:id="853954663">
          <w:marLeft w:val="274"/>
          <w:marRight w:val="0"/>
          <w:marTop w:val="0"/>
          <w:marBottom w:val="0"/>
          <w:divBdr>
            <w:top w:val="none" w:sz="0" w:space="0" w:color="auto"/>
            <w:left w:val="none" w:sz="0" w:space="0" w:color="auto"/>
            <w:bottom w:val="none" w:sz="0" w:space="0" w:color="auto"/>
            <w:right w:val="none" w:sz="0" w:space="0" w:color="auto"/>
          </w:divBdr>
        </w:div>
        <w:div w:id="989402963">
          <w:marLeft w:val="274"/>
          <w:marRight w:val="0"/>
          <w:marTop w:val="0"/>
          <w:marBottom w:val="0"/>
          <w:divBdr>
            <w:top w:val="none" w:sz="0" w:space="0" w:color="auto"/>
            <w:left w:val="none" w:sz="0" w:space="0" w:color="auto"/>
            <w:bottom w:val="none" w:sz="0" w:space="0" w:color="auto"/>
            <w:right w:val="none" w:sz="0" w:space="0" w:color="auto"/>
          </w:divBdr>
        </w:div>
        <w:div w:id="1040595951">
          <w:marLeft w:val="274"/>
          <w:marRight w:val="0"/>
          <w:marTop w:val="0"/>
          <w:marBottom w:val="0"/>
          <w:divBdr>
            <w:top w:val="none" w:sz="0" w:space="0" w:color="auto"/>
            <w:left w:val="none" w:sz="0" w:space="0" w:color="auto"/>
            <w:bottom w:val="none" w:sz="0" w:space="0" w:color="auto"/>
            <w:right w:val="none" w:sz="0" w:space="0" w:color="auto"/>
          </w:divBdr>
        </w:div>
        <w:div w:id="1098792088">
          <w:marLeft w:val="274"/>
          <w:marRight w:val="0"/>
          <w:marTop w:val="0"/>
          <w:marBottom w:val="0"/>
          <w:divBdr>
            <w:top w:val="none" w:sz="0" w:space="0" w:color="auto"/>
            <w:left w:val="none" w:sz="0" w:space="0" w:color="auto"/>
            <w:bottom w:val="none" w:sz="0" w:space="0" w:color="auto"/>
            <w:right w:val="none" w:sz="0" w:space="0" w:color="auto"/>
          </w:divBdr>
        </w:div>
        <w:div w:id="1906141396">
          <w:marLeft w:val="274"/>
          <w:marRight w:val="0"/>
          <w:marTop w:val="0"/>
          <w:marBottom w:val="0"/>
          <w:divBdr>
            <w:top w:val="none" w:sz="0" w:space="0" w:color="auto"/>
            <w:left w:val="none" w:sz="0" w:space="0" w:color="auto"/>
            <w:bottom w:val="none" w:sz="0" w:space="0" w:color="auto"/>
            <w:right w:val="none" w:sz="0" w:space="0" w:color="auto"/>
          </w:divBdr>
        </w:div>
        <w:div w:id="1956133359">
          <w:marLeft w:val="274"/>
          <w:marRight w:val="0"/>
          <w:marTop w:val="0"/>
          <w:marBottom w:val="0"/>
          <w:divBdr>
            <w:top w:val="none" w:sz="0" w:space="0" w:color="auto"/>
            <w:left w:val="none" w:sz="0" w:space="0" w:color="auto"/>
            <w:bottom w:val="none" w:sz="0" w:space="0" w:color="auto"/>
            <w:right w:val="none" w:sz="0" w:space="0" w:color="auto"/>
          </w:divBdr>
        </w:div>
        <w:div w:id="2016347936">
          <w:marLeft w:val="274"/>
          <w:marRight w:val="0"/>
          <w:marTop w:val="0"/>
          <w:marBottom w:val="0"/>
          <w:divBdr>
            <w:top w:val="none" w:sz="0" w:space="0" w:color="auto"/>
            <w:left w:val="none" w:sz="0" w:space="0" w:color="auto"/>
            <w:bottom w:val="none" w:sz="0" w:space="0" w:color="auto"/>
            <w:right w:val="none" w:sz="0" w:space="0" w:color="auto"/>
          </w:divBdr>
        </w:div>
        <w:div w:id="2125230443">
          <w:marLeft w:val="274"/>
          <w:marRight w:val="0"/>
          <w:marTop w:val="0"/>
          <w:marBottom w:val="0"/>
          <w:divBdr>
            <w:top w:val="none" w:sz="0" w:space="0" w:color="auto"/>
            <w:left w:val="none" w:sz="0" w:space="0" w:color="auto"/>
            <w:bottom w:val="none" w:sz="0" w:space="0" w:color="auto"/>
            <w:right w:val="none" w:sz="0" w:space="0" w:color="auto"/>
          </w:divBdr>
        </w:div>
      </w:divsChild>
    </w:div>
    <w:div w:id="1153451861">
      <w:bodyDiv w:val="1"/>
      <w:marLeft w:val="0"/>
      <w:marRight w:val="0"/>
      <w:marTop w:val="0"/>
      <w:marBottom w:val="0"/>
      <w:divBdr>
        <w:top w:val="none" w:sz="0" w:space="0" w:color="auto"/>
        <w:left w:val="none" w:sz="0" w:space="0" w:color="auto"/>
        <w:bottom w:val="none" w:sz="0" w:space="0" w:color="auto"/>
        <w:right w:val="none" w:sz="0" w:space="0" w:color="auto"/>
      </w:divBdr>
      <w:divsChild>
        <w:div w:id="1260064788">
          <w:marLeft w:val="0"/>
          <w:marRight w:val="0"/>
          <w:marTop w:val="0"/>
          <w:marBottom w:val="0"/>
          <w:divBdr>
            <w:top w:val="none" w:sz="0" w:space="0" w:color="auto"/>
            <w:left w:val="none" w:sz="0" w:space="0" w:color="auto"/>
            <w:bottom w:val="none" w:sz="0" w:space="0" w:color="auto"/>
            <w:right w:val="none" w:sz="0" w:space="0" w:color="auto"/>
          </w:divBdr>
        </w:div>
        <w:div w:id="1684085995">
          <w:marLeft w:val="0"/>
          <w:marRight w:val="0"/>
          <w:marTop w:val="0"/>
          <w:marBottom w:val="0"/>
          <w:divBdr>
            <w:top w:val="none" w:sz="0" w:space="0" w:color="auto"/>
            <w:left w:val="none" w:sz="0" w:space="0" w:color="auto"/>
            <w:bottom w:val="none" w:sz="0" w:space="0" w:color="auto"/>
            <w:right w:val="none" w:sz="0" w:space="0" w:color="auto"/>
          </w:divBdr>
        </w:div>
        <w:div w:id="1815676661">
          <w:marLeft w:val="0"/>
          <w:marRight w:val="0"/>
          <w:marTop w:val="0"/>
          <w:marBottom w:val="0"/>
          <w:divBdr>
            <w:top w:val="none" w:sz="0" w:space="0" w:color="auto"/>
            <w:left w:val="none" w:sz="0" w:space="0" w:color="auto"/>
            <w:bottom w:val="none" w:sz="0" w:space="0" w:color="auto"/>
            <w:right w:val="none" w:sz="0" w:space="0" w:color="auto"/>
          </w:divBdr>
        </w:div>
      </w:divsChild>
    </w:div>
    <w:div w:id="1158769324">
      <w:bodyDiv w:val="1"/>
      <w:marLeft w:val="0"/>
      <w:marRight w:val="0"/>
      <w:marTop w:val="0"/>
      <w:marBottom w:val="0"/>
      <w:divBdr>
        <w:top w:val="none" w:sz="0" w:space="0" w:color="auto"/>
        <w:left w:val="none" w:sz="0" w:space="0" w:color="auto"/>
        <w:bottom w:val="none" w:sz="0" w:space="0" w:color="auto"/>
        <w:right w:val="none" w:sz="0" w:space="0" w:color="auto"/>
      </w:divBdr>
      <w:divsChild>
        <w:div w:id="2028367261">
          <w:marLeft w:val="0"/>
          <w:marRight w:val="0"/>
          <w:marTop w:val="0"/>
          <w:marBottom w:val="0"/>
          <w:divBdr>
            <w:top w:val="none" w:sz="0" w:space="0" w:color="auto"/>
            <w:left w:val="none" w:sz="0" w:space="0" w:color="auto"/>
            <w:bottom w:val="none" w:sz="0" w:space="0" w:color="auto"/>
            <w:right w:val="none" w:sz="0" w:space="0" w:color="auto"/>
          </w:divBdr>
          <w:divsChild>
            <w:div w:id="1539007845">
              <w:marLeft w:val="0"/>
              <w:marRight w:val="0"/>
              <w:marTop w:val="0"/>
              <w:marBottom w:val="0"/>
              <w:divBdr>
                <w:top w:val="none" w:sz="0" w:space="0" w:color="auto"/>
                <w:left w:val="none" w:sz="0" w:space="0" w:color="auto"/>
                <w:bottom w:val="none" w:sz="0" w:space="0" w:color="auto"/>
                <w:right w:val="none" w:sz="0" w:space="0" w:color="auto"/>
              </w:divBdr>
              <w:divsChild>
                <w:div w:id="17234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24059">
      <w:bodyDiv w:val="1"/>
      <w:marLeft w:val="0"/>
      <w:marRight w:val="0"/>
      <w:marTop w:val="0"/>
      <w:marBottom w:val="0"/>
      <w:divBdr>
        <w:top w:val="none" w:sz="0" w:space="0" w:color="auto"/>
        <w:left w:val="none" w:sz="0" w:space="0" w:color="auto"/>
        <w:bottom w:val="none" w:sz="0" w:space="0" w:color="auto"/>
        <w:right w:val="none" w:sz="0" w:space="0" w:color="auto"/>
      </w:divBdr>
    </w:div>
    <w:div w:id="1175455834">
      <w:bodyDiv w:val="1"/>
      <w:marLeft w:val="0"/>
      <w:marRight w:val="0"/>
      <w:marTop w:val="0"/>
      <w:marBottom w:val="0"/>
      <w:divBdr>
        <w:top w:val="none" w:sz="0" w:space="0" w:color="auto"/>
        <w:left w:val="none" w:sz="0" w:space="0" w:color="auto"/>
        <w:bottom w:val="none" w:sz="0" w:space="0" w:color="auto"/>
        <w:right w:val="none" w:sz="0" w:space="0" w:color="auto"/>
      </w:divBdr>
      <w:divsChild>
        <w:div w:id="539514391">
          <w:marLeft w:val="0"/>
          <w:marRight w:val="0"/>
          <w:marTop w:val="0"/>
          <w:marBottom w:val="0"/>
          <w:divBdr>
            <w:top w:val="none" w:sz="0" w:space="0" w:color="auto"/>
            <w:left w:val="none" w:sz="0" w:space="0" w:color="auto"/>
            <w:bottom w:val="none" w:sz="0" w:space="0" w:color="auto"/>
            <w:right w:val="none" w:sz="0" w:space="0" w:color="auto"/>
          </w:divBdr>
        </w:div>
        <w:div w:id="987975581">
          <w:marLeft w:val="0"/>
          <w:marRight w:val="0"/>
          <w:marTop w:val="0"/>
          <w:marBottom w:val="0"/>
          <w:divBdr>
            <w:top w:val="none" w:sz="0" w:space="0" w:color="auto"/>
            <w:left w:val="none" w:sz="0" w:space="0" w:color="auto"/>
            <w:bottom w:val="none" w:sz="0" w:space="0" w:color="auto"/>
            <w:right w:val="none" w:sz="0" w:space="0" w:color="auto"/>
          </w:divBdr>
        </w:div>
        <w:div w:id="1816991413">
          <w:marLeft w:val="0"/>
          <w:marRight w:val="0"/>
          <w:marTop w:val="0"/>
          <w:marBottom w:val="0"/>
          <w:divBdr>
            <w:top w:val="none" w:sz="0" w:space="0" w:color="auto"/>
            <w:left w:val="none" w:sz="0" w:space="0" w:color="auto"/>
            <w:bottom w:val="none" w:sz="0" w:space="0" w:color="auto"/>
            <w:right w:val="none" w:sz="0" w:space="0" w:color="auto"/>
          </w:divBdr>
        </w:div>
      </w:divsChild>
    </w:div>
    <w:div w:id="1180119192">
      <w:bodyDiv w:val="1"/>
      <w:marLeft w:val="0"/>
      <w:marRight w:val="0"/>
      <w:marTop w:val="0"/>
      <w:marBottom w:val="0"/>
      <w:divBdr>
        <w:top w:val="none" w:sz="0" w:space="0" w:color="auto"/>
        <w:left w:val="none" w:sz="0" w:space="0" w:color="auto"/>
        <w:bottom w:val="none" w:sz="0" w:space="0" w:color="auto"/>
        <w:right w:val="none" w:sz="0" w:space="0" w:color="auto"/>
      </w:divBdr>
      <w:divsChild>
        <w:div w:id="1791779187">
          <w:marLeft w:val="994"/>
          <w:marRight w:val="0"/>
          <w:marTop w:val="0"/>
          <w:marBottom w:val="0"/>
          <w:divBdr>
            <w:top w:val="none" w:sz="0" w:space="0" w:color="auto"/>
            <w:left w:val="none" w:sz="0" w:space="0" w:color="auto"/>
            <w:bottom w:val="none" w:sz="0" w:space="0" w:color="auto"/>
            <w:right w:val="none" w:sz="0" w:space="0" w:color="auto"/>
          </w:divBdr>
        </w:div>
        <w:div w:id="2139374668">
          <w:marLeft w:val="994"/>
          <w:marRight w:val="0"/>
          <w:marTop w:val="0"/>
          <w:marBottom w:val="0"/>
          <w:divBdr>
            <w:top w:val="none" w:sz="0" w:space="0" w:color="auto"/>
            <w:left w:val="none" w:sz="0" w:space="0" w:color="auto"/>
            <w:bottom w:val="none" w:sz="0" w:space="0" w:color="auto"/>
            <w:right w:val="none" w:sz="0" w:space="0" w:color="auto"/>
          </w:divBdr>
        </w:div>
      </w:divsChild>
    </w:div>
    <w:div w:id="1185481767">
      <w:bodyDiv w:val="1"/>
      <w:marLeft w:val="0"/>
      <w:marRight w:val="0"/>
      <w:marTop w:val="0"/>
      <w:marBottom w:val="0"/>
      <w:divBdr>
        <w:top w:val="none" w:sz="0" w:space="0" w:color="auto"/>
        <w:left w:val="none" w:sz="0" w:space="0" w:color="auto"/>
        <w:bottom w:val="none" w:sz="0" w:space="0" w:color="auto"/>
        <w:right w:val="none" w:sz="0" w:space="0" w:color="auto"/>
      </w:divBdr>
      <w:divsChild>
        <w:div w:id="57361720">
          <w:marLeft w:val="0"/>
          <w:marRight w:val="0"/>
          <w:marTop w:val="0"/>
          <w:marBottom w:val="0"/>
          <w:divBdr>
            <w:top w:val="none" w:sz="0" w:space="0" w:color="auto"/>
            <w:left w:val="none" w:sz="0" w:space="0" w:color="auto"/>
            <w:bottom w:val="none" w:sz="0" w:space="0" w:color="auto"/>
            <w:right w:val="none" w:sz="0" w:space="0" w:color="auto"/>
          </w:divBdr>
        </w:div>
        <w:div w:id="107362074">
          <w:marLeft w:val="0"/>
          <w:marRight w:val="0"/>
          <w:marTop w:val="0"/>
          <w:marBottom w:val="0"/>
          <w:divBdr>
            <w:top w:val="none" w:sz="0" w:space="0" w:color="auto"/>
            <w:left w:val="none" w:sz="0" w:space="0" w:color="auto"/>
            <w:bottom w:val="none" w:sz="0" w:space="0" w:color="auto"/>
            <w:right w:val="none" w:sz="0" w:space="0" w:color="auto"/>
          </w:divBdr>
        </w:div>
        <w:div w:id="156767912">
          <w:marLeft w:val="0"/>
          <w:marRight w:val="0"/>
          <w:marTop w:val="0"/>
          <w:marBottom w:val="0"/>
          <w:divBdr>
            <w:top w:val="none" w:sz="0" w:space="0" w:color="auto"/>
            <w:left w:val="none" w:sz="0" w:space="0" w:color="auto"/>
            <w:bottom w:val="none" w:sz="0" w:space="0" w:color="auto"/>
            <w:right w:val="none" w:sz="0" w:space="0" w:color="auto"/>
          </w:divBdr>
        </w:div>
        <w:div w:id="268662460">
          <w:marLeft w:val="0"/>
          <w:marRight w:val="0"/>
          <w:marTop w:val="0"/>
          <w:marBottom w:val="0"/>
          <w:divBdr>
            <w:top w:val="none" w:sz="0" w:space="0" w:color="auto"/>
            <w:left w:val="none" w:sz="0" w:space="0" w:color="auto"/>
            <w:bottom w:val="none" w:sz="0" w:space="0" w:color="auto"/>
            <w:right w:val="none" w:sz="0" w:space="0" w:color="auto"/>
          </w:divBdr>
        </w:div>
        <w:div w:id="317736979">
          <w:marLeft w:val="0"/>
          <w:marRight w:val="0"/>
          <w:marTop w:val="0"/>
          <w:marBottom w:val="0"/>
          <w:divBdr>
            <w:top w:val="none" w:sz="0" w:space="0" w:color="auto"/>
            <w:left w:val="none" w:sz="0" w:space="0" w:color="auto"/>
            <w:bottom w:val="none" w:sz="0" w:space="0" w:color="auto"/>
            <w:right w:val="none" w:sz="0" w:space="0" w:color="auto"/>
          </w:divBdr>
        </w:div>
        <w:div w:id="419565334">
          <w:marLeft w:val="0"/>
          <w:marRight w:val="0"/>
          <w:marTop w:val="0"/>
          <w:marBottom w:val="0"/>
          <w:divBdr>
            <w:top w:val="none" w:sz="0" w:space="0" w:color="auto"/>
            <w:left w:val="none" w:sz="0" w:space="0" w:color="auto"/>
            <w:bottom w:val="none" w:sz="0" w:space="0" w:color="auto"/>
            <w:right w:val="none" w:sz="0" w:space="0" w:color="auto"/>
          </w:divBdr>
        </w:div>
        <w:div w:id="448166770">
          <w:marLeft w:val="0"/>
          <w:marRight w:val="0"/>
          <w:marTop w:val="0"/>
          <w:marBottom w:val="0"/>
          <w:divBdr>
            <w:top w:val="none" w:sz="0" w:space="0" w:color="auto"/>
            <w:left w:val="none" w:sz="0" w:space="0" w:color="auto"/>
            <w:bottom w:val="none" w:sz="0" w:space="0" w:color="auto"/>
            <w:right w:val="none" w:sz="0" w:space="0" w:color="auto"/>
          </w:divBdr>
        </w:div>
        <w:div w:id="499153665">
          <w:marLeft w:val="0"/>
          <w:marRight w:val="0"/>
          <w:marTop w:val="0"/>
          <w:marBottom w:val="0"/>
          <w:divBdr>
            <w:top w:val="none" w:sz="0" w:space="0" w:color="auto"/>
            <w:left w:val="none" w:sz="0" w:space="0" w:color="auto"/>
            <w:bottom w:val="none" w:sz="0" w:space="0" w:color="auto"/>
            <w:right w:val="none" w:sz="0" w:space="0" w:color="auto"/>
          </w:divBdr>
        </w:div>
        <w:div w:id="527374696">
          <w:marLeft w:val="0"/>
          <w:marRight w:val="0"/>
          <w:marTop w:val="0"/>
          <w:marBottom w:val="0"/>
          <w:divBdr>
            <w:top w:val="none" w:sz="0" w:space="0" w:color="auto"/>
            <w:left w:val="none" w:sz="0" w:space="0" w:color="auto"/>
            <w:bottom w:val="none" w:sz="0" w:space="0" w:color="auto"/>
            <w:right w:val="none" w:sz="0" w:space="0" w:color="auto"/>
          </w:divBdr>
        </w:div>
        <w:div w:id="533428620">
          <w:marLeft w:val="0"/>
          <w:marRight w:val="0"/>
          <w:marTop w:val="0"/>
          <w:marBottom w:val="0"/>
          <w:divBdr>
            <w:top w:val="none" w:sz="0" w:space="0" w:color="auto"/>
            <w:left w:val="none" w:sz="0" w:space="0" w:color="auto"/>
            <w:bottom w:val="none" w:sz="0" w:space="0" w:color="auto"/>
            <w:right w:val="none" w:sz="0" w:space="0" w:color="auto"/>
          </w:divBdr>
        </w:div>
        <w:div w:id="590773876">
          <w:marLeft w:val="0"/>
          <w:marRight w:val="0"/>
          <w:marTop w:val="0"/>
          <w:marBottom w:val="0"/>
          <w:divBdr>
            <w:top w:val="none" w:sz="0" w:space="0" w:color="auto"/>
            <w:left w:val="none" w:sz="0" w:space="0" w:color="auto"/>
            <w:bottom w:val="none" w:sz="0" w:space="0" w:color="auto"/>
            <w:right w:val="none" w:sz="0" w:space="0" w:color="auto"/>
          </w:divBdr>
        </w:div>
        <w:div w:id="614482498">
          <w:marLeft w:val="0"/>
          <w:marRight w:val="0"/>
          <w:marTop w:val="0"/>
          <w:marBottom w:val="0"/>
          <w:divBdr>
            <w:top w:val="none" w:sz="0" w:space="0" w:color="auto"/>
            <w:left w:val="none" w:sz="0" w:space="0" w:color="auto"/>
            <w:bottom w:val="none" w:sz="0" w:space="0" w:color="auto"/>
            <w:right w:val="none" w:sz="0" w:space="0" w:color="auto"/>
          </w:divBdr>
        </w:div>
        <w:div w:id="931864894">
          <w:marLeft w:val="0"/>
          <w:marRight w:val="0"/>
          <w:marTop w:val="0"/>
          <w:marBottom w:val="0"/>
          <w:divBdr>
            <w:top w:val="none" w:sz="0" w:space="0" w:color="auto"/>
            <w:left w:val="none" w:sz="0" w:space="0" w:color="auto"/>
            <w:bottom w:val="none" w:sz="0" w:space="0" w:color="auto"/>
            <w:right w:val="none" w:sz="0" w:space="0" w:color="auto"/>
          </w:divBdr>
        </w:div>
        <w:div w:id="948851447">
          <w:marLeft w:val="0"/>
          <w:marRight w:val="0"/>
          <w:marTop w:val="0"/>
          <w:marBottom w:val="0"/>
          <w:divBdr>
            <w:top w:val="none" w:sz="0" w:space="0" w:color="auto"/>
            <w:left w:val="none" w:sz="0" w:space="0" w:color="auto"/>
            <w:bottom w:val="none" w:sz="0" w:space="0" w:color="auto"/>
            <w:right w:val="none" w:sz="0" w:space="0" w:color="auto"/>
          </w:divBdr>
        </w:div>
        <w:div w:id="992879601">
          <w:marLeft w:val="0"/>
          <w:marRight w:val="0"/>
          <w:marTop w:val="0"/>
          <w:marBottom w:val="0"/>
          <w:divBdr>
            <w:top w:val="none" w:sz="0" w:space="0" w:color="auto"/>
            <w:left w:val="none" w:sz="0" w:space="0" w:color="auto"/>
            <w:bottom w:val="none" w:sz="0" w:space="0" w:color="auto"/>
            <w:right w:val="none" w:sz="0" w:space="0" w:color="auto"/>
          </w:divBdr>
        </w:div>
        <w:div w:id="1093281694">
          <w:marLeft w:val="0"/>
          <w:marRight w:val="0"/>
          <w:marTop w:val="0"/>
          <w:marBottom w:val="0"/>
          <w:divBdr>
            <w:top w:val="none" w:sz="0" w:space="0" w:color="auto"/>
            <w:left w:val="none" w:sz="0" w:space="0" w:color="auto"/>
            <w:bottom w:val="none" w:sz="0" w:space="0" w:color="auto"/>
            <w:right w:val="none" w:sz="0" w:space="0" w:color="auto"/>
          </w:divBdr>
        </w:div>
        <w:div w:id="1100834158">
          <w:marLeft w:val="0"/>
          <w:marRight w:val="0"/>
          <w:marTop w:val="0"/>
          <w:marBottom w:val="0"/>
          <w:divBdr>
            <w:top w:val="none" w:sz="0" w:space="0" w:color="auto"/>
            <w:left w:val="none" w:sz="0" w:space="0" w:color="auto"/>
            <w:bottom w:val="none" w:sz="0" w:space="0" w:color="auto"/>
            <w:right w:val="none" w:sz="0" w:space="0" w:color="auto"/>
          </w:divBdr>
        </w:div>
        <w:div w:id="1225482240">
          <w:marLeft w:val="0"/>
          <w:marRight w:val="0"/>
          <w:marTop w:val="0"/>
          <w:marBottom w:val="0"/>
          <w:divBdr>
            <w:top w:val="none" w:sz="0" w:space="0" w:color="auto"/>
            <w:left w:val="none" w:sz="0" w:space="0" w:color="auto"/>
            <w:bottom w:val="none" w:sz="0" w:space="0" w:color="auto"/>
            <w:right w:val="none" w:sz="0" w:space="0" w:color="auto"/>
          </w:divBdr>
        </w:div>
        <w:div w:id="1306396705">
          <w:marLeft w:val="0"/>
          <w:marRight w:val="0"/>
          <w:marTop w:val="0"/>
          <w:marBottom w:val="0"/>
          <w:divBdr>
            <w:top w:val="none" w:sz="0" w:space="0" w:color="auto"/>
            <w:left w:val="none" w:sz="0" w:space="0" w:color="auto"/>
            <w:bottom w:val="none" w:sz="0" w:space="0" w:color="auto"/>
            <w:right w:val="none" w:sz="0" w:space="0" w:color="auto"/>
          </w:divBdr>
        </w:div>
        <w:div w:id="1505826911">
          <w:marLeft w:val="0"/>
          <w:marRight w:val="0"/>
          <w:marTop w:val="0"/>
          <w:marBottom w:val="0"/>
          <w:divBdr>
            <w:top w:val="none" w:sz="0" w:space="0" w:color="auto"/>
            <w:left w:val="none" w:sz="0" w:space="0" w:color="auto"/>
            <w:bottom w:val="none" w:sz="0" w:space="0" w:color="auto"/>
            <w:right w:val="none" w:sz="0" w:space="0" w:color="auto"/>
          </w:divBdr>
        </w:div>
        <w:div w:id="1507090189">
          <w:marLeft w:val="0"/>
          <w:marRight w:val="0"/>
          <w:marTop w:val="0"/>
          <w:marBottom w:val="0"/>
          <w:divBdr>
            <w:top w:val="none" w:sz="0" w:space="0" w:color="auto"/>
            <w:left w:val="none" w:sz="0" w:space="0" w:color="auto"/>
            <w:bottom w:val="none" w:sz="0" w:space="0" w:color="auto"/>
            <w:right w:val="none" w:sz="0" w:space="0" w:color="auto"/>
          </w:divBdr>
        </w:div>
        <w:div w:id="1509907880">
          <w:marLeft w:val="0"/>
          <w:marRight w:val="0"/>
          <w:marTop w:val="0"/>
          <w:marBottom w:val="0"/>
          <w:divBdr>
            <w:top w:val="none" w:sz="0" w:space="0" w:color="auto"/>
            <w:left w:val="none" w:sz="0" w:space="0" w:color="auto"/>
            <w:bottom w:val="none" w:sz="0" w:space="0" w:color="auto"/>
            <w:right w:val="none" w:sz="0" w:space="0" w:color="auto"/>
          </w:divBdr>
        </w:div>
        <w:div w:id="1588658879">
          <w:marLeft w:val="0"/>
          <w:marRight w:val="0"/>
          <w:marTop w:val="0"/>
          <w:marBottom w:val="0"/>
          <w:divBdr>
            <w:top w:val="none" w:sz="0" w:space="0" w:color="auto"/>
            <w:left w:val="none" w:sz="0" w:space="0" w:color="auto"/>
            <w:bottom w:val="none" w:sz="0" w:space="0" w:color="auto"/>
            <w:right w:val="none" w:sz="0" w:space="0" w:color="auto"/>
          </w:divBdr>
        </w:div>
        <w:div w:id="1690182083">
          <w:marLeft w:val="0"/>
          <w:marRight w:val="0"/>
          <w:marTop w:val="0"/>
          <w:marBottom w:val="0"/>
          <w:divBdr>
            <w:top w:val="none" w:sz="0" w:space="0" w:color="auto"/>
            <w:left w:val="none" w:sz="0" w:space="0" w:color="auto"/>
            <w:bottom w:val="none" w:sz="0" w:space="0" w:color="auto"/>
            <w:right w:val="none" w:sz="0" w:space="0" w:color="auto"/>
          </w:divBdr>
        </w:div>
        <w:div w:id="1695881674">
          <w:marLeft w:val="0"/>
          <w:marRight w:val="0"/>
          <w:marTop w:val="0"/>
          <w:marBottom w:val="0"/>
          <w:divBdr>
            <w:top w:val="none" w:sz="0" w:space="0" w:color="auto"/>
            <w:left w:val="none" w:sz="0" w:space="0" w:color="auto"/>
            <w:bottom w:val="none" w:sz="0" w:space="0" w:color="auto"/>
            <w:right w:val="none" w:sz="0" w:space="0" w:color="auto"/>
          </w:divBdr>
        </w:div>
        <w:div w:id="1706363680">
          <w:marLeft w:val="0"/>
          <w:marRight w:val="0"/>
          <w:marTop w:val="0"/>
          <w:marBottom w:val="0"/>
          <w:divBdr>
            <w:top w:val="none" w:sz="0" w:space="0" w:color="auto"/>
            <w:left w:val="none" w:sz="0" w:space="0" w:color="auto"/>
            <w:bottom w:val="none" w:sz="0" w:space="0" w:color="auto"/>
            <w:right w:val="none" w:sz="0" w:space="0" w:color="auto"/>
          </w:divBdr>
        </w:div>
        <w:div w:id="1728450340">
          <w:marLeft w:val="0"/>
          <w:marRight w:val="0"/>
          <w:marTop w:val="0"/>
          <w:marBottom w:val="0"/>
          <w:divBdr>
            <w:top w:val="none" w:sz="0" w:space="0" w:color="auto"/>
            <w:left w:val="none" w:sz="0" w:space="0" w:color="auto"/>
            <w:bottom w:val="none" w:sz="0" w:space="0" w:color="auto"/>
            <w:right w:val="none" w:sz="0" w:space="0" w:color="auto"/>
          </w:divBdr>
        </w:div>
        <w:div w:id="1741560094">
          <w:marLeft w:val="0"/>
          <w:marRight w:val="0"/>
          <w:marTop w:val="0"/>
          <w:marBottom w:val="0"/>
          <w:divBdr>
            <w:top w:val="none" w:sz="0" w:space="0" w:color="auto"/>
            <w:left w:val="none" w:sz="0" w:space="0" w:color="auto"/>
            <w:bottom w:val="none" w:sz="0" w:space="0" w:color="auto"/>
            <w:right w:val="none" w:sz="0" w:space="0" w:color="auto"/>
          </w:divBdr>
        </w:div>
        <w:div w:id="1765219893">
          <w:marLeft w:val="0"/>
          <w:marRight w:val="0"/>
          <w:marTop w:val="0"/>
          <w:marBottom w:val="0"/>
          <w:divBdr>
            <w:top w:val="none" w:sz="0" w:space="0" w:color="auto"/>
            <w:left w:val="none" w:sz="0" w:space="0" w:color="auto"/>
            <w:bottom w:val="none" w:sz="0" w:space="0" w:color="auto"/>
            <w:right w:val="none" w:sz="0" w:space="0" w:color="auto"/>
          </w:divBdr>
        </w:div>
        <w:div w:id="1796367063">
          <w:marLeft w:val="0"/>
          <w:marRight w:val="0"/>
          <w:marTop w:val="0"/>
          <w:marBottom w:val="0"/>
          <w:divBdr>
            <w:top w:val="none" w:sz="0" w:space="0" w:color="auto"/>
            <w:left w:val="none" w:sz="0" w:space="0" w:color="auto"/>
            <w:bottom w:val="none" w:sz="0" w:space="0" w:color="auto"/>
            <w:right w:val="none" w:sz="0" w:space="0" w:color="auto"/>
          </w:divBdr>
        </w:div>
        <w:div w:id="1808274438">
          <w:marLeft w:val="0"/>
          <w:marRight w:val="0"/>
          <w:marTop w:val="0"/>
          <w:marBottom w:val="0"/>
          <w:divBdr>
            <w:top w:val="none" w:sz="0" w:space="0" w:color="auto"/>
            <w:left w:val="none" w:sz="0" w:space="0" w:color="auto"/>
            <w:bottom w:val="none" w:sz="0" w:space="0" w:color="auto"/>
            <w:right w:val="none" w:sz="0" w:space="0" w:color="auto"/>
          </w:divBdr>
        </w:div>
        <w:div w:id="1889150064">
          <w:marLeft w:val="0"/>
          <w:marRight w:val="0"/>
          <w:marTop w:val="0"/>
          <w:marBottom w:val="0"/>
          <w:divBdr>
            <w:top w:val="none" w:sz="0" w:space="0" w:color="auto"/>
            <w:left w:val="none" w:sz="0" w:space="0" w:color="auto"/>
            <w:bottom w:val="none" w:sz="0" w:space="0" w:color="auto"/>
            <w:right w:val="none" w:sz="0" w:space="0" w:color="auto"/>
          </w:divBdr>
        </w:div>
        <w:div w:id="1897744297">
          <w:marLeft w:val="0"/>
          <w:marRight w:val="0"/>
          <w:marTop w:val="0"/>
          <w:marBottom w:val="0"/>
          <w:divBdr>
            <w:top w:val="none" w:sz="0" w:space="0" w:color="auto"/>
            <w:left w:val="none" w:sz="0" w:space="0" w:color="auto"/>
            <w:bottom w:val="none" w:sz="0" w:space="0" w:color="auto"/>
            <w:right w:val="none" w:sz="0" w:space="0" w:color="auto"/>
          </w:divBdr>
        </w:div>
        <w:div w:id="1992515685">
          <w:marLeft w:val="0"/>
          <w:marRight w:val="0"/>
          <w:marTop w:val="0"/>
          <w:marBottom w:val="0"/>
          <w:divBdr>
            <w:top w:val="none" w:sz="0" w:space="0" w:color="auto"/>
            <w:left w:val="none" w:sz="0" w:space="0" w:color="auto"/>
            <w:bottom w:val="none" w:sz="0" w:space="0" w:color="auto"/>
            <w:right w:val="none" w:sz="0" w:space="0" w:color="auto"/>
          </w:divBdr>
        </w:div>
        <w:div w:id="1998025323">
          <w:marLeft w:val="0"/>
          <w:marRight w:val="0"/>
          <w:marTop w:val="0"/>
          <w:marBottom w:val="0"/>
          <w:divBdr>
            <w:top w:val="none" w:sz="0" w:space="0" w:color="auto"/>
            <w:left w:val="none" w:sz="0" w:space="0" w:color="auto"/>
            <w:bottom w:val="none" w:sz="0" w:space="0" w:color="auto"/>
            <w:right w:val="none" w:sz="0" w:space="0" w:color="auto"/>
          </w:divBdr>
        </w:div>
        <w:div w:id="2039357751">
          <w:marLeft w:val="0"/>
          <w:marRight w:val="0"/>
          <w:marTop w:val="0"/>
          <w:marBottom w:val="0"/>
          <w:divBdr>
            <w:top w:val="none" w:sz="0" w:space="0" w:color="auto"/>
            <w:left w:val="none" w:sz="0" w:space="0" w:color="auto"/>
            <w:bottom w:val="none" w:sz="0" w:space="0" w:color="auto"/>
            <w:right w:val="none" w:sz="0" w:space="0" w:color="auto"/>
          </w:divBdr>
        </w:div>
        <w:div w:id="2040355917">
          <w:marLeft w:val="0"/>
          <w:marRight w:val="0"/>
          <w:marTop w:val="0"/>
          <w:marBottom w:val="0"/>
          <w:divBdr>
            <w:top w:val="none" w:sz="0" w:space="0" w:color="auto"/>
            <w:left w:val="none" w:sz="0" w:space="0" w:color="auto"/>
            <w:bottom w:val="none" w:sz="0" w:space="0" w:color="auto"/>
            <w:right w:val="none" w:sz="0" w:space="0" w:color="auto"/>
          </w:divBdr>
        </w:div>
      </w:divsChild>
    </w:div>
    <w:div w:id="1187718912">
      <w:bodyDiv w:val="1"/>
      <w:marLeft w:val="0"/>
      <w:marRight w:val="0"/>
      <w:marTop w:val="0"/>
      <w:marBottom w:val="0"/>
      <w:divBdr>
        <w:top w:val="none" w:sz="0" w:space="0" w:color="auto"/>
        <w:left w:val="none" w:sz="0" w:space="0" w:color="auto"/>
        <w:bottom w:val="none" w:sz="0" w:space="0" w:color="auto"/>
        <w:right w:val="none" w:sz="0" w:space="0" w:color="auto"/>
      </w:divBdr>
      <w:divsChild>
        <w:div w:id="258100041">
          <w:marLeft w:val="274"/>
          <w:marRight w:val="0"/>
          <w:marTop w:val="0"/>
          <w:marBottom w:val="0"/>
          <w:divBdr>
            <w:top w:val="none" w:sz="0" w:space="0" w:color="auto"/>
            <w:left w:val="none" w:sz="0" w:space="0" w:color="auto"/>
            <w:bottom w:val="none" w:sz="0" w:space="0" w:color="auto"/>
            <w:right w:val="none" w:sz="0" w:space="0" w:color="auto"/>
          </w:divBdr>
        </w:div>
        <w:div w:id="286549749">
          <w:marLeft w:val="274"/>
          <w:marRight w:val="0"/>
          <w:marTop w:val="0"/>
          <w:marBottom w:val="0"/>
          <w:divBdr>
            <w:top w:val="none" w:sz="0" w:space="0" w:color="auto"/>
            <w:left w:val="none" w:sz="0" w:space="0" w:color="auto"/>
            <w:bottom w:val="none" w:sz="0" w:space="0" w:color="auto"/>
            <w:right w:val="none" w:sz="0" w:space="0" w:color="auto"/>
          </w:divBdr>
        </w:div>
        <w:div w:id="304742910">
          <w:marLeft w:val="274"/>
          <w:marRight w:val="0"/>
          <w:marTop w:val="86"/>
          <w:marBottom w:val="0"/>
          <w:divBdr>
            <w:top w:val="none" w:sz="0" w:space="0" w:color="auto"/>
            <w:left w:val="none" w:sz="0" w:space="0" w:color="auto"/>
            <w:bottom w:val="none" w:sz="0" w:space="0" w:color="auto"/>
            <w:right w:val="none" w:sz="0" w:space="0" w:color="auto"/>
          </w:divBdr>
        </w:div>
        <w:div w:id="500899677">
          <w:marLeft w:val="274"/>
          <w:marRight w:val="0"/>
          <w:marTop w:val="0"/>
          <w:marBottom w:val="0"/>
          <w:divBdr>
            <w:top w:val="none" w:sz="0" w:space="0" w:color="auto"/>
            <w:left w:val="none" w:sz="0" w:space="0" w:color="auto"/>
            <w:bottom w:val="none" w:sz="0" w:space="0" w:color="auto"/>
            <w:right w:val="none" w:sz="0" w:space="0" w:color="auto"/>
          </w:divBdr>
        </w:div>
        <w:div w:id="668680057">
          <w:marLeft w:val="274"/>
          <w:marRight w:val="0"/>
          <w:marTop w:val="86"/>
          <w:marBottom w:val="0"/>
          <w:divBdr>
            <w:top w:val="none" w:sz="0" w:space="0" w:color="auto"/>
            <w:left w:val="none" w:sz="0" w:space="0" w:color="auto"/>
            <w:bottom w:val="none" w:sz="0" w:space="0" w:color="auto"/>
            <w:right w:val="none" w:sz="0" w:space="0" w:color="auto"/>
          </w:divBdr>
        </w:div>
        <w:div w:id="827987297">
          <w:marLeft w:val="274"/>
          <w:marRight w:val="0"/>
          <w:marTop w:val="86"/>
          <w:marBottom w:val="0"/>
          <w:divBdr>
            <w:top w:val="none" w:sz="0" w:space="0" w:color="auto"/>
            <w:left w:val="none" w:sz="0" w:space="0" w:color="auto"/>
            <w:bottom w:val="none" w:sz="0" w:space="0" w:color="auto"/>
            <w:right w:val="none" w:sz="0" w:space="0" w:color="auto"/>
          </w:divBdr>
        </w:div>
        <w:div w:id="881790675">
          <w:marLeft w:val="274"/>
          <w:marRight w:val="0"/>
          <w:marTop w:val="86"/>
          <w:marBottom w:val="0"/>
          <w:divBdr>
            <w:top w:val="none" w:sz="0" w:space="0" w:color="auto"/>
            <w:left w:val="none" w:sz="0" w:space="0" w:color="auto"/>
            <w:bottom w:val="none" w:sz="0" w:space="0" w:color="auto"/>
            <w:right w:val="none" w:sz="0" w:space="0" w:color="auto"/>
          </w:divBdr>
        </w:div>
        <w:div w:id="1075667543">
          <w:marLeft w:val="274"/>
          <w:marRight w:val="0"/>
          <w:marTop w:val="0"/>
          <w:marBottom w:val="0"/>
          <w:divBdr>
            <w:top w:val="none" w:sz="0" w:space="0" w:color="auto"/>
            <w:left w:val="none" w:sz="0" w:space="0" w:color="auto"/>
            <w:bottom w:val="none" w:sz="0" w:space="0" w:color="auto"/>
            <w:right w:val="none" w:sz="0" w:space="0" w:color="auto"/>
          </w:divBdr>
        </w:div>
        <w:div w:id="1371491901">
          <w:marLeft w:val="274"/>
          <w:marRight w:val="0"/>
          <w:marTop w:val="0"/>
          <w:marBottom w:val="0"/>
          <w:divBdr>
            <w:top w:val="none" w:sz="0" w:space="0" w:color="auto"/>
            <w:left w:val="none" w:sz="0" w:space="0" w:color="auto"/>
            <w:bottom w:val="none" w:sz="0" w:space="0" w:color="auto"/>
            <w:right w:val="none" w:sz="0" w:space="0" w:color="auto"/>
          </w:divBdr>
        </w:div>
        <w:div w:id="1707946474">
          <w:marLeft w:val="274"/>
          <w:marRight w:val="0"/>
          <w:marTop w:val="0"/>
          <w:marBottom w:val="0"/>
          <w:divBdr>
            <w:top w:val="none" w:sz="0" w:space="0" w:color="auto"/>
            <w:left w:val="none" w:sz="0" w:space="0" w:color="auto"/>
            <w:bottom w:val="none" w:sz="0" w:space="0" w:color="auto"/>
            <w:right w:val="none" w:sz="0" w:space="0" w:color="auto"/>
          </w:divBdr>
        </w:div>
        <w:div w:id="2069188669">
          <w:marLeft w:val="274"/>
          <w:marRight w:val="0"/>
          <w:marTop w:val="0"/>
          <w:marBottom w:val="0"/>
          <w:divBdr>
            <w:top w:val="none" w:sz="0" w:space="0" w:color="auto"/>
            <w:left w:val="none" w:sz="0" w:space="0" w:color="auto"/>
            <w:bottom w:val="none" w:sz="0" w:space="0" w:color="auto"/>
            <w:right w:val="none" w:sz="0" w:space="0" w:color="auto"/>
          </w:divBdr>
        </w:div>
      </w:divsChild>
    </w:div>
    <w:div w:id="1203901755">
      <w:bodyDiv w:val="1"/>
      <w:marLeft w:val="0"/>
      <w:marRight w:val="0"/>
      <w:marTop w:val="0"/>
      <w:marBottom w:val="0"/>
      <w:divBdr>
        <w:top w:val="none" w:sz="0" w:space="0" w:color="auto"/>
        <w:left w:val="none" w:sz="0" w:space="0" w:color="auto"/>
        <w:bottom w:val="none" w:sz="0" w:space="0" w:color="auto"/>
        <w:right w:val="none" w:sz="0" w:space="0" w:color="auto"/>
      </w:divBdr>
      <w:divsChild>
        <w:div w:id="219753051">
          <w:marLeft w:val="0"/>
          <w:marRight w:val="0"/>
          <w:marTop w:val="0"/>
          <w:marBottom w:val="0"/>
          <w:divBdr>
            <w:top w:val="none" w:sz="0" w:space="0" w:color="auto"/>
            <w:left w:val="none" w:sz="0" w:space="0" w:color="auto"/>
            <w:bottom w:val="none" w:sz="0" w:space="0" w:color="auto"/>
            <w:right w:val="none" w:sz="0" w:space="0" w:color="auto"/>
          </w:divBdr>
        </w:div>
        <w:div w:id="1799177457">
          <w:marLeft w:val="0"/>
          <w:marRight w:val="0"/>
          <w:marTop w:val="0"/>
          <w:marBottom w:val="0"/>
          <w:divBdr>
            <w:top w:val="none" w:sz="0" w:space="0" w:color="auto"/>
            <w:left w:val="none" w:sz="0" w:space="0" w:color="auto"/>
            <w:bottom w:val="none" w:sz="0" w:space="0" w:color="auto"/>
            <w:right w:val="none" w:sz="0" w:space="0" w:color="auto"/>
          </w:divBdr>
        </w:div>
      </w:divsChild>
    </w:div>
    <w:div w:id="1206913340">
      <w:bodyDiv w:val="1"/>
      <w:marLeft w:val="0"/>
      <w:marRight w:val="0"/>
      <w:marTop w:val="0"/>
      <w:marBottom w:val="0"/>
      <w:divBdr>
        <w:top w:val="none" w:sz="0" w:space="0" w:color="auto"/>
        <w:left w:val="none" w:sz="0" w:space="0" w:color="auto"/>
        <w:bottom w:val="none" w:sz="0" w:space="0" w:color="auto"/>
        <w:right w:val="none" w:sz="0" w:space="0" w:color="auto"/>
      </w:divBdr>
      <w:divsChild>
        <w:div w:id="239216645">
          <w:marLeft w:val="0"/>
          <w:marRight w:val="0"/>
          <w:marTop w:val="0"/>
          <w:marBottom w:val="0"/>
          <w:divBdr>
            <w:top w:val="none" w:sz="0" w:space="0" w:color="auto"/>
            <w:left w:val="none" w:sz="0" w:space="0" w:color="auto"/>
            <w:bottom w:val="none" w:sz="0" w:space="0" w:color="auto"/>
            <w:right w:val="none" w:sz="0" w:space="0" w:color="auto"/>
          </w:divBdr>
        </w:div>
        <w:div w:id="357437614">
          <w:marLeft w:val="0"/>
          <w:marRight w:val="0"/>
          <w:marTop w:val="0"/>
          <w:marBottom w:val="0"/>
          <w:divBdr>
            <w:top w:val="none" w:sz="0" w:space="0" w:color="auto"/>
            <w:left w:val="none" w:sz="0" w:space="0" w:color="auto"/>
            <w:bottom w:val="none" w:sz="0" w:space="0" w:color="auto"/>
            <w:right w:val="none" w:sz="0" w:space="0" w:color="auto"/>
          </w:divBdr>
        </w:div>
        <w:div w:id="1644775726">
          <w:marLeft w:val="0"/>
          <w:marRight w:val="0"/>
          <w:marTop w:val="0"/>
          <w:marBottom w:val="0"/>
          <w:divBdr>
            <w:top w:val="none" w:sz="0" w:space="0" w:color="auto"/>
            <w:left w:val="none" w:sz="0" w:space="0" w:color="auto"/>
            <w:bottom w:val="none" w:sz="0" w:space="0" w:color="auto"/>
            <w:right w:val="none" w:sz="0" w:space="0" w:color="auto"/>
          </w:divBdr>
        </w:div>
        <w:div w:id="2047369570">
          <w:marLeft w:val="0"/>
          <w:marRight w:val="0"/>
          <w:marTop w:val="0"/>
          <w:marBottom w:val="0"/>
          <w:divBdr>
            <w:top w:val="none" w:sz="0" w:space="0" w:color="auto"/>
            <w:left w:val="none" w:sz="0" w:space="0" w:color="auto"/>
            <w:bottom w:val="none" w:sz="0" w:space="0" w:color="auto"/>
            <w:right w:val="none" w:sz="0" w:space="0" w:color="auto"/>
          </w:divBdr>
        </w:div>
      </w:divsChild>
    </w:div>
    <w:div w:id="1216116029">
      <w:bodyDiv w:val="1"/>
      <w:marLeft w:val="0"/>
      <w:marRight w:val="0"/>
      <w:marTop w:val="0"/>
      <w:marBottom w:val="0"/>
      <w:divBdr>
        <w:top w:val="none" w:sz="0" w:space="0" w:color="auto"/>
        <w:left w:val="none" w:sz="0" w:space="0" w:color="auto"/>
        <w:bottom w:val="none" w:sz="0" w:space="0" w:color="auto"/>
        <w:right w:val="none" w:sz="0" w:space="0" w:color="auto"/>
      </w:divBdr>
    </w:div>
    <w:div w:id="1216352366">
      <w:bodyDiv w:val="1"/>
      <w:marLeft w:val="0"/>
      <w:marRight w:val="0"/>
      <w:marTop w:val="0"/>
      <w:marBottom w:val="0"/>
      <w:divBdr>
        <w:top w:val="none" w:sz="0" w:space="0" w:color="auto"/>
        <w:left w:val="none" w:sz="0" w:space="0" w:color="auto"/>
        <w:bottom w:val="none" w:sz="0" w:space="0" w:color="auto"/>
        <w:right w:val="none" w:sz="0" w:space="0" w:color="auto"/>
      </w:divBdr>
      <w:divsChild>
        <w:div w:id="1915117683">
          <w:marLeft w:val="0"/>
          <w:marRight w:val="0"/>
          <w:marTop w:val="0"/>
          <w:marBottom w:val="0"/>
          <w:divBdr>
            <w:top w:val="none" w:sz="0" w:space="0" w:color="auto"/>
            <w:left w:val="none" w:sz="0" w:space="0" w:color="auto"/>
            <w:bottom w:val="none" w:sz="0" w:space="0" w:color="auto"/>
            <w:right w:val="none" w:sz="0" w:space="0" w:color="auto"/>
          </w:divBdr>
        </w:div>
        <w:div w:id="2100639857">
          <w:marLeft w:val="0"/>
          <w:marRight w:val="0"/>
          <w:marTop w:val="0"/>
          <w:marBottom w:val="0"/>
          <w:divBdr>
            <w:top w:val="none" w:sz="0" w:space="0" w:color="auto"/>
            <w:left w:val="none" w:sz="0" w:space="0" w:color="auto"/>
            <w:bottom w:val="none" w:sz="0" w:space="0" w:color="auto"/>
            <w:right w:val="none" w:sz="0" w:space="0" w:color="auto"/>
          </w:divBdr>
        </w:div>
      </w:divsChild>
    </w:div>
    <w:div w:id="1217424703">
      <w:bodyDiv w:val="1"/>
      <w:marLeft w:val="0"/>
      <w:marRight w:val="0"/>
      <w:marTop w:val="0"/>
      <w:marBottom w:val="0"/>
      <w:divBdr>
        <w:top w:val="none" w:sz="0" w:space="0" w:color="auto"/>
        <w:left w:val="none" w:sz="0" w:space="0" w:color="auto"/>
        <w:bottom w:val="none" w:sz="0" w:space="0" w:color="auto"/>
        <w:right w:val="none" w:sz="0" w:space="0" w:color="auto"/>
      </w:divBdr>
      <w:divsChild>
        <w:div w:id="769471749">
          <w:marLeft w:val="0"/>
          <w:marRight w:val="0"/>
          <w:marTop w:val="0"/>
          <w:marBottom w:val="0"/>
          <w:divBdr>
            <w:top w:val="none" w:sz="0" w:space="0" w:color="auto"/>
            <w:left w:val="none" w:sz="0" w:space="0" w:color="auto"/>
            <w:bottom w:val="none" w:sz="0" w:space="0" w:color="auto"/>
            <w:right w:val="none" w:sz="0" w:space="0" w:color="auto"/>
          </w:divBdr>
        </w:div>
        <w:div w:id="830170868">
          <w:marLeft w:val="0"/>
          <w:marRight w:val="0"/>
          <w:marTop w:val="0"/>
          <w:marBottom w:val="0"/>
          <w:divBdr>
            <w:top w:val="none" w:sz="0" w:space="0" w:color="auto"/>
            <w:left w:val="none" w:sz="0" w:space="0" w:color="auto"/>
            <w:bottom w:val="none" w:sz="0" w:space="0" w:color="auto"/>
            <w:right w:val="none" w:sz="0" w:space="0" w:color="auto"/>
          </w:divBdr>
        </w:div>
        <w:div w:id="936711680">
          <w:marLeft w:val="0"/>
          <w:marRight w:val="0"/>
          <w:marTop w:val="0"/>
          <w:marBottom w:val="0"/>
          <w:divBdr>
            <w:top w:val="none" w:sz="0" w:space="0" w:color="auto"/>
            <w:left w:val="none" w:sz="0" w:space="0" w:color="auto"/>
            <w:bottom w:val="none" w:sz="0" w:space="0" w:color="auto"/>
            <w:right w:val="none" w:sz="0" w:space="0" w:color="auto"/>
          </w:divBdr>
        </w:div>
      </w:divsChild>
    </w:div>
    <w:div w:id="1233080950">
      <w:bodyDiv w:val="1"/>
      <w:marLeft w:val="0"/>
      <w:marRight w:val="0"/>
      <w:marTop w:val="0"/>
      <w:marBottom w:val="0"/>
      <w:divBdr>
        <w:top w:val="none" w:sz="0" w:space="0" w:color="auto"/>
        <w:left w:val="none" w:sz="0" w:space="0" w:color="auto"/>
        <w:bottom w:val="none" w:sz="0" w:space="0" w:color="auto"/>
        <w:right w:val="none" w:sz="0" w:space="0" w:color="auto"/>
      </w:divBdr>
      <w:divsChild>
        <w:div w:id="86388294">
          <w:marLeft w:val="0"/>
          <w:marRight w:val="0"/>
          <w:marTop w:val="0"/>
          <w:marBottom w:val="0"/>
          <w:divBdr>
            <w:top w:val="none" w:sz="0" w:space="0" w:color="auto"/>
            <w:left w:val="none" w:sz="0" w:space="0" w:color="auto"/>
            <w:bottom w:val="none" w:sz="0" w:space="0" w:color="auto"/>
            <w:right w:val="none" w:sz="0" w:space="0" w:color="auto"/>
          </w:divBdr>
        </w:div>
        <w:div w:id="251745454">
          <w:marLeft w:val="0"/>
          <w:marRight w:val="0"/>
          <w:marTop w:val="0"/>
          <w:marBottom w:val="0"/>
          <w:divBdr>
            <w:top w:val="none" w:sz="0" w:space="0" w:color="auto"/>
            <w:left w:val="none" w:sz="0" w:space="0" w:color="auto"/>
            <w:bottom w:val="none" w:sz="0" w:space="0" w:color="auto"/>
            <w:right w:val="none" w:sz="0" w:space="0" w:color="auto"/>
          </w:divBdr>
        </w:div>
        <w:div w:id="1164932568">
          <w:marLeft w:val="0"/>
          <w:marRight w:val="0"/>
          <w:marTop w:val="0"/>
          <w:marBottom w:val="0"/>
          <w:divBdr>
            <w:top w:val="none" w:sz="0" w:space="0" w:color="auto"/>
            <w:left w:val="none" w:sz="0" w:space="0" w:color="auto"/>
            <w:bottom w:val="none" w:sz="0" w:space="0" w:color="auto"/>
            <w:right w:val="none" w:sz="0" w:space="0" w:color="auto"/>
          </w:divBdr>
        </w:div>
        <w:div w:id="1198200846">
          <w:marLeft w:val="0"/>
          <w:marRight w:val="0"/>
          <w:marTop w:val="0"/>
          <w:marBottom w:val="0"/>
          <w:divBdr>
            <w:top w:val="none" w:sz="0" w:space="0" w:color="auto"/>
            <w:left w:val="none" w:sz="0" w:space="0" w:color="auto"/>
            <w:bottom w:val="none" w:sz="0" w:space="0" w:color="auto"/>
            <w:right w:val="none" w:sz="0" w:space="0" w:color="auto"/>
          </w:divBdr>
        </w:div>
        <w:div w:id="1483961823">
          <w:marLeft w:val="0"/>
          <w:marRight w:val="0"/>
          <w:marTop w:val="0"/>
          <w:marBottom w:val="0"/>
          <w:divBdr>
            <w:top w:val="none" w:sz="0" w:space="0" w:color="auto"/>
            <w:left w:val="none" w:sz="0" w:space="0" w:color="auto"/>
            <w:bottom w:val="none" w:sz="0" w:space="0" w:color="auto"/>
            <w:right w:val="none" w:sz="0" w:space="0" w:color="auto"/>
          </w:divBdr>
        </w:div>
      </w:divsChild>
    </w:div>
    <w:div w:id="1234656397">
      <w:bodyDiv w:val="1"/>
      <w:marLeft w:val="0"/>
      <w:marRight w:val="0"/>
      <w:marTop w:val="0"/>
      <w:marBottom w:val="0"/>
      <w:divBdr>
        <w:top w:val="none" w:sz="0" w:space="0" w:color="auto"/>
        <w:left w:val="none" w:sz="0" w:space="0" w:color="auto"/>
        <w:bottom w:val="none" w:sz="0" w:space="0" w:color="auto"/>
        <w:right w:val="none" w:sz="0" w:space="0" w:color="auto"/>
      </w:divBdr>
      <w:divsChild>
        <w:div w:id="1537310021">
          <w:marLeft w:val="0"/>
          <w:marRight w:val="0"/>
          <w:marTop w:val="0"/>
          <w:marBottom w:val="0"/>
          <w:divBdr>
            <w:top w:val="none" w:sz="0" w:space="0" w:color="auto"/>
            <w:left w:val="none" w:sz="0" w:space="0" w:color="auto"/>
            <w:bottom w:val="none" w:sz="0" w:space="0" w:color="auto"/>
            <w:right w:val="none" w:sz="0" w:space="0" w:color="auto"/>
          </w:divBdr>
        </w:div>
        <w:div w:id="1777630909">
          <w:marLeft w:val="0"/>
          <w:marRight w:val="0"/>
          <w:marTop w:val="0"/>
          <w:marBottom w:val="0"/>
          <w:divBdr>
            <w:top w:val="none" w:sz="0" w:space="0" w:color="auto"/>
            <w:left w:val="none" w:sz="0" w:space="0" w:color="auto"/>
            <w:bottom w:val="none" w:sz="0" w:space="0" w:color="auto"/>
            <w:right w:val="none" w:sz="0" w:space="0" w:color="auto"/>
          </w:divBdr>
        </w:div>
        <w:div w:id="2067214342">
          <w:marLeft w:val="0"/>
          <w:marRight w:val="0"/>
          <w:marTop w:val="0"/>
          <w:marBottom w:val="0"/>
          <w:divBdr>
            <w:top w:val="none" w:sz="0" w:space="0" w:color="auto"/>
            <w:left w:val="none" w:sz="0" w:space="0" w:color="auto"/>
            <w:bottom w:val="none" w:sz="0" w:space="0" w:color="auto"/>
            <w:right w:val="none" w:sz="0" w:space="0" w:color="auto"/>
          </w:divBdr>
        </w:div>
      </w:divsChild>
    </w:div>
    <w:div w:id="1235430933">
      <w:bodyDiv w:val="1"/>
      <w:marLeft w:val="0"/>
      <w:marRight w:val="0"/>
      <w:marTop w:val="0"/>
      <w:marBottom w:val="0"/>
      <w:divBdr>
        <w:top w:val="none" w:sz="0" w:space="0" w:color="auto"/>
        <w:left w:val="none" w:sz="0" w:space="0" w:color="auto"/>
        <w:bottom w:val="none" w:sz="0" w:space="0" w:color="auto"/>
        <w:right w:val="none" w:sz="0" w:space="0" w:color="auto"/>
      </w:divBdr>
    </w:div>
    <w:div w:id="1252931863">
      <w:bodyDiv w:val="1"/>
      <w:marLeft w:val="0"/>
      <w:marRight w:val="0"/>
      <w:marTop w:val="0"/>
      <w:marBottom w:val="0"/>
      <w:divBdr>
        <w:top w:val="none" w:sz="0" w:space="0" w:color="auto"/>
        <w:left w:val="none" w:sz="0" w:space="0" w:color="auto"/>
        <w:bottom w:val="none" w:sz="0" w:space="0" w:color="auto"/>
        <w:right w:val="none" w:sz="0" w:space="0" w:color="auto"/>
      </w:divBdr>
    </w:div>
    <w:div w:id="1265384323">
      <w:bodyDiv w:val="1"/>
      <w:marLeft w:val="0"/>
      <w:marRight w:val="0"/>
      <w:marTop w:val="0"/>
      <w:marBottom w:val="0"/>
      <w:divBdr>
        <w:top w:val="none" w:sz="0" w:space="0" w:color="auto"/>
        <w:left w:val="none" w:sz="0" w:space="0" w:color="auto"/>
        <w:bottom w:val="none" w:sz="0" w:space="0" w:color="auto"/>
        <w:right w:val="none" w:sz="0" w:space="0" w:color="auto"/>
      </w:divBdr>
    </w:div>
    <w:div w:id="1274242848">
      <w:bodyDiv w:val="1"/>
      <w:marLeft w:val="0"/>
      <w:marRight w:val="0"/>
      <w:marTop w:val="0"/>
      <w:marBottom w:val="0"/>
      <w:divBdr>
        <w:top w:val="none" w:sz="0" w:space="0" w:color="auto"/>
        <w:left w:val="none" w:sz="0" w:space="0" w:color="auto"/>
        <w:bottom w:val="none" w:sz="0" w:space="0" w:color="auto"/>
        <w:right w:val="none" w:sz="0" w:space="0" w:color="auto"/>
      </w:divBdr>
      <w:divsChild>
        <w:div w:id="998851750">
          <w:marLeft w:val="0"/>
          <w:marRight w:val="0"/>
          <w:marTop w:val="0"/>
          <w:marBottom w:val="0"/>
          <w:divBdr>
            <w:top w:val="none" w:sz="0" w:space="0" w:color="auto"/>
            <w:left w:val="none" w:sz="0" w:space="0" w:color="auto"/>
            <w:bottom w:val="none" w:sz="0" w:space="0" w:color="auto"/>
            <w:right w:val="none" w:sz="0" w:space="0" w:color="auto"/>
          </w:divBdr>
        </w:div>
        <w:div w:id="1071317806">
          <w:marLeft w:val="0"/>
          <w:marRight w:val="0"/>
          <w:marTop w:val="0"/>
          <w:marBottom w:val="0"/>
          <w:divBdr>
            <w:top w:val="none" w:sz="0" w:space="0" w:color="auto"/>
            <w:left w:val="none" w:sz="0" w:space="0" w:color="auto"/>
            <w:bottom w:val="none" w:sz="0" w:space="0" w:color="auto"/>
            <w:right w:val="none" w:sz="0" w:space="0" w:color="auto"/>
          </w:divBdr>
        </w:div>
      </w:divsChild>
    </w:div>
    <w:div w:id="1293249741">
      <w:bodyDiv w:val="1"/>
      <w:marLeft w:val="0"/>
      <w:marRight w:val="0"/>
      <w:marTop w:val="0"/>
      <w:marBottom w:val="0"/>
      <w:divBdr>
        <w:top w:val="none" w:sz="0" w:space="0" w:color="auto"/>
        <w:left w:val="none" w:sz="0" w:space="0" w:color="auto"/>
        <w:bottom w:val="none" w:sz="0" w:space="0" w:color="auto"/>
        <w:right w:val="none" w:sz="0" w:space="0" w:color="auto"/>
      </w:divBdr>
      <w:divsChild>
        <w:div w:id="1360396711">
          <w:marLeft w:val="0"/>
          <w:marRight w:val="0"/>
          <w:marTop w:val="0"/>
          <w:marBottom w:val="0"/>
          <w:divBdr>
            <w:top w:val="none" w:sz="0" w:space="0" w:color="auto"/>
            <w:left w:val="none" w:sz="0" w:space="0" w:color="auto"/>
            <w:bottom w:val="none" w:sz="0" w:space="0" w:color="auto"/>
            <w:right w:val="none" w:sz="0" w:space="0" w:color="auto"/>
          </w:divBdr>
        </w:div>
        <w:div w:id="1593508003">
          <w:marLeft w:val="0"/>
          <w:marRight w:val="0"/>
          <w:marTop w:val="0"/>
          <w:marBottom w:val="0"/>
          <w:divBdr>
            <w:top w:val="none" w:sz="0" w:space="0" w:color="auto"/>
            <w:left w:val="none" w:sz="0" w:space="0" w:color="auto"/>
            <w:bottom w:val="none" w:sz="0" w:space="0" w:color="auto"/>
            <w:right w:val="none" w:sz="0" w:space="0" w:color="auto"/>
          </w:divBdr>
        </w:div>
        <w:div w:id="1656252410">
          <w:marLeft w:val="0"/>
          <w:marRight w:val="0"/>
          <w:marTop w:val="0"/>
          <w:marBottom w:val="0"/>
          <w:divBdr>
            <w:top w:val="none" w:sz="0" w:space="0" w:color="auto"/>
            <w:left w:val="none" w:sz="0" w:space="0" w:color="auto"/>
            <w:bottom w:val="none" w:sz="0" w:space="0" w:color="auto"/>
            <w:right w:val="none" w:sz="0" w:space="0" w:color="auto"/>
          </w:divBdr>
        </w:div>
        <w:div w:id="1857302606">
          <w:marLeft w:val="0"/>
          <w:marRight w:val="0"/>
          <w:marTop w:val="0"/>
          <w:marBottom w:val="0"/>
          <w:divBdr>
            <w:top w:val="none" w:sz="0" w:space="0" w:color="auto"/>
            <w:left w:val="none" w:sz="0" w:space="0" w:color="auto"/>
            <w:bottom w:val="none" w:sz="0" w:space="0" w:color="auto"/>
            <w:right w:val="none" w:sz="0" w:space="0" w:color="auto"/>
          </w:divBdr>
        </w:div>
        <w:div w:id="2054036124">
          <w:marLeft w:val="0"/>
          <w:marRight w:val="0"/>
          <w:marTop w:val="0"/>
          <w:marBottom w:val="0"/>
          <w:divBdr>
            <w:top w:val="none" w:sz="0" w:space="0" w:color="auto"/>
            <w:left w:val="none" w:sz="0" w:space="0" w:color="auto"/>
            <w:bottom w:val="none" w:sz="0" w:space="0" w:color="auto"/>
            <w:right w:val="none" w:sz="0" w:space="0" w:color="auto"/>
          </w:divBdr>
        </w:div>
      </w:divsChild>
    </w:div>
    <w:div w:id="1309280848">
      <w:bodyDiv w:val="1"/>
      <w:marLeft w:val="0"/>
      <w:marRight w:val="0"/>
      <w:marTop w:val="0"/>
      <w:marBottom w:val="0"/>
      <w:divBdr>
        <w:top w:val="none" w:sz="0" w:space="0" w:color="auto"/>
        <w:left w:val="none" w:sz="0" w:space="0" w:color="auto"/>
        <w:bottom w:val="none" w:sz="0" w:space="0" w:color="auto"/>
        <w:right w:val="none" w:sz="0" w:space="0" w:color="auto"/>
      </w:divBdr>
    </w:div>
    <w:div w:id="1310011944">
      <w:bodyDiv w:val="1"/>
      <w:marLeft w:val="0"/>
      <w:marRight w:val="0"/>
      <w:marTop w:val="0"/>
      <w:marBottom w:val="0"/>
      <w:divBdr>
        <w:top w:val="none" w:sz="0" w:space="0" w:color="auto"/>
        <w:left w:val="none" w:sz="0" w:space="0" w:color="auto"/>
        <w:bottom w:val="none" w:sz="0" w:space="0" w:color="auto"/>
        <w:right w:val="none" w:sz="0" w:space="0" w:color="auto"/>
      </w:divBdr>
      <w:divsChild>
        <w:div w:id="549728656">
          <w:marLeft w:val="0"/>
          <w:marRight w:val="0"/>
          <w:marTop w:val="0"/>
          <w:marBottom w:val="0"/>
          <w:divBdr>
            <w:top w:val="none" w:sz="0" w:space="0" w:color="auto"/>
            <w:left w:val="none" w:sz="0" w:space="0" w:color="auto"/>
            <w:bottom w:val="none" w:sz="0" w:space="0" w:color="auto"/>
            <w:right w:val="none" w:sz="0" w:space="0" w:color="auto"/>
          </w:divBdr>
        </w:div>
        <w:div w:id="733701479">
          <w:marLeft w:val="0"/>
          <w:marRight w:val="0"/>
          <w:marTop w:val="0"/>
          <w:marBottom w:val="0"/>
          <w:divBdr>
            <w:top w:val="none" w:sz="0" w:space="0" w:color="auto"/>
            <w:left w:val="none" w:sz="0" w:space="0" w:color="auto"/>
            <w:bottom w:val="none" w:sz="0" w:space="0" w:color="auto"/>
            <w:right w:val="none" w:sz="0" w:space="0" w:color="auto"/>
          </w:divBdr>
        </w:div>
        <w:div w:id="1926723517">
          <w:marLeft w:val="0"/>
          <w:marRight w:val="0"/>
          <w:marTop w:val="0"/>
          <w:marBottom w:val="0"/>
          <w:divBdr>
            <w:top w:val="none" w:sz="0" w:space="0" w:color="auto"/>
            <w:left w:val="none" w:sz="0" w:space="0" w:color="auto"/>
            <w:bottom w:val="none" w:sz="0" w:space="0" w:color="auto"/>
            <w:right w:val="none" w:sz="0" w:space="0" w:color="auto"/>
          </w:divBdr>
        </w:div>
      </w:divsChild>
    </w:div>
    <w:div w:id="1322931531">
      <w:bodyDiv w:val="1"/>
      <w:marLeft w:val="0"/>
      <w:marRight w:val="0"/>
      <w:marTop w:val="0"/>
      <w:marBottom w:val="0"/>
      <w:divBdr>
        <w:top w:val="none" w:sz="0" w:space="0" w:color="auto"/>
        <w:left w:val="none" w:sz="0" w:space="0" w:color="auto"/>
        <w:bottom w:val="none" w:sz="0" w:space="0" w:color="auto"/>
        <w:right w:val="none" w:sz="0" w:space="0" w:color="auto"/>
      </w:divBdr>
    </w:div>
    <w:div w:id="1323461738">
      <w:bodyDiv w:val="1"/>
      <w:marLeft w:val="0"/>
      <w:marRight w:val="0"/>
      <w:marTop w:val="0"/>
      <w:marBottom w:val="0"/>
      <w:divBdr>
        <w:top w:val="none" w:sz="0" w:space="0" w:color="auto"/>
        <w:left w:val="none" w:sz="0" w:space="0" w:color="auto"/>
        <w:bottom w:val="none" w:sz="0" w:space="0" w:color="auto"/>
        <w:right w:val="none" w:sz="0" w:space="0" w:color="auto"/>
      </w:divBdr>
    </w:div>
    <w:div w:id="1352488453">
      <w:bodyDiv w:val="1"/>
      <w:marLeft w:val="0"/>
      <w:marRight w:val="0"/>
      <w:marTop w:val="0"/>
      <w:marBottom w:val="0"/>
      <w:divBdr>
        <w:top w:val="none" w:sz="0" w:space="0" w:color="auto"/>
        <w:left w:val="none" w:sz="0" w:space="0" w:color="auto"/>
        <w:bottom w:val="none" w:sz="0" w:space="0" w:color="auto"/>
        <w:right w:val="none" w:sz="0" w:space="0" w:color="auto"/>
      </w:divBdr>
    </w:div>
    <w:div w:id="1352994002">
      <w:bodyDiv w:val="1"/>
      <w:marLeft w:val="0"/>
      <w:marRight w:val="0"/>
      <w:marTop w:val="0"/>
      <w:marBottom w:val="0"/>
      <w:divBdr>
        <w:top w:val="none" w:sz="0" w:space="0" w:color="auto"/>
        <w:left w:val="none" w:sz="0" w:space="0" w:color="auto"/>
        <w:bottom w:val="none" w:sz="0" w:space="0" w:color="auto"/>
        <w:right w:val="none" w:sz="0" w:space="0" w:color="auto"/>
      </w:divBdr>
      <w:divsChild>
        <w:div w:id="11342248">
          <w:marLeft w:val="0"/>
          <w:marRight w:val="0"/>
          <w:marTop w:val="0"/>
          <w:marBottom w:val="0"/>
          <w:divBdr>
            <w:top w:val="none" w:sz="0" w:space="0" w:color="auto"/>
            <w:left w:val="none" w:sz="0" w:space="0" w:color="auto"/>
            <w:bottom w:val="none" w:sz="0" w:space="0" w:color="auto"/>
            <w:right w:val="none" w:sz="0" w:space="0" w:color="auto"/>
          </w:divBdr>
        </w:div>
        <w:div w:id="962808727">
          <w:marLeft w:val="0"/>
          <w:marRight w:val="0"/>
          <w:marTop w:val="0"/>
          <w:marBottom w:val="0"/>
          <w:divBdr>
            <w:top w:val="none" w:sz="0" w:space="0" w:color="auto"/>
            <w:left w:val="none" w:sz="0" w:space="0" w:color="auto"/>
            <w:bottom w:val="none" w:sz="0" w:space="0" w:color="auto"/>
            <w:right w:val="none" w:sz="0" w:space="0" w:color="auto"/>
          </w:divBdr>
        </w:div>
        <w:div w:id="1365137470">
          <w:marLeft w:val="0"/>
          <w:marRight w:val="0"/>
          <w:marTop w:val="0"/>
          <w:marBottom w:val="0"/>
          <w:divBdr>
            <w:top w:val="none" w:sz="0" w:space="0" w:color="auto"/>
            <w:left w:val="none" w:sz="0" w:space="0" w:color="auto"/>
            <w:bottom w:val="none" w:sz="0" w:space="0" w:color="auto"/>
            <w:right w:val="none" w:sz="0" w:space="0" w:color="auto"/>
          </w:divBdr>
        </w:div>
        <w:div w:id="1382752098">
          <w:marLeft w:val="0"/>
          <w:marRight w:val="0"/>
          <w:marTop w:val="0"/>
          <w:marBottom w:val="0"/>
          <w:divBdr>
            <w:top w:val="none" w:sz="0" w:space="0" w:color="auto"/>
            <w:left w:val="none" w:sz="0" w:space="0" w:color="auto"/>
            <w:bottom w:val="none" w:sz="0" w:space="0" w:color="auto"/>
            <w:right w:val="none" w:sz="0" w:space="0" w:color="auto"/>
          </w:divBdr>
        </w:div>
        <w:div w:id="1470976128">
          <w:marLeft w:val="0"/>
          <w:marRight w:val="0"/>
          <w:marTop w:val="0"/>
          <w:marBottom w:val="0"/>
          <w:divBdr>
            <w:top w:val="none" w:sz="0" w:space="0" w:color="auto"/>
            <w:left w:val="none" w:sz="0" w:space="0" w:color="auto"/>
            <w:bottom w:val="none" w:sz="0" w:space="0" w:color="auto"/>
            <w:right w:val="none" w:sz="0" w:space="0" w:color="auto"/>
          </w:divBdr>
        </w:div>
        <w:div w:id="2055159060">
          <w:marLeft w:val="0"/>
          <w:marRight w:val="0"/>
          <w:marTop w:val="0"/>
          <w:marBottom w:val="0"/>
          <w:divBdr>
            <w:top w:val="none" w:sz="0" w:space="0" w:color="auto"/>
            <w:left w:val="none" w:sz="0" w:space="0" w:color="auto"/>
            <w:bottom w:val="none" w:sz="0" w:space="0" w:color="auto"/>
            <w:right w:val="none" w:sz="0" w:space="0" w:color="auto"/>
          </w:divBdr>
        </w:div>
      </w:divsChild>
    </w:div>
    <w:div w:id="1373110829">
      <w:bodyDiv w:val="1"/>
      <w:marLeft w:val="0"/>
      <w:marRight w:val="0"/>
      <w:marTop w:val="0"/>
      <w:marBottom w:val="0"/>
      <w:divBdr>
        <w:top w:val="none" w:sz="0" w:space="0" w:color="auto"/>
        <w:left w:val="none" w:sz="0" w:space="0" w:color="auto"/>
        <w:bottom w:val="none" w:sz="0" w:space="0" w:color="auto"/>
        <w:right w:val="none" w:sz="0" w:space="0" w:color="auto"/>
      </w:divBdr>
      <w:divsChild>
        <w:div w:id="591857979">
          <w:marLeft w:val="0"/>
          <w:marRight w:val="0"/>
          <w:marTop w:val="0"/>
          <w:marBottom w:val="0"/>
          <w:divBdr>
            <w:top w:val="none" w:sz="0" w:space="0" w:color="auto"/>
            <w:left w:val="none" w:sz="0" w:space="0" w:color="auto"/>
            <w:bottom w:val="none" w:sz="0" w:space="0" w:color="auto"/>
            <w:right w:val="none" w:sz="0" w:space="0" w:color="auto"/>
          </w:divBdr>
        </w:div>
        <w:div w:id="1639802494">
          <w:marLeft w:val="0"/>
          <w:marRight w:val="0"/>
          <w:marTop w:val="0"/>
          <w:marBottom w:val="0"/>
          <w:divBdr>
            <w:top w:val="none" w:sz="0" w:space="0" w:color="auto"/>
            <w:left w:val="none" w:sz="0" w:space="0" w:color="auto"/>
            <w:bottom w:val="none" w:sz="0" w:space="0" w:color="auto"/>
            <w:right w:val="none" w:sz="0" w:space="0" w:color="auto"/>
          </w:divBdr>
        </w:div>
        <w:div w:id="1955794797">
          <w:marLeft w:val="0"/>
          <w:marRight w:val="0"/>
          <w:marTop w:val="0"/>
          <w:marBottom w:val="0"/>
          <w:divBdr>
            <w:top w:val="none" w:sz="0" w:space="0" w:color="auto"/>
            <w:left w:val="none" w:sz="0" w:space="0" w:color="auto"/>
            <w:bottom w:val="none" w:sz="0" w:space="0" w:color="auto"/>
            <w:right w:val="none" w:sz="0" w:space="0" w:color="auto"/>
          </w:divBdr>
          <w:divsChild>
            <w:div w:id="776372189">
              <w:marLeft w:val="0"/>
              <w:marRight w:val="0"/>
              <w:marTop w:val="0"/>
              <w:marBottom w:val="0"/>
              <w:divBdr>
                <w:top w:val="none" w:sz="0" w:space="0" w:color="auto"/>
                <w:left w:val="none" w:sz="0" w:space="0" w:color="auto"/>
                <w:bottom w:val="none" w:sz="0" w:space="0" w:color="auto"/>
                <w:right w:val="none" w:sz="0" w:space="0" w:color="auto"/>
              </w:divBdr>
            </w:div>
            <w:div w:id="1489440405">
              <w:marLeft w:val="0"/>
              <w:marRight w:val="0"/>
              <w:marTop w:val="0"/>
              <w:marBottom w:val="0"/>
              <w:divBdr>
                <w:top w:val="none" w:sz="0" w:space="0" w:color="auto"/>
                <w:left w:val="none" w:sz="0" w:space="0" w:color="auto"/>
                <w:bottom w:val="none" w:sz="0" w:space="0" w:color="auto"/>
                <w:right w:val="none" w:sz="0" w:space="0" w:color="auto"/>
              </w:divBdr>
            </w:div>
            <w:div w:id="20561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8514">
      <w:bodyDiv w:val="1"/>
      <w:marLeft w:val="0"/>
      <w:marRight w:val="0"/>
      <w:marTop w:val="0"/>
      <w:marBottom w:val="0"/>
      <w:divBdr>
        <w:top w:val="none" w:sz="0" w:space="0" w:color="auto"/>
        <w:left w:val="none" w:sz="0" w:space="0" w:color="auto"/>
        <w:bottom w:val="none" w:sz="0" w:space="0" w:color="auto"/>
        <w:right w:val="none" w:sz="0" w:space="0" w:color="auto"/>
      </w:divBdr>
      <w:divsChild>
        <w:div w:id="277954069">
          <w:marLeft w:val="0"/>
          <w:marRight w:val="0"/>
          <w:marTop w:val="0"/>
          <w:marBottom w:val="0"/>
          <w:divBdr>
            <w:top w:val="none" w:sz="0" w:space="0" w:color="auto"/>
            <w:left w:val="none" w:sz="0" w:space="0" w:color="auto"/>
            <w:bottom w:val="none" w:sz="0" w:space="0" w:color="auto"/>
            <w:right w:val="none" w:sz="0" w:space="0" w:color="auto"/>
          </w:divBdr>
        </w:div>
        <w:div w:id="379405224">
          <w:marLeft w:val="0"/>
          <w:marRight w:val="0"/>
          <w:marTop w:val="0"/>
          <w:marBottom w:val="0"/>
          <w:divBdr>
            <w:top w:val="none" w:sz="0" w:space="0" w:color="auto"/>
            <w:left w:val="none" w:sz="0" w:space="0" w:color="auto"/>
            <w:bottom w:val="none" w:sz="0" w:space="0" w:color="auto"/>
            <w:right w:val="none" w:sz="0" w:space="0" w:color="auto"/>
          </w:divBdr>
        </w:div>
        <w:div w:id="389882722">
          <w:marLeft w:val="0"/>
          <w:marRight w:val="0"/>
          <w:marTop w:val="0"/>
          <w:marBottom w:val="0"/>
          <w:divBdr>
            <w:top w:val="none" w:sz="0" w:space="0" w:color="auto"/>
            <w:left w:val="none" w:sz="0" w:space="0" w:color="auto"/>
            <w:bottom w:val="none" w:sz="0" w:space="0" w:color="auto"/>
            <w:right w:val="none" w:sz="0" w:space="0" w:color="auto"/>
          </w:divBdr>
        </w:div>
        <w:div w:id="630064349">
          <w:marLeft w:val="0"/>
          <w:marRight w:val="0"/>
          <w:marTop w:val="0"/>
          <w:marBottom w:val="0"/>
          <w:divBdr>
            <w:top w:val="none" w:sz="0" w:space="0" w:color="auto"/>
            <w:left w:val="none" w:sz="0" w:space="0" w:color="auto"/>
            <w:bottom w:val="none" w:sz="0" w:space="0" w:color="auto"/>
            <w:right w:val="none" w:sz="0" w:space="0" w:color="auto"/>
          </w:divBdr>
        </w:div>
        <w:div w:id="1081100348">
          <w:marLeft w:val="0"/>
          <w:marRight w:val="0"/>
          <w:marTop w:val="0"/>
          <w:marBottom w:val="0"/>
          <w:divBdr>
            <w:top w:val="none" w:sz="0" w:space="0" w:color="auto"/>
            <w:left w:val="none" w:sz="0" w:space="0" w:color="auto"/>
            <w:bottom w:val="none" w:sz="0" w:space="0" w:color="auto"/>
            <w:right w:val="none" w:sz="0" w:space="0" w:color="auto"/>
          </w:divBdr>
        </w:div>
        <w:div w:id="1121730244">
          <w:marLeft w:val="0"/>
          <w:marRight w:val="0"/>
          <w:marTop w:val="0"/>
          <w:marBottom w:val="0"/>
          <w:divBdr>
            <w:top w:val="none" w:sz="0" w:space="0" w:color="auto"/>
            <w:left w:val="none" w:sz="0" w:space="0" w:color="auto"/>
            <w:bottom w:val="none" w:sz="0" w:space="0" w:color="auto"/>
            <w:right w:val="none" w:sz="0" w:space="0" w:color="auto"/>
          </w:divBdr>
        </w:div>
        <w:div w:id="1140458271">
          <w:marLeft w:val="0"/>
          <w:marRight w:val="0"/>
          <w:marTop w:val="0"/>
          <w:marBottom w:val="0"/>
          <w:divBdr>
            <w:top w:val="none" w:sz="0" w:space="0" w:color="auto"/>
            <w:left w:val="none" w:sz="0" w:space="0" w:color="auto"/>
            <w:bottom w:val="none" w:sz="0" w:space="0" w:color="auto"/>
            <w:right w:val="none" w:sz="0" w:space="0" w:color="auto"/>
          </w:divBdr>
        </w:div>
        <w:div w:id="1357655317">
          <w:marLeft w:val="0"/>
          <w:marRight w:val="0"/>
          <w:marTop w:val="0"/>
          <w:marBottom w:val="0"/>
          <w:divBdr>
            <w:top w:val="none" w:sz="0" w:space="0" w:color="auto"/>
            <w:left w:val="none" w:sz="0" w:space="0" w:color="auto"/>
            <w:bottom w:val="none" w:sz="0" w:space="0" w:color="auto"/>
            <w:right w:val="none" w:sz="0" w:space="0" w:color="auto"/>
          </w:divBdr>
        </w:div>
        <w:div w:id="1584290253">
          <w:marLeft w:val="0"/>
          <w:marRight w:val="0"/>
          <w:marTop w:val="0"/>
          <w:marBottom w:val="0"/>
          <w:divBdr>
            <w:top w:val="none" w:sz="0" w:space="0" w:color="auto"/>
            <w:left w:val="none" w:sz="0" w:space="0" w:color="auto"/>
            <w:bottom w:val="none" w:sz="0" w:space="0" w:color="auto"/>
            <w:right w:val="none" w:sz="0" w:space="0" w:color="auto"/>
          </w:divBdr>
        </w:div>
        <w:div w:id="1588273574">
          <w:marLeft w:val="0"/>
          <w:marRight w:val="0"/>
          <w:marTop w:val="0"/>
          <w:marBottom w:val="0"/>
          <w:divBdr>
            <w:top w:val="none" w:sz="0" w:space="0" w:color="auto"/>
            <w:left w:val="none" w:sz="0" w:space="0" w:color="auto"/>
            <w:bottom w:val="none" w:sz="0" w:space="0" w:color="auto"/>
            <w:right w:val="none" w:sz="0" w:space="0" w:color="auto"/>
          </w:divBdr>
        </w:div>
        <w:div w:id="1813790414">
          <w:marLeft w:val="0"/>
          <w:marRight w:val="0"/>
          <w:marTop w:val="0"/>
          <w:marBottom w:val="0"/>
          <w:divBdr>
            <w:top w:val="none" w:sz="0" w:space="0" w:color="auto"/>
            <w:left w:val="none" w:sz="0" w:space="0" w:color="auto"/>
            <w:bottom w:val="none" w:sz="0" w:space="0" w:color="auto"/>
            <w:right w:val="none" w:sz="0" w:space="0" w:color="auto"/>
          </w:divBdr>
        </w:div>
        <w:div w:id="2061661452">
          <w:marLeft w:val="0"/>
          <w:marRight w:val="0"/>
          <w:marTop w:val="0"/>
          <w:marBottom w:val="0"/>
          <w:divBdr>
            <w:top w:val="none" w:sz="0" w:space="0" w:color="auto"/>
            <w:left w:val="none" w:sz="0" w:space="0" w:color="auto"/>
            <w:bottom w:val="none" w:sz="0" w:space="0" w:color="auto"/>
            <w:right w:val="none" w:sz="0" w:space="0" w:color="auto"/>
          </w:divBdr>
        </w:div>
        <w:div w:id="2114473477">
          <w:marLeft w:val="0"/>
          <w:marRight w:val="0"/>
          <w:marTop w:val="0"/>
          <w:marBottom w:val="0"/>
          <w:divBdr>
            <w:top w:val="none" w:sz="0" w:space="0" w:color="auto"/>
            <w:left w:val="none" w:sz="0" w:space="0" w:color="auto"/>
            <w:bottom w:val="none" w:sz="0" w:space="0" w:color="auto"/>
            <w:right w:val="none" w:sz="0" w:space="0" w:color="auto"/>
          </w:divBdr>
        </w:div>
      </w:divsChild>
    </w:div>
    <w:div w:id="1378354163">
      <w:bodyDiv w:val="1"/>
      <w:marLeft w:val="0"/>
      <w:marRight w:val="0"/>
      <w:marTop w:val="0"/>
      <w:marBottom w:val="0"/>
      <w:divBdr>
        <w:top w:val="none" w:sz="0" w:space="0" w:color="auto"/>
        <w:left w:val="none" w:sz="0" w:space="0" w:color="auto"/>
        <w:bottom w:val="none" w:sz="0" w:space="0" w:color="auto"/>
        <w:right w:val="none" w:sz="0" w:space="0" w:color="auto"/>
      </w:divBdr>
      <w:divsChild>
        <w:div w:id="231040046">
          <w:marLeft w:val="0"/>
          <w:marRight w:val="0"/>
          <w:marTop w:val="0"/>
          <w:marBottom w:val="0"/>
          <w:divBdr>
            <w:top w:val="none" w:sz="0" w:space="0" w:color="auto"/>
            <w:left w:val="none" w:sz="0" w:space="0" w:color="auto"/>
            <w:bottom w:val="none" w:sz="0" w:space="0" w:color="auto"/>
            <w:right w:val="none" w:sz="0" w:space="0" w:color="auto"/>
          </w:divBdr>
        </w:div>
        <w:div w:id="1159494209">
          <w:marLeft w:val="0"/>
          <w:marRight w:val="0"/>
          <w:marTop w:val="0"/>
          <w:marBottom w:val="0"/>
          <w:divBdr>
            <w:top w:val="none" w:sz="0" w:space="0" w:color="auto"/>
            <w:left w:val="none" w:sz="0" w:space="0" w:color="auto"/>
            <w:bottom w:val="none" w:sz="0" w:space="0" w:color="auto"/>
            <w:right w:val="none" w:sz="0" w:space="0" w:color="auto"/>
          </w:divBdr>
        </w:div>
        <w:div w:id="1288125588">
          <w:marLeft w:val="0"/>
          <w:marRight w:val="0"/>
          <w:marTop w:val="0"/>
          <w:marBottom w:val="0"/>
          <w:divBdr>
            <w:top w:val="none" w:sz="0" w:space="0" w:color="auto"/>
            <w:left w:val="none" w:sz="0" w:space="0" w:color="auto"/>
            <w:bottom w:val="none" w:sz="0" w:space="0" w:color="auto"/>
            <w:right w:val="none" w:sz="0" w:space="0" w:color="auto"/>
          </w:divBdr>
        </w:div>
      </w:divsChild>
    </w:div>
    <w:div w:id="1398093515">
      <w:bodyDiv w:val="1"/>
      <w:marLeft w:val="0"/>
      <w:marRight w:val="0"/>
      <w:marTop w:val="0"/>
      <w:marBottom w:val="0"/>
      <w:divBdr>
        <w:top w:val="none" w:sz="0" w:space="0" w:color="auto"/>
        <w:left w:val="none" w:sz="0" w:space="0" w:color="auto"/>
        <w:bottom w:val="none" w:sz="0" w:space="0" w:color="auto"/>
        <w:right w:val="none" w:sz="0" w:space="0" w:color="auto"/>
      </w:divBdr>
      <w:divsChild>
        <w:div w:id="1257010607">
          <w:marLeft w:val="0"/>
          <w:marRight w:val="0"/>
          <w:marTop w:val="0"/>
          <w:marBottom w:val="0"/>
          <w:divBdr>
            <w:top w:val="none" w:sz="0" w:space="0" w:color="auto"/>
            <w:left w:val="none" w:sz="0" w:space="0" w:color="auto"/>
            <w:bottom w:val="none" w:sz="0" w:space="0" w:color="auto"/>
            <w:right w:val="none" w:sz="0" w:space="0" w:color="auto"/>
          </w:divBdr>
        </w:div>
        <w:div w:id="1919948081">
          <w:marLeft w:val="0"/>
          <w:marRight w:val="0"/>
          <w:marTop w:val="0"/>
          <w:marBottom w:val="0"/>
          <w:divBdr>
            <w:top w:val="none" w:sz="0" w:space="0" w:color="auto"/>
            <w:left w:val="none" w:sz="0" w:space="0" w:color="auto"/>
            <w:bottom w:val="none" w:sz="0" w:space="0" w:color="auto"/>
            <w:right w:val="none" w:sz="0" w:space="0" w:color="auto"/>
          </w:divBdr>
        </w:div>
      </w:divsChild>
    </w:div>
    <w:div w:id="1424570153">
      <w:bodyDiv w:val="1"/>
      <w:marLeft w:val="0"/>
      <w:marRight w:val="0"/>
      <w:marTop w:val="0"/>
      <w:marBottom w:val="0"/>
      <w:divBdr>
        <w:top w:val="none" w:sz="0" w:space="0" w:color="auto"/>
        <w:left w:val="none" w:sz="0" w:space="0" w:color="auto"/>
        <w:bottom w:val="none" w:sz="0" w:space="0" w:color="auto"/>
        <w:right w:val="none" w:sz="0" w:space="0" w:color="auto"/>
      </w:divBdr>
    </w:div>
    <w:div w:id="1428312642">
      <w:bodyDiv w:val="1"/>
      <w:marLeft w:val="0"/>
      <w:marRight w:val="0"/>
      <w:marTop w:val="0"/>
      <w:marBottom w:val="0"/>
      <w:divBdr>
        <w:top w:val="none" w:sz="0" w:space="0" w:color="auto"/>
        <w:left w:val="none" w:sz="0" w:space="0" w:color="auto"/>
        <w:bottom w:val="none" w:sz="0" w:space="0" w:color="auto"/>
        <w:right w:val="none" w:sz="0" w:space="0" w:color="auto"/>
      </w:divBdr>
      <w:divsChild>
        <w:div w:id="797066360">
          <w:marLeft w:val="0"/>
          <w:marRight w:val="0"/>
          <w:marTop w:val="0"/>
          <w:marBottom w:val="0"/>
          <w:divBdr>
            <w:top w:val="none" w:sz="0" w:space="0" w:color="auto"/>
            <w:left w:val="none" w:sz="0" w:space="0" w:color="auto"/>
            <w:bottom w:val="none" w:sz="0" w:space="0" w:color="auto"/>
            <w:right w:val="none" w:sz="0" w:space="0" w:color="auto"/>
          </w:divBdr>
        </w:div>
        <w:div w:id="1684241997">
          <w:marLeft w:val="0"/>
          <w:marRight w:val="0"/>
          <w:marTop w:val="0"/>
          <w:marBottom w:val="0"/>
          <w:divBdr>
            <w:top w:val="none" w:sz="0" w:space="0" w:color="auto"/>
            <w:left w:val="none" w:sz="0" w:space="0" w:color="auto"/>
            <w:bottom w:val="none" w:sz="0" w:space="0" w:color="auto"/>
            <w:right w:val="none" w:sz="0" w:space="0" w:color="auto"/>
          </w:divBdr>
        </w:div>
        <w:div w:id="1874996000">
          <w:marLeft w:val="0"/>
          <w:marRight w:val="0"/>
          <w:marTop w:val="0"/>
          <w:marBottom w:val="0"/>
          <w:divBdr>
            <w:top w:val="none" w:sz="0" w:space="0" w:color="auto"/>
            <w:left w:val="none" w:sz="0" w:space="0" w:color="auto"/>
            <w:bottom w:val="none" w:sz="0" w:space="0" w:color="auto"/>
            <w:right w:val="none" w:sz="0" w:space="0" w:color="auto"/>
          </w:divBdr>
        </w:div>
        <w:div w:id="1993754765">
          <w:marLeft w:val="0"/>
          <w:marRight w:val="0"/>
          <w:marTop w:val="0"/>
          <w:marBottom w:val="0"/>
          <w:divBdr>
            <w:top w:val="none" w:sz="0" w:space="0" w:color="auto"/>
            <w:left w:val="none" w:sz="0" w:space="0" w:color="auto"/>
            <w:bottom w:val="none" w:sz="0" w:space="0" w:color="auto"/>
            <w:right w:val="none" w:sz="0" w:space="0" w:color="auto"/>
          </w:divBdr>
        </w:div>
        <w:div w:id="2094736631">
          <w:marLeft w:val="0"/>
          <w:marRight w:val="0"/>
          <w:marTop w:val="0"/>
          <w:marBottom w:val="0"/>
          <w:divBdr>
            <w:top w:val="none" w:sz="0" w:space="0" w:color="auto"/>
            <w:left w:val="none" w:sz="0" w:space="0" w:color="auto"/>
            <w:bottom w:val="none" w:sz="0" w:space="0" w:color="auto"/>
            <w:right w:val="none" w:sz="0" w:space="0" w:color="auto"/>
          </w:divBdr>
        </w:div>
      </w:divsChild>
    </w:div>
    <w:div w:id="1442796710">
      <w:bodyDiv w:val="1"/>
      <w:marLeft w:val="0"/>
      <w:marRight w:val="0"/>
      <w:marTop w:val="0"/>
      <w:marBottom w:val="0"/>
      <w:divBdr>
        <w:top w:val="none" w:sz="0" w:space="0" w:color="auto"/>
        <w:left w:val="none" w:sz="0" w:space="0" w:color="auto"/>
        <w:bottom w:val="none" w:sz="0" w:space="0" w:color="auto"/>
        <w:right w:val="none" w:sz="0" w:space="0" w:color="auto"/>
      </w:divBdr>
    </w:div>
    <w:div w:id="1444888158">
      <w:bodyDiv w:val="1"/>
      <w:marLeft w:val="0"/>
      <w:marRight w:val="0"/>
      <w:marTop w:val="0"/>
      <w:marBottom w:val="0"/>
      <w:divBdr>
        <w:top w:val="none" w:sz="0" w:space="0" w:color="auto"/>
        <w:left w:val="none" w:sz="0" w:space="0" w:color="auto"/>
        <w:bottom w:val="none" w:sz="0" w:space="0" w:color="auto"/>
        <w:right w:val="none" w:sz="0" w:space="0" w:color="auto"/>
      </w:divBdr>
      <w:divsChild>
        <w:div w:id="675229471">
          <w:marLeft w:val="0"/>
          <w:marRight w:val="0"/>
          <w:marTop w:val="0"/>
          <w:marBottom w:val="0"/>
          <w:divBdr>
            <w:top w:val="none" w:sz="0" w:space="0" w:color="auto"/>
            <w:left w:val="none" w:sz="0" w:space="0" w:color="auto"/>
            <w:bottom w:val="none" w:sz="0" w:space="0" w:color="auto"/>
            <w:right w:val="none" w:sz="0" w:space="0" w:color="auto"/>
          </w:divBdr>
        </w:div>
        <w:div w:id="1420254807">
          <w:marLeft w:val="0"/>
          <w:marRight w:val="0"/>
          <w:marTop w:val="0"/>
          <w:marBottom w:val="0"/>
          <w:divBdr>
            <w:top w:val="none" w:sz="0" w:space="0" w:color="auto"/>
            <w:left w:val="none" w:sz="0" w:space="0" w:color="auto"/>
            <w:bottom w:val="none" w:sz="0" w:space="0" w:color="auto"/>
            <w:right w:val="none" w:sz="0" w:space="0" w:color="auto"/>
          </w:divBdr>
        </w:div>
        <w:div w:id="1918981594">
          <w:marLeft w:val="0"/>
          <w:marRight w:val="0"/>
          <w:marTop w:val="0"/>
          <w:marBottom w:val="0"/>
          <w:divBdr>
            <w:top w:val="none" w:sz="0" w:space="0" w:color="auto"/>
            <w:left w:val="none" w:sz="0" w:space="0" w:color="auto"/>
            <w:bottom w:val="none" w:sz="0" w:space="0" w:color="auto"/>
            <w:right w:val="none" w:sz="0" w:space="0" w:color="auto"/>
          </w:divBdr>
        </w:div>
      </w:divsChild>
    </w:div>
    <w:div w:id="1445887373">
      <w:bodyDiv w:val="1"/>
      <w:marLeft w:val="0"/>
      <w:marRight w:val="0"/>
      <w:marTop w:val="0"/>
      <w:marBottom w:val="0"/>
      <w:divBdr>
        <w:top w:val="none" w:sz="0" w:space="0" w:color="auto"/>
        <w:left w:val="none" w:sz="0" w:space="0" w:color="auto"/>
        <w:bottom w:val="none" w:sz="0" w:space="0" w:color="auto"/>
        <w:right w:val="none" w:sz="0" w:space="0" w:color="auto"/>
      </w:divBdr>
    </w:div>
    <w:div w:id="1449662826">
      <w:bodyDiv w:val="1"/>
      <w:marLeft w:val="0"/>
      <w:marRight w:val="0"/>
      <w:marTop w:val="0"/>
      <w:marBottom w:val="0"/>
      <w:divBdr>
        <w:top w:val="none" w:sz="0" w:space="0" w:color="auto"/>
        <w:left w:val="none" w:sz="0" w:space="0" w:color="auto"/>
        <w:bottom w:val="none" w:sz="0" w:space="0" w:color="auto"/>
        <w:right w:val="none" w:sz="0" w:space="0" w:color="auto"/>
      </w:divBdr>
    </w:div>
    <w:div w:id="1452358963">
      <w:bodyDiv w:val="1"/>
      <w:marLeft w:val="0"/>
      <w:marRight w:val="0"/>
      <w:marTop w:val="0"/>
      <w:marBottom w:val="0"/>
      <w:divBdr>
        <w:top w:val="none" w:sz="0" w:space="0" w:color="auto"/>
        <w:left w:val="none" w:sz="0" w:space="0" w:color="auto"/>
        <w:bottom w:val="none" w:sz="0" w:space="0" w:color="auto"/>
        <w:right w:val="none" w:sz="0" w:space="0" w:color="auto"/>
      </w:divBdr>
      <w:divsChild>
        <w:div w:id="105151873">
          <w:marLeft w:val="274"/>
          <w:marRight w:val="0"/>
          <w:marTop w:val="0"/>
          <w:marBottom w:val="0"/>
          <w:divBdr>
            <w:top w:val="none" w:sz="0" w:space="0" w:color="auto"/>
            <w:left w:val="none" w:sz="0" w:space="0" w:color="auto"/>
            <w:bottom w:val="none" w:sz="0" w:space="0" w:color="auto"/>
            <w:right w:val="none" w:sz="0" w:space="0" w:color="auto"/>
          </w:divBdr>
        </w:div>
        <w:div w:id="136193929">
          <w:marLeft w:val="274"/>
          <w:marRight w:val="0"/>
          <w:marTop w:val="0"/>
          <w:marBottom w:val="0"/>
          <w:divBdr>
            <w:top w:val="none" w:sz="0" w:space="0" w:color="auto"/>
            <w:left w:val="none" w:sz="0" w:space="0" w:color="auto"/>
            <w:bottom w:val="none" w:sz="0" w:space="0" w:color="auto"/>
            <w:right w:val="none" w:sz="0" w:space="0" w:color="auto"/>
          </w:divBdr>
        </w:div>
        <w:div w:id="150604981">
          <w:marLeft w:val="274"/>
          <w:marRight w:val="0"/>
          <w:marTop w:val="0"/>
          <w:marBottom w:val="0"/>
          <w:divBdr>
            <w:top w:val="none" w:sz="0" w:space="0" w:color="auto"/>
            <w:left w:val="none" w:sz="0" w:space="0" w:color="auto"/>
            <w:bottom w:val="none" w:sz="0" w:space="0" w:color="auto"/>
            <w:right w:val="none" w:sz="0" w:space="0" w:color="auto"/>
          </w:divBdr>
        </w:div>
        <w:div w:id="190458716">
          <w:marLeft w:val="274"/>
          <w:marRight w:val="0"/>
          <w:marTop w:val="0"/>
          <w:marBottom w:val="0"/>
          <w:divBdr>
            <w:top w:val="none" w:sz="0" w:space="0" w:color="auto"/>
            <w:left w:val="none" w:sz="0" w:space="0" w:color="auto"/>
            <w:bottom w:val="none" w:sz="0" w:space="0" w:color="auto"/>
            <w:right w:val="none" w:sz="0" w:space="0" w:color="auto"/>
          </w:divBdr>
        </w:div>
        <w:div w:id="293753791">
          <w:marLeft w:val="274"/>
          <w:marRight w:val="0"/>
          <w:marTop w:val="0"/>
          <w:marBottom w:val="0"/>
          <w:divBdr>
            <w:top w:val="none" w:sz="0" w:space="0" w:color="auto"/>
            <w:left w:val="none" w:sz="0" w:space="0" w:color="auto"/>
            <w:bottom w:val="none" w:sz="0" w:space="0" w:color="auto"/>
            <w:right w:val="none" w:sz="0" w:space="0" w:color="auto"/>
          </w:divBdr>
        </w:div>
        <w:div w:id="489979886">
          <w:marLeft w:val="274"/>
          <w:marRight w:val="0"/>
          <w:marTop w:val="0"/>
          <w:marBottom w:val="0"/>
          <w:divBdr>
            <w:top w:val="none" w:sz="0" w:space="0" w:color="auto"/>
            <w:left w:val="none" w:sz="0" w:space="0" w:color="auto"/>
            <w:bottom w:val="none" w:sz="0" w:space="0" w:color="auto"/>
            <w:right w:val="none" w:sz="0" w:space="0" w:color="auto"/>
          </w:divBdr>
        </w:div>
        <w:div w:id="536351467">
          <w:marLeft w:val="274"/>
          <w:marRight w:val="0"/>
          <w:marTop w:val="0"/>
          <w:marBottom w:val="0"/>
          <w:divBdr>
            <w:top w:val="none" w:sz="0" w:space="0" w:color="auto"/>
            <w:left w:val="none" w:sz="0" w:space="0" w:color="auto"/>
            <w:bottom w:val="none" w:sz="0" w:space="0" w:color="auto"/>
            <w:right w:val="none" w:sz="0" w:space="0" w:color="auto"/>
          </w:divBdr>
        </w:div>
        <w:div w:id="1019547872">
          <w:marLeft w:val="274"/>
          <w:marRight w:val="0"/>
          <w:marTop w:val="0"/>
          <w:marBottom w:val="0"/>
          <w:divBdr>
            <w:top w:val="none" w:sz="0" w:space="0" w:color="auto"/>
            <w:left w:val="none" w:sz="0" w:space="0" w:color="auto"/>
            <w:bottom w:val="none" w:sz="0" w:space="0" w:color="auto"/>
            <w:right w:val="none" w:sz="0" w:space="0" w:color="auto"/>
          </w:divBdr>
        </w:div>
        <w:div w:id="1896965098">
          <w:marLeft w:val="274"/>
          <w:marRight w:val="0"/>
          <w:marTop w:val="0"/>
          <w:marBottom w:val="0"/>
          <w:divBdr>
            <w:top w:val="none" w:sz="0" w:space="0" w:color="auto"/>
            <w:left w:val="none" w:sz="0" w:space="0" w:color="auto"/>
            <w:bottom w:val="none" w:sz="0" w:space="0" w:color="auto"/>
            <w:right w:val="none" w:sz="0" w:space="0" w:color="auto"/>
          </w:divBdr>
        </w:div>
        <w:div w:id="2041588100">
          <w:marLeft w:val="274"/>
          <w:marRight w:val="0"/>
          <w:marTop w:val="0"/>
          <w:marBottom w:val="0"/>
          <w:divBdr>
            <w:top w:val="none" w:sz="0" w:space="0" w:color="auto"/>
            <w:left w:val="none" w:sz="0" w:space="0" w:color="auto"/>
            <w:bottom w:val="none" w:sz="0" w:space="0" w:color="auto"/>
            <w:right w:val="none" w:sz="0" w:space="0" w:color="auto"/>
          </w:divBdr>
        </w:div>
        <w:div w:id="2111318475">
          <w:marLeft w:val="274"/>
          <w:marRight w:val="0"/>
          <w:marTop w:val="0"/>
          <w:marBottom w:val="0"/>
          <w:divBdr>
            <w:top w:val="none" w:sz="0" w:space="0" w:color="auto"/>
            <w:left w:val="none" w:sz="0" w:space="0" w:color="auto"/>
            <w:bottom w:val="none" w:sz="0" w:space="0" w:color="auto"/>
            <w:right w:val="none" w:sz="0" w:space="0" w:color="auto"/>
          </w:divBdr>
        </w:div>
      </w:divsChild>
    </w:div>
    <w:div w:id="1472165459">
      <w:bodyDiv w:val="1"/>
      <w:marLeft w:val="0"/>
      <w:marRight w:val="0"/>
      <w:marTop w:val="0"/>
      <w:marBottom w:val="0"/>
      <w:divBdr>
        <w:top w:val="none" w:sz="0" w:space="0" w:color="auto"/>
        <w:left w:val="none" w:sz="0" w:space="0" w:color="auto"/>
        <w:bottom w:val="none" w:sz="0" w:space="0" w:color="auto"/>
        <w:right w:val="none" w:sz="0" w:space="0" w:color="auto"/>
      </w:divBdr>
      <w:divsChild>
        <w:div w:id="362679479">
          <w:marLeft w:val="0"/>
          <w:marRight w:val="0"/>
          <w:marTop w:val="0"/>
          <w:marBottom w:val="0"/>
          <w:divBdr>
            <w:top w:val="none" w:sz="0" w:space="0" w:color="auto"/>
            <w:left w:val="none" w:sz="0" w:space="0" w:color="auto"/>
            <w:bottom w:val="none" w:sz="0" w:space="0" w:color="auto"/>
            <w:right w:val="none" w:sz="0" w:space="0" w:color="auto"/>
          </w:divBdr>
        </w:div>
        <w:div w:id="574247956">
          <w:marLeft w:val="0"/>
          <w:marRight w:val="0"/>
          <w:marTop w:val="0"/>
          <w:marBottom w:val="0"/>
          <w:divBdr>
            <w:top w:val="none" w:sz="0" w:space="0" w:color="auto"/>
            <w:left w:val="none" w:sz="0" w:space="0" w:color="auto"/>
            <w:bottom w:val="none" w:sz="0" w:space="0" w:color="auto"/>
            <w:right w:val="none" w:sz="0" w:space="0" w:color="auto"/>
          </w:divBdr>
        </w:div>
      </w:divsChild>
    </w:div>
    <w:div w:id="1496677762">
      <w:bodyDiv w:val="1"/>
      <w:marLeft w:val="0"/>
      <w:marRight w:val="0"/>
      <w:marTop w:val="0"/>
      <w:marBottom w:val="0"/>
      <w:divBdr>
        <w:top w:val="none" w:sz="0" w:space="0" w:color="auto"/>
        <w:left w:val="none" w:sz="0" w:space="0" w:color="auto"/>
        <w:bottom w:val="none" w:sz="0" w:space="0" w:color="auto"/>
        <w:right w:val="none" w:sz="0" w:space="0" w:color="auto"/>
      </w:divBdr>
    </w:div>
    <w:div w:id="1505974511">
      <w:bodyDiv w:val="1"/>
      <w:marLeft w:val="0"/>
      <w:marRight w:val="0"/>
      <w:marTop w:val="0"/>
      <w:marBottom w:val="0"/>
      <w:divBdr>
        <w:top w:val="none" w:sz="0" w:space="0" w:color="auto"/>
        <w:left w:val="none" w:sz="0" w:space="0" w:color="auto"/>
        <w:bottom w:val="none" w:sz="0" w:space="0" w:color="auto"/>
        <w:right w:val="none" w:sz="0" w:space="0" w:color="auto"/>
      </w:divBdr>
      <w:divsChild>
        <w:div w:id="419451205">
          <w:marLeft w:val="0"/>
          <w:marRight w:val="0"/>
          <w:marTop w:val="0"/>
          <w:marBottom w:val="0"/>
          <w:divBdr>
            <w:top w:val="none" w:sz="0" w:space="0" w:color="auto"/>
            <w:left w:val="none" w:sz="0" w:space="0" w:color="auto"/>
            <w:bottom w:val="none" w:sz="0" w:space="0" w:color="auto"/>
            <w:right w:val="none" w:sz="0" w:space="0" w:color="auto"/>
          </w:divBdr>
        </w:div>
        <w:div w:id="511915956">
          <w:marLeft w:val="0"/>
          <w:marRight w:val="0"/>
          <w:marTop w:val="0"/>
          <w:marBottom w:val="0"/>
          <w:divBdr>
            <w:top w:val="none" w:sz="0" w:space="0" w:color="auto"/>
            <w:left w:val="none" w:sz="0" w:space="0" w:color="auto"/>
            <w:bottom w:val="none" w:sz="0" w:space="0" w:color="auto"/>
            <w:right w:val="none" w:sz="0" w:space="0" w:color="auto"/>
          </w:divBdr>
        </w:div>
        <w:div w:id="1906446855">
          <w:marLeft w:val="0"/>
          <w:marRight w:val="0"/>
          <w:marTop w:val="0"/>
          <w:marBottom w:val="0"/>
          <w:divBdr>
            <w:top w:val="none" w:sz="0" w:space="0" w:color="auto"/>
            <w:left w:val="none" w:sz="0" w:space="0" w:color="auto"/>
            <w:bottom w:val="none" w:sz="0" w:space="0" w:color="auto"/>
            <w:right w:val="none" w:sz="0" w:space="0" w:color="auto"/>
          </w:divBdr>
        </w:div>
      </w:divsChild>
    </w:div>
    <w:div w:id="1509902557">
      <w:bodyDiv w:val="1"/>
      <w:marLeft w:val="0"/>
      <w:marRight w:val="0"/>
      <w:marTop w:val="0"/>
      <w:marBottom w:val="0"/>
      <w:divBdr>
        <w:top w:val="none" w:sz="0" w:space="0" w:color="auto"/>
        <w:left w:val="none" w:sz="0" w:space="0" w:color="auto"/>
        <w:bottom w:val="none" w:sz="0" w:space="0" w:color="auto"/>
        <w:right w:val="none" w:sz="0" w:space="0" w:color="auto"/>
      </w:divBdr>
    </w:div>
    <w:div w:id="1521888866">
      <w:bodyDiv w:val="1"/>
      <w:marLeft w:val="0"/>
      <w:marRight w:val="0"/>
      <w:marTop w:val="0"/>
      <w:marBottom w:val="0"/>
      <w:divBdr>
        <w:top w:val="none" w:sz="0" w:space="0" w:color="auto"/>
        <w:left w:val="none" w:sz="0" w:space="0" w:color="auto"/>
        <w:bottom w:val="none" w:sz="0" w:space="0" w:color="auto"/>
        <w:right w:val="none" w:sz="0" w:space="0" w:color="auto"/>
      </w:divBdr>
    </w:div>
    <w:div w:id="1526600972">
      <w:bodyDiv w:val="1"/>
      <w:marLeft w:val="0"/>
      <w:marRight w:val="0"/>
      <w:marTop w:val="0"/>
      <w:marBottom w:val="0"/>
      <w:divBdr>
        <w:top w:val="none" w:sz="0" w:space="0" w:color="auto"/>
        <w:left w:val="none" w:sz="0" w:space="0" w:color="auto"/>
        <w:bottom w:val="none" w:sz="0" w:space="0" w:color="auto"/>
        <w:right w:val="none" w:sz="0" w:space="0" w:color="auto"/>
      </w:divBdr>
    </w:div>
    <w:div w:id="1528786723">
      <w:bodyDiv w:val="1"/>
      <w:marLeft w:val="0"/>
      <w:marRight w:val="0"/>
      <w:marTop w:val="0"/>
      <w:marBottom w:val="0"/>
      <w:divBdr>
        <w:top w:val="none" w:sz="0" w:space="0" w:color="auto"/>
        <w:left w:val="none" w:sz="0" w:space="0" w:color="auto"/>
        <w:bottom w:val="none" w:sz="0" w:space="0" w:color="auto"/>
        <w:right w:val="none" w:sz="0" w:space="0" w:color="auto"/>
      </w:divBdr>
    </w:div>
    <w:div w:id="1540120488">
      <w:bodyDiv w:val="1"/>
      <w:marLeft w:val="0"/>
      <w:marRight w:val="0"/>
      <w:marTop w:val="0"/>
      <w:marBottom w:val="0"/>
      <w:divBdr>
        <w:top w:val="none" w:sz="0" w:space="0" w:color="auto"/>
        <w:left w:val="none" w:sz="0" w:space="0" w:color="auto"/>
        <w:bottom w:val="none" w:sz="0" w:space="0" w:color="auto"/>
        <w:right w:val="none" w:sz="0" w:space="0" w:color="auto"/>
      </w:divBdr>
    </w:div>
    <w:div w:id="1540581314">
      <w:bodyDiv w:val="1"/>
      <w:marLeft w:val="0"/>
      <w:marRight w:val="0"/>
      <w:marTop w:val="0"/>
      <w:marBottom w:val="0"/>
      <w:divBdr>
        <w:top w:val="none" w:sz="0" w:space="0" w:color="auto"/>
        <w:left w:val="none" w:sz="0" w:space="0" w:color="auto"/>
        <w:bottom w:val="none" w:sz="0" w:space="0" w:color="auto"/>
        <w:right w:val="none" w:sz="0" w:space="0" w:color="auto"/>
      </w:divBdr>
    </w:div>
    <w:div w:id="1563102953">
      <w:bodyDiv w:val="1"/>
      <w:marLeft w:val="0"/>
      <w:marRight w:val="0"/>
      <w:marTop w:val="0"/>
      <w:marBottom w:val="0"/>
      <w:divBdr>
        <w:top w:val="none" w:sz="0" w:space="0" w:color="auto"/>
        <w:left w:val="none" w:sz="0" w:space="0" w:color="auto"/>
        <w:bottom w:val="none" w:sz="0" w:space="0" w:color="auto"/>
        <w:right w:val="none" w:sz="0" w:space="0" w:color="auto"/>
      </w:divBdr>
    </w:div>
    <w:div w:id="1568690106">
      <w:bodyDiv w:val="1"/>
      <w:marLeft w:val="0"/>
      <w:marRight w:val="0"/>
      <w:marTop w:val="0"/>
      <w:marBottom w:val="0"/>
      <w:divBdr>
        <w:top w:val="none" w:sz="0" w:space="0" w:color="auto"/>
        <w:left w:val="none" w:sz="0" w:space="0" w:color="auto"/>
        <w:bottom w:val="none" w:sz="0" w:space="0" w:color="auto"/>
        <w:right w:val="none" w:sz="0" w:space="0" w:color="auto"/>
      </w:divBdr>
    </w:div>
    <w:div w:id="1568997516">
      <w:bodyDiv w:val="1"/>
      <w:marLeft w:val="0"/>
      <w:marRight w:val="0"/>
      <w:marTop w:val="0"/>
      <w:marBottom w:val="0"/>
      <w:divBdr>
        <w:top w:val="none" w:sz="0" w:space="0" w:color="auto"/>
        <w:left w:val="none" w:sz="0" w:space="0" w:color="auto"/>
        <w:bottom w:val="none" w:sz="0" w:space="0" w:color="auto"/>
        <w:right w:val="none" w:sz="0" w:space="0" w:color="auto"/>
      </w:divBdr>
    </w:div>
    <w:div w:id="1575583399">
      <w:bodyDiv w:val="1"/>
      <w:marLeft w:val="0"/>
      <w:marRight w:val="0"/>
      <w:marTop w:val="0"/>
      <w:marBottom w:val="0"/>
      <w:divBdr>
        <w:top w:val="none" w:sz="0" w:space="0" w:color="auto"/>
        <w:left w:val="none" w:sz="0" w:space="0" w:color="auto"/>
        <w:bottom w:val="none" w:sz="0" w:space="0" w:color="auto"/>
        <w:right w:val="none" w:sz="0" w:space="0" w:color="auto"/>
      </w:divBdr>
      <w:divsChild>
        <w:div w:id="222063826">
          <w:marLeft w:val="0"/>
          <w:marRight w:val="0"/>
          <w:marTop w:val="0"/>
          <w:marBottom w:val="0"/>
          <w:divBdr>
            <w:top w:val="none" w:sz="0" w:space="0" w:color="auto"/>
            <w:left w:val="none" w:sz="0" w:space="0" w:color="auto"/>
            <w:bottom w:val="none" w:sz="0" w:space="0" w:color="auto"/>
            <w:right w:val="none" w:sz="0" w:space="0" w:color="auto"/>
          </w:divBdr>
          <w:divsChild>
            <w:div w:id="1694259253">
              <w:marLeft w:val="0"/>
              <w:marRight w:val="0"/>
              <w:marTop w:val="0"/>
              <w:marBottom w:val="0"/>
              <w:divBdr>
                <w:top w:val="none" w:sz="0" w:space="0" w:color="auto"/>
                <w:left w:val="none" w:sz="0" w:space="0" w:color="auto"/>
                <w:bottom w:val="none" w:sz="0" w:space="0" w:color="auto"/>
                <w:right w:val="none" w:sz="0" w:space="0" w:color="auto"/>
              </w:divBdr>
              <w:divsChild>
                <w:div w:id="338434057">
                  <w:marLeft w:val="0"/>
                  <w:marRight w:val="0"/>
                  <w:marTop w:val="0"/>
                  <w:marBottom w:val="0"/>
                  <w:divBdr>
                    <w:top w:val="none" w:sz="0" w:space="0" w:color="auto"/>
                    <w:left w:val="none" w:sz="0" w:space="0" w:color="auto"/>
                    <w:bottom w:val="none" w:sz="0" w:space="0" w:color="auto"/>
                    <w:right w:val="none" w:sz="0" w:space="0" w:color="auto"/>
                  </w:divBdr>
                </w:div>
                <w:div w:id="482814901">
                  <w:marLeft w:val="0"/>
                  <w:marRight w:val="0"/>
                  <w:marTop w:val="0"/>
                  <w:marBottom w:val="0"/>
                  <w:divBdr>
                    <w:top w:val="none" w:sz="0" w:space="0" w:color="auto"/>
                    <w:left w:val="none" w:sz="0" w:space="0" w:color="auto"/>
                    <w:bottom w:val="none" w:sz="0" w:space="0" w:color="auto"/>
                    <w:right w:val="none" w:sz="0" w:space="0" w:color="auto"/>
                  </w:divBdr>
                </w:div>
                <w:div w:id="519315665">
                  <w:marLeft w:val="0"/>
                  <w:marRight w:val="0"/>
                  <w:marTop w:val="0"/>
                  <w:marBottom w:val="0"/>
                  <w:divBdr>
                    <w:top w:val="none" w:sz="0" w:space="0" w:color="auto"/>
                    <w:left w:val="none" w:sz="0" w:space="0" w:color="auto"/>
                    <w:bottom w:val="none" w:sz="0" w:space="0" w:color="auto"/>
                    <w:right w:val="none" w:sz="0" w:space="0" w:color="auto"/>
                  </w:divBdr>
                </w:div>
                <w:div w:id="1376075416">
                  <w:marLeft w:val="0"/>
                  <w:marRight w:val="0"/>
                  <w:marTop w:val="0"/>
                  <w:marBottom w:val="0"/>
                  <w:divBdr>
                    <w:top w:val="none" w:sz="0" w:space="0" w:color="auto"/>
                    <w:left w:val="none" w:sz="0" w:space="0" w:color="auto"/>
                    <w:bottom w:val="none" w:sz="0" w:space="0" w:color="auto"/>
                    <w:right w:val="none" w:sz="0" w:space="0" w:color="auto"/>
                  </w:divBdr>
                </w:div>
                <w:div w:id="1520847843">
                  <w:marLeft w:val="0"/>
                  <w:marRight w:val="0"/>
                  <w:marTop w:val="0"/>
                  <w:marBottom w:val="0"/>
                  <w:divBdr>
                    <w:top w:val="none" w:sz="0" w:space="0" w:color="auto"/>
                    <w:left w:val="none" w:sz="0" w:space="0" w:color="auto"/>
                    <w:bottom w:val="none" w:sz="0" w:space="0" w:color="auto"/>
                    <w:right w:val="none" w:sz="0" w:space="0" w:color="auto"/>
                  </w:divBdr>
                </w:div>
                <w:div w:id="18644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50330">
          <w:marLeft w:val="0"/>
          <w:marRight w:val="0"/>
          <w:marTop w:val="0"/>
          <w:marBottom w:val="0"/>
          <w:divBdr>
            <w:top w:val="none" w:sz="0" w:space="0" w:color="auto"/>
            <w:left w:val="none" w:sz="0" w:space="0" w:color="auto"/>
            <w:bottom w:val="none" w:sz="0" w:space="0" w:color="auto"/>
            <w:right w:val="none" w:sz="0" w:space="0" w:color="auto"/>
          </w:divBdr>
        </w:div>
        <w:div w:id="740716022">
          <w:marLeft w:val="0"/>
          <w:marRight w:val="0"/>
          <w:marTop w:val="0"/>
          <w:marBottom w:val="0"/>
          <w:divBdr>
            <w:top w:val="none" w:sz="0" w:space="0" w:color="auto"/>
            <w:left w:val="none" w:sz="0" w:space="0" w:color="auto"/>
            <w:bottom w:val="none" w:sz="0" w:space="0" w:color="auto"/>
            <w:right w:val="none" w:sz="0" w:space="0" w:color="auto"/>
          </w:divBdr>
        </w:div>
        <w:div w:id="746347930">
          <w:marLeft w:val="0"/>
          <w:marRight w:val="0"/>
          <w:marTop w:val="0"/>
          <w:marBottom w:val="0"/>
          <w:divBdr>
            <w:top w:val="none" w:sz="0" w:space="0" w:color="auto"/>
            <w:left w:val="none" w:sz="0" w:space="0" w:color="auto"/>
            <w:bottom w:val="none" w:sz="0" w:space="0" w:color="auto"/>
            <w:right w:val="none" w:sz="0" w:space="0" w:color="auto"/>
          </w:divBdr>
        </w:div>
        <w:div w:id="1026784641">
          <w:marLeft w:val="0"/>
          <w:marRight w:val="0"/>
          <w:marTop w:val="0"/>
          <w:marBottom w:val="0"/>
          <w:divBdr>
            <w:top w:val="none" w:sz="0" w:space="0" w:color="auto"/>
            <w:left w:val="none" w:sz="0" w:space="0" w:color="auto"/>
            <w:bottom w:val="none" w:sz="0" w:space="0" w:color="auto"/>
            <w:right w:val="none" w:sz="0" w:space="0" w:color="auto"/>
          </w:divBdr>
          <w:divsChild>
            <w:div w:id="583102363">
              <w:marLeft w:val="0"/>
              <w:marRight w:val="0"/>
              <w:marTop w:val="0"/>
              <w:marBottom w:val="0"/>
              <w:divBdr>
                <w:top w:val="none" w:sz="0" w:space="0" w:color="auto"/>
                <w:left w:val="none" w:sz="0" w:space="0" w:color="auto"/>
                <w:bottom w:val="none" w:sz="0" w:space="0" w:color="auto"/>
                <w:right w:val="none" w:sz="0" w:space="0" w:color="auto"/>
              </w:divBdr>
              <w:divsChild>
                <w:div w:id="255358927">
                  <w:marLeft w:val="0"/>
                  <w:marRight w:val="0"/>
                  <w:marTop w:val="0"/>
                  <w:marBottom w:val="0"/>
                  <w:divBdr>
                    <w:top w:val="none" w:sz="0" w:space="0" w:color="auto"/>
                    <w:left w:val="none" w:sz="0" w:space="0" w:color="auto"/>
                    <w:bottom w:val="none" w:sz="0" w:space="0" w:color="auto"/>
                    <w:right w:val="none" w:sz="0" w:space="0" w:color="auto"/>
                  </w:divBdr>
                </w:div>
                <w:div w:id="1124150913">
                  <w:marLeft w:val="0"/>
                  <w:marRight w:val="0"/>
                  <w:marTop w:val="0"/>
                  <w:marBottom w:val="0"/>
                  <w:divBdr>
                    <w:top w:val="none" w:sz="0" w:space="0" w:color="auto"/>
                    <w:left w:val="none" w:sz="0" w:space="0" w:color="auto"/>
                    <w:bottom w:val="none" w:sz="0" w:space="0" w:color="auto"/>
                    <w:right w:val="none" w:sz="0" w:space="0" w:color="auto"/>
                  </w:divBdr>
                </w:div>
                <w:div w:id="18892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0696">
          <w:marLeft w:val="0"/>
          <w:marRight w:val="0"/>
          <w:marTop w:val="0"/>
          <w:marBottom w:val="0"/>
          <w:divBdr>
            <w:top w:val="none" w:sz="0" w:space="0" w:color="auto"/>
            <w:left w:val="none" w:sz="0" w:space="0" w:color="auto"/>
            <w:bottom w:val="none" w:sz="0" w:space="0" w:color="auto"/>
            <w:right w:val="none" w:sz="0" w:space="0" w:color="auto"/>
          </w:divBdr>
        </w:div>
        <w:div w:id="1221281972">
          <w:marLeft w:val="0"/>
          <w:marRight w:val="0"/>
          <w:marTop w:val="0"/>
          <w:marBottom w:val="0"/>
          <w:divBdr>
            <w:top w:val="none" w:sz="0" w:space="0" w:color="auto"/>
            <w:left w:val="none" w:sz="0" w:space="0" w:color="auto"/>
            <w:bottom w:val="none" w:sz="0" w:space="0" w:color="auto"/>
            <w:right w:val="none" w:sz="0" w:space="0" w:color="auto"/>
          </w:divBdr>
          <w:divsChild>
            <w:div w:id="1107430299">
              <w:marLeft w:val="0"/>
              <w:marRight w:val="0"/>
              <w:marTop w:val="0"/>
              <w:marBottom w:val="0"/>
              <w:divBdr>
                <w:top w:val="none" w:sz="0" w:space="0" w:color="auto"/>
                <w:left w:val="none" w:sz="0" w:space="0" w:color="auto"/>
                <w:bottom w:val="none" w:sz="0" w:space="0" w:color="auto"/>
                <w:right w:val="none" w:sz="0" w:space="0" w:color="auto"/>
              </w:divBdr>
              <w:divsChild>
                <w:div w:id="137263084">
                  <w:marLeft w:val="0"/>
                  <w:marRight w:val="0"/>
                  <w:marTop w:val="0"/>
                  <w:marBottom w:val="0"/>
                  <w:divBdr>
                    <w:top w:val="none" w:sz="0" w:space="0" w:color="auto"/>
                    <w:left w:val="none" w:sz="0" w:space="0" w:color="auto"/>
                    <w:bottom w:val="none" w:sz="0" w:space="0" w:color="auto"/>
                    <w:right w:val="none" w:sz="0" w:space="0" w:color="auto"/>
                  </w:divBdr>
                </w:div>
                <w:div w:id="820390718">
                  <w:marLeft w:val="0"/>
                  <w:marRight w:val="0"/>
                  <w:marTop w:val="0"/>
                  <w:marBottom w:val="0"/>
                  <w:divBdr>
                    <w:top w:val="none" w:sz="0" w:space="0" w:color="auto"/>
                    <w:left w:val="none" w:sz="0" w:space="0" w:color="auto"/>
                    <w:bottom w:val="none" w:sz="0" w:space="0" w:color="auto"/>
                    <w:right w:val="none" w:sz="0" w:space="0" w:color="auto"/>
                  </w:divBdr>
                </w:div>
                <w:div w:id="1458984588">
                  <w:marLeft w:val="0"/>
                  <w:marRight w:val="0"/>
                  <w:marTop w:val="0"/>
                  <w:marBottom w:val="0"/>
                  <w:divBdr>
                    <w:top w:val="none" w:sz="0" w:space="0" w:color="auto"/>
                    <w:left w:val="none" w:sz="0" w:space="0" w:color="auto"/>
                    <w:bottom w:val="none" w:sz="0" w:space="0" w:color="auto"/>
                    <w:right w:val="none" w:sz="0" w:space="0" w:color="auto"/>
                  </w:divBdr>
                </w:div>
                <w:div w:id="17002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3053">
          <w:marLeft w:val="0"/>
          <w:marRight w:val="0"/>
          <w:marTop w:val="0"/>
          <w:marBottom w:val="0"/>
          <w:divBdr>
            <w:top w:val="none" w:sz="0" w:space="0" w:color="auto"/>
            <w:left w:val="none" w:sz="0" w:space="0" w:color="auto"/>
            <w:bottom w:val="none" w:sz="0" w:space="0" w:color="auto"/>
            <w:right w:val="none" w:sz="0" w:space="0" w:color="auto"/>
          </w:divBdr>
          <w:divsChild>
            <w:div w:id="1176579701">
              <w:marLeft w:val="0"/>
              <w:marRight w:val="0"/>
              <w:marTop w:val="0"/>
              <w:marBottom w:val="0"/>
              <w:divBdr>
                <w:top w:val="none" w:sz="0" w:space="0" w:color="auto"/>
                <w:left w:val="none" w:sz="0" w:space="0" w:color="auto"/>
                <w:bottom w:val="none" w:sz="0" w:space="0" w:color="auto"/>
                <w:right w:val="none" w:sz="0" w:space="0" w:color="auto"/>
              </w:divBdr>
              <w:divsChild>
                <w:div w:id="3674322">
                  <w:marLeft w:val="0"/>
                  <w:marRight w:val="0"/>
                  <w:marTop w:val="0"/>
                  <w:marBottom w:val="0"/>
                  <w:divBdr>
                    <w:top w:val="none" w:sz="0" w:space="0" w:color="auto"/>
                    <w:left w:val="none" w:sz="0" w:space="0" w:color="auto"/>
                    <w:bottom w:val="none" w:sz="0" w:space="0" w:color="auto"/>
                    <w:right w:val="none" w:sz="0" w:space="0" w:color="auto"/>
                  </w:divBdr>
                </w:div>
                <w:div w:id="16561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3205">
          <w:marLeft w:val="0"/>
          <w:marRight w:val="0"/>
          <w:marTop w:val="0"/>
          <w:marBottom w:val="0"/>
          <w:divBdr>
            <w:top w:val="none" w:sz="0" w:space="0" w:color="auto"/>
            <w:left w:val="none" w:sz="0" w:space="0" w:color="auto"/>
            <w:bottom w:val="none" w:sz="0" w:space="0" w:color="auto"/>
            <w:right w:val="none" w:sz="0" w:space="0" w:color="auto"/>
          </w:divBdr>
          <w:divsChild>
            <w:div w:id="929584403">
              <w:marLeft w:val="0"/>
              <w:marRight w:val="0"/>
              <w:marTop w:val="0"/>
              <w:marBottom w:val="0"/>
              <w:divBdr>
                <w:top w:val="none" w:sz="0" w:space="0" w:color="auto"/>
                <w:left w:val="none" w:sz="0" w:space="0" w:color="auto"/>
                <w:bottom w:val="none" w:sz="0" w:space="0" w:color="auto"/>
                <w:right w:val="none" w:sz="0" w:space="0" w:color="auto"/>
              </w:divBdr>
            </w:div>
          </w:divsChild>
        </w:div>
        <w:div w:id="1507403136">
          <w:marLeft w:val="0"/>
          <w:marRight w:val="0"/>
          <w:marTop w:val="0"/>
          <w:marBottom w:val="0"/>
          <w:divBdr>
            <w:top w:val="none" w:sz="0" w:space="0" w:color="auto"/>
            <w:left w:val="none" w:sz="0" w:space="0" w:color="auto"/>
            <w:bottom w:val="none" w:sz="0" w:space="0" w:color="auto"/>
            <w:right w:val="none" w:sz="0" w:space="0" w:color="auto"/>
          </w:divBdr>
        </w:div>
        <w:div w:id="1804882594">
          <w:marLeft w:val="0"/>
          <w:marRight w:val="0"/>
          <w:marTop w:val="0"/>
          <w:marBottom w:val="0"/>
          <w:divBdr>
            <w:top w:val="none" w:sz="0" w:space="0" w:color="auto"/>
            <w:left w:val="none" w:sz="0" w:space="0" w:color="auto"/>
            <w:bottom w:val="none" w:sz="0" w:space="0" w:color="auto"/>
            <w:right w:val="none" w:sz="0" w:space="0" w:color="auto"/>
          </w:divBdr>
        </w:div>
        <w:div w:id="1895582049">
          <w:marLeft w:val="0"/>
          <w:marRight w:val="0"/>
          <w:marTop w:val="0"/>
          <w:marBottom w:val="0"/>
          <w:divBdr>
            <w:top w:val="none" w:sz="0" w:space="0" w:color="auto"/>
            <w:left w:val="none" w:sz="0" w:space="0" w:color="auto"/>
            <w:bottom w:val="none" w:sz="0" w:space="0" w:color="auto"/>
            <w:right w:val="none" w:sz="0" w:space="0" w:color="auto"/>
          </w:divBdr>
        </w:div>
        <w:div w:id="2050832432">
          <w:marLeft w:val="0"/>
          <w:marRight w:val="0"/>
          <w:marTop w:val="0"/>
          <w:marBottom w:val="0"/>
          <w:divBdr>
            <w:top w:val="none" w:sz="0" w:space="0" w:color="auto"/>
            <w:left w:val="none" w:sz="0" w:space="0" w:color="auto"/>
            <w:bottom w:val="none" w:sz="0" w:space="0" w:color="auto"/>
            <w:right w:val="none" w:sz="0" w:space="0" w:color="auto"/>
          </w:divBdr>
        </w:div>
      </w:divsChild>
    </w:div>
    <w:div w:id="1596866588">
      <w:bodyDiv w:val="1"/>
      <w:marLeft w:val="0"/>
      <w:marRight w:val="0"/>
      <w:marTop w:val="0"/>
      <w:marBottom w:val="0"/>
      <w:divBdr>
        <w:top w:val="none" w:sz="0" w:space="0" w:color="auto"/>
        <w:left w:val="none" w:sz="0" w:space="0" w:color="auto"/>
        <w:bottom w:val="none" w:sz="0" w:space="0" w:color="auto"/>
        <w:right w:val="none" w:sz="0" w:space="0" w:color="auto"/>
      </w:divBdr>
    </w:div>
    <w:div w:id="1611087471">
      <w:bodyDiv w:val="1"/>
      <w:marLeft w:val="0"/>
      <w:marRight w:val="0"/>
      <w:marTop w:val="0"/>
      <w:marBottom w:val="0"/>
      <w:divBdr>
        <w:top w:val="none" w:sz="0" w:space="0" w:color="auto"/>
        <w:left w:val="none" w:sz="0" w:space="0" w:color="auto"/>
        <w:bottom w:val="none" w:sz="0" w:space="0" w:color="auto"/>
        <w:right w:val="none" w:sz="0" w:space="0" w:color="auto"/>
      </w:divBdr>
      <w:divsChild>
        <w:div w:id="138117043">
          <w:marLeft w:val="274"/>
          <w:marRight w:val="0"/>
          <w:marTop w:val="0"/>
          <w:marBottom w:val="0"/>
          <w:divBdr>
            <w:top w:val="none" w:sz="0" w:space="0" w:color="auto"/>
            <w:left w:val="none" w:sz="0" w:space="0" w:color="auto"/>
            <w:bottom w:val="none" w:sz="0" w:space="0" w:color="auto"/>
            <w:right w:val="none" w:sz="0" w:space="0" w:color="auto"/>
          </w:divBdr>
        </w:div>
        <w:div w:id="1112558444">
          <w:marLeft w:val="274"/>
          <w:marRight w:val="0"/>
          <w:marTop w:val="0"/>
          <w:marBottom w:val="0"/>
          <w:divBdr>
            <w:top w:val="none" w:sz="0" w:space="0" w:color="auto"/>
            <w:left w:val="none" w:sz="0" w:space="0" w:color="auto"/>
            <w:bottom w:val="none" w:sz="0" w:space="0" w:color="auto"/>
            <w:right w:val="none" w:sz="0" w:space="0" w:color="auto"/>
          </w:divBdr>
        </w:div>
        <w:div w:id="1627153469">
          <w:marLeft w:val="274"/>
          <w:marRight w:val="0"/>
          <w:marTop w:val="0"/>
          <w:marBottom w:val="0"/>
          <w:divBdr>
            <w:top w:val="none" w:sz="0" w:space="0" w:color="auto"/>
            <w:left w:val="none" w:sz="0" w:space="0" w:color="auto"/>
            <w:bottom w:val="none" w:sz="0" w:space="0" w:color="auto"/>
            <w:right w:val="none" w:sz="0" w:space="0" w:color="auto"/>
          </w:divBdr>
        </w:div>
        <w:div w:id="1837651163">
          <w:marLeft w:val="994"/>
          <w:marRight w:val="0"/>
          <w:marTop w:val="0"/>
          <w:marBottom w:val="0"/>
          <w:divBdr>
            <w:top w:val="none" w:sz="0" w:space="0" w:color="auto"/>
            <w:left w:val="none" w:sz="0" w:space="0" w:color="auto"/>
            <w:bottom w:val="none" w:sz="0" w:space="0" w:color="auto"/>
            <w:right w:val="none" w:sz="0" w:space="0" w:color="auto"/>
          </w:divBdr>
        </w:div>
        <w:div w:id="1876311554">
          <w:marLeft w:val="994"/>
          <w:marRight w:val="0"/>
          <w:marTop w:val="0"/>
          <w:marBottom w:val="0"/>
          <w:divBdr>
            <w:top w:val="none" w:sz="0" w:space="0" w:color="auto"/>
            <w:left w:val="none" w:sz="0" w:space="0" w:color="auto"/>
            <w:bottom w:val="none" w:sz="0" w:space="0" w:color="auto"/>
            <w:right w:val="none" w:sz="0" w:space="0" w:color="auto"/>
          </w:divBdr>
        </w:div>
      </w:divsChild>
    </w:div>
    <w:div w:id="1620524603">
      <w:bodyDiv w:val="1"/>
      <w:marLeft w:val="0"/>
      <w:marRight w:val="0"/>
      <w:marTop w:val="0"/>
      <w:marBottom w:val="0"/>
      <w:divBdr>
        <w:top w:val="none" w:sz="0" w:space="0" w:color="auto"/>
        <w:left w:val="none" w:sz="0" w:space="0" w:color="auto"/>
        <w:bottom w:val="none" w:sz="0" w:space="0" w:color="auto"/>
        <w:right w:val="none" w:sz="0" w:space="0" w:color="auto"/>
      </w:divBdr>
    </w:div>
    <w:div w:id="1637837458">
      <w:bodyDiv w:val="1"/>
      <w:marLeft w:val="0"/>
      <w:marRight w:val="0"/>
      <w:marTop w:val="0"/>
      <w:marBottom w:val="0"/>
      <w:divBdr>
        <w:top w:val="none" w:sz="0" w:space="0" w:color="auto"/>
        <w:left w:val="none" w:sz="0" w:space="0" w:color="auto"/>
        <w:bottom w:val="none" w:sz="0" w:space="0" w:color="auto"/>
        <w:right w:val="none" w:sz="0" w:space="0" w:color="auto"/>
      </w:divBdr>
      <w:divsChild>
        <w:div w:id="226576820">
          <w:marLeft w:val="274"/>
          <w:marRight w:val="0"/>
          <w:marTop w:val="0"/>
          <w:marBottom w:val="0"/>
          <w:divBdr>
            <w:top w:val="none" w:sz="0" w:space="0" w:color="auto"/>
            <w:left w:val="none" w:sz="0" w:space="0" w:color="auto"/>
            <w:bottom w:val="none" w:sz="0" w:space="0" w:color="auto"/>
            <w:right w:val="none" w:sz="0" w:space="0" w:color="auto"/>
          </w:divBdr>
        </w:div>
        <w:div w:id="267543716">
          <w:marLeft w:val="274"/>
          <w:marRight w:val="0"/>
          <w:marTop w:val="0"/>
          <w:marBottom w:val="0"/>
          <w:divBdr>
            <w:top w:val="none" w:sz="0" w:space="0" w:color="auto"/>
            <w:left w:val="none" w:sz="0" w:space="0" w:color="auto"/>
            <w:bottom w:val="none" w:sz="0" w:space="0" w:color="auto"/>
            <w:right w:val="none" w:sz="0" w:space="0" w:color="auto"/>
          </w:divBdr>
        </w:div>
        <w:div w:id="446313093">
          <w:marLeft w:val="274"/>
          <w:marRight w:val="0"/>
          <w:marTop w:val="0"/>
          <w:marBottom w:val="0"/>
          <w:divBdr>
            <w:top w:val="none" w:sz="0" w:space="0" w:color="auto"/>
            <w:left w:val="none" w:sz="0" w:space="0" w:color="auto"/>
            <w:bottom w:val="none" w:sz="0" w:space="0" w:color="auto"/>
            <w:right w:val="none" w:sz="0" w:space="0" w:color="auto"/>
          </w:divBdr>
        </w:div>
        <w:div w:id="553389833">
          <w:marLeft w:val="1714"/>
          <w:marRight w:val="0"/>
          <w:marTop w:val="0"/>
          <w:marBottom w:val="0"/>
          <w:divBdr>
            <w:top w:val="none" w:sz="0" w:space="0" w:color="auto"/>
            <w:left w:val="none" w:sz="0" w:space="0" w:color="auto"/>
            <w:bottom w:val="none" w:sz="0" w:space="0" w:color="auto"/>
            <w:right w:val="none" w:sz="0" w:space="0" w:color="auto"/>
          </w:divBdr>
        </w:div>
        <w:div w:id="586617151">
          <w:marLeft w:val="1714"/>
          <w:marRight w:val="0"/>
          <w:marTop w:val="0"/>
          <w:marBottom w:val="0"/>
          <w:divBdr>
            <w:top w:val="none" w:sz="0" w:space="0" w:color="auto"/>
            <w:left w:val="none" w:sz="0" w:space="0" w:color="auto"/>
            <w:bottom w:val="none" w:sz="0" w:space="0" w:color="auto"/>
            <w:right w:val="none" w:sz="0" w:space="0" w:color="auto"/>
          </w:divBdr>
        </w:div>
        <w:div w:id="628171259">
          <w:marLeft w:val="274"/>
          <w:marRight w:val="0"/>
          <w:marTop w:val="0"/>
          <w:marBottom w:val="0"/>
          <w:divBdr>
            <w:top w:val="none" w:sz="0" w:space="0" w:color="auto"/>
            <w:left w:val="none" w:sz="0" w:space="0" w:color="auto"/>
            <w:bottom w:val="none" w:sz="0" w:space="0" w:color="auto"/>
            <w:right w:val="none" w:sz="0" w:space="0" w:color="auto"/>
          </w:divBdr>
        </w:div>
        <w:div w:id="654188983">
          <w:marLeft w:val="274"/>
          <w:marRight w:val="0"/>
          <w:marTop w:val="0"/>
          <w:marBottom w:val="0"/>
          <w:divBdr>
            <w:top w:val="none" w:sz="0" w:space="0" w:color="auto"/>
            <w:left w:val="none" w:sz="0" w:space="0" w:color="auto"/>
            <w:bottom w:val="none" w:sz="0" w:space="0" w:color="auto"/>
            <w:right w:val="none" w:sz="0" w:space="0" w:color="auto"/>
          </w:divBdr>
        </w:div>
        <w:div w:id="679967633">
          <w:marLeft w:val="274"/>
          <w:marRight w:val="0"/>
          <w:marTop w:val="0"/>
          <w:marBottom w:val="0"/>
          <w:divBdr>
            <w:top w:val="none" w:sz="0" w:space="0" w:color="auto"/>
            <w:left w:val="none" w:sz="0" w:space="0" w:color="auto"/>
            <w:bottom w:val="none" w:sz="0" w:space="0" w:color="auto"/>
            <w:right w:val="none" w:sz="0" w:space="0" w:color="auto"/>
          </w:divBdr>
        </w:div>
        <w:div w:id="734937875">
          <w:marLeft w:val="274"/>
          <w:marRight w:val="0"/>
          <w:marTop w:val="0"/>
          <w:marBottom w:val="0"/>
          <w:divBdr>
            <w:top w:val="none" w:sz="0" w:space="0" w:color="auto"/>
            <w:left w:val="none" w:sz="0" w:space="0" w:color="auto"/>
            <w:bottom w:val="none" w:sz="0" w:space="0" w:color="auto"/>
            <w:right w:val="none" w:sz="0" w:space="0" w:color="auto"/>
          </w:divBdr>
        </w:div>
        <w:div w:id="767459132">
          <w:marLeft w:val="1714"/>
          <w:marRight w:val="0"/>
          <w:marTop w:val="0"/>
          <w:marBottom w:val="0"/>
          <w:divBdr>
            <w:top w:val="none" w:sz="0" w:space="0" w:color="auto"/>
            <w:left w:val="none" w:sz="0" w:space="0" w:color="auto"/>
            <w:bottom w:val="none" w:sz="0" w:space="0" w:color="auto"/>
            <w:right w:val="none" w:sz="0" w:space="0" w:color="auto"/>
          </w:divBdr>
        </w:div>
        <w:div w:id="1001545971">
          <w:marLeft w:val="274"/>
          <w:marRight w:val="0"/>
          <w:marTop w:val="0"/>
          <w:marBottom w:val="0"/>
          <w:divBdr>
            <w:top w:val="none" w:sz="0" w:space="0" w:color="auto"/>
            <w:left w:val="none" w:sz="0" w:space="0" w:color="auto"/>
            <w:bottom w:val="none" w:sz="0" w:space="0" w:color="auto"/>
            <w:right w:val="none" w:sz="0" w:space="0" w:color="auto"/>
          </w:divBdr>
        </w:div>
        <w:div w:id="1069688204">
          <w:marLeft w:val="274"/>
          <w:marRight w:val="0"/>
          <w:marTop w:val="0"/>
          <w:marBottom w:val="0"/>
          <w:divBdr>
            <w:top w:val="none" w:sz="0" w:space="0" w:color="auto"/>
            <w:left w:val="none" w:sz="0" w:space="0" w:color="auto"/>
            <w:bottom w:val="none" w:sz="0" w:space="0" w:color="auto"/>
            <w:right w:val="none" w:sz="0" w:space="0" w:color="auto"/>
          </w:divBdr>
        </w:div>
        <w:div w:id="1289387234">
          <w:marLeft w:val="274"/>
          <w:marRight w:val="0"/>
          <w:marTop w:val="0"/>
          <w:marBottom w:val="0"/>
          <w:divBdr>
            <w:top w:val="none" w:sz="0" w:space="0" w:color="auto"/>
            <w:left w:val="none" w:sz="0" w:space="0" w:color="auto"/>
            <w:bottom w:val="none" w:sz="0" w:space="0" w:color="auto"/>
            <w:right w:val="none" w:sz="0" w:space="0" w:color="auto"/>
          </w:divBdr>
        </w:div>
        <w:div w:id="1474443792">
          <w:marLeft w:val="274"/>
          <w:marRight w:val="0"/>
          <w:marTop w:val="0"/>
          <w:marBottom w:val="0"/>
          <w:divBdr>
            <w:top w:val="none" w:sz="0" w:space="0" w:color="auto"/>
            <w:left w:val="none" w:sz="0" w:space="0" w:color="auto"/>
            <w:bottom w:val="none" w:sz="0" w:space="0" w:color="auto"/>
            <w:right w:val="none" w:sz="0" w:space="0" w:color="auto"/>
          </w:divBdr>
        </w:div>
        <w:div w:id="1529413642">
          <w:marLeft w:val="274"/>
          <w:marRight w:val="0"/>
          <w:marTop w:val="0"/>
          <w:marBottom w:val="0"/>
          <w:divBdr>
            <w:top w:val="none" w:sz="0" w:space="0" w:color="auto"/>
            <w:left w:val="none" w:sz="0" w:space="0" w:color="auto"/>
            <w:bottom w:val="none" w:sz="0" w:space="0" w:color="auto"/>
            <w:right w:val="none" w:sz="0" w:space="0" w:color="auto"/>
          </w:divBdr>
        </w:div>
        <w:div w:id="1586649319">
          <w:marLeft w:val="274"/>
          <w:marRight w:val="0"/>
          <w:marTop w:val="0"/>
          <w:marBottom w:val="0"/>
          <w:divBdr>
            <w:top w:val="none" w:sz="0" w:space="0" w:color="auto"/>
            <w:left w:val="none" w:sz="0" w:space="0" w:color="auto"/>
            <w:bottom w:val="none" w:sz="0" w:space="0" w:color="auto"/>
            <w:right w:val="none" w:sz="0" w:space="0" w:color="auto"/>
          </w:divBdr>
        </w:div>
        <w:div w:id="1769696735">
          <w:marLeft w:val="274"/>
          <w:marRight w:val="0"/>
          <w:marTop w:val="0"/>
          <w:marBottom w:val="0"/>
          <w:divBdr>
            <w:top w:val="none" w:sz="0" w:space="0" w:color="auto"/>
            <w:left w:val="none" w:sz="0" w:space="0" w:color="auto"/>
            <w:bottom w:val="none" w:sz="0" w:space="0" w:color="auto"/>
            <w:right w:val="none" w:sz="0" w:space="0" w:color="auto"/>
          </w:divBdr>
        </w:div>
        <w:div w:id="1982494329">
          <w:marLeft w:val="274"/>
          <w:marRight w:val="0"/>
          <w:marTop w:val="0"/>
          <w:marBottom w:val="0"/>
          <w:divBdr>
            <w:top w:val="none" w:sz="0" w:space="0" w:color="auto"/>
            <w:left w:val="none" w:sz="0" w:space="0" w:color="auto"/>
            <w:bottom w:val="none" w:sz="0" w:space="0" w:color="auto"/>
            <w:right w:val="none" w:sz="0" w:space="0" w:color="auto"/>
          </w:divBdr>
        </w:div>
      </w:divsChild>
    </w:div>
    <w:div w:id="1641694102">
      <w:bodyDiv w:val="1"/>
      <w:marLeft w:val="0"/>
      <w:marRight w:val="0"/>
      <w:marTop w:val="0"/>
      <w:marBottom w:val="0"/>
      <w:divBdr>
        <w:top w:val="none" w:sz="0" w:space="0" w:color="auto"/>
        <w:left w:val="none" w:sz="0" w:space="0" w:color="auto"/>
        <w:bottom w:val="none" w:sz="0" w:space="0" w:color="auto"/>
        <w:right w:val="none" w:sz="0" w:space="0" w:color="auto"/>
      </w:divBdr>
      <w:divsChild>
        <w:div w:id="187112396">
          <w:marLeft w:val="0"/>
          <w:marRight w:val="0"/>
          <w:marTop w:val="0"/>
          <w:marBottom w:val="0"/>
          <w:divBdr>
            <w:top w:val="none" w:sz="0" w:space="0" w:color="auto"/>
            <w:left w:val="none" w:sz="0" w:space="0" w:color="auto"/>
            <w:bottom w:val="none" w:sz="0" w:space="0" w:color="auto"/>
            <w:right w:val="none" w:sz="0" w:space="0" w:color="auto"/>
          </w:divBdr>
        </w:div>
        <w:div w:id="982731344">
          <w:marLeft w:val="0"/>
          <w:marRight w:val="0"/>
          <w:marTop w:val="0"/>
          <w:marBottom w:val="0"/>
          <w:divBdr>
            <w:top w:val="none" w:sz="0" w:space="0" w:color="auto"/>
            <w:left w:val="none" w:sz="0" w:space="0" w:color="auto"/>
            <w:bottom w:val="none" w:sz="0" w:space="0" w:color="auto"/>
            <w:right w:val="none" w:sz="0" w:space="0" w:color="auto"/>
          </w:divBdr>
        </w:div>
        <w:div w:id="1150092592">
          <w:marLeft w:val="0"/>
          <w:marRight w:val="0"/>
          <w:marTop w:val="0"/>
          <w:marBottom w:val="0"/>
          <w:divBdr>
            <w:top w:val="none" w:sz="0" w:space="0" w:color="auto"/>
            <w:left w:val="none" w:sz="0" w:space="0" w:color="auto"/>
            <w:bottom w:val="none" w:sz="0" w:space="0" w:color="auto"/>
            <w:right w:val="none" w:sz="0" w:space="0" w:color="auto"/>
          </w:divBdr>
        </w:div>
        <w:div w:id="1454128067">
          <w:marLeft w:val="0"/>
          <w:marRight w:val="0"/>
          <w:marTop w:val="0"/>
          <w:marBottom w:val="0"/>
          <w:divBdr>
            <w:top w:val="none" w:sz="0" w:space="0" w:color="auto"/>
            <w:left w:val="none" w:sz="0" w:space="0" w:color="auto"/>
            <w:bottom w:val="none" w:sz="0" w:space="0" w:color="auto"/>
            <w:right w:val="none" w:sz="0" w:space="0" w:color="auto"/>
          </w:divBdr>
        </w:div>
        <w:div w:id="1808089502">
          <w:marLeft w:val="0"/>
          <w:marRight w:val="0"/>
          <w:marTop w:val="0"/>
          <w:marBottom w:val="0"/>
          <w:divBdr>
            <w:top w:val="none" w:sz="0" w:space="0" w:color="auto"/>
            <w:left w:val="none" w:sz="0" w:space="0" w:color="auto"/>
            <w:bottom w:val="none" w:sz="0" w:space="0" w:color="auto"/>
            <w:right w:val="none" w:sz="0" w:space="0" w:color="auto"/>
          </w:divBdr>
        </w:div>
        <w:div w:id="2063747019">
          <w:marLeft w:val="0"/>
          <w:marRight w:val="0"/>
          <w:marTop w:val="0"/>
          <w:marBottom w:val="0"/>
          <w:divBdr>
            <w:top w:val="none" w:sz="0" w:space="0" w:color="auto"/>
            <w:left w:val="none" w:sz="0" w:space="0" w:color="auto"/>
            <w:bottom w:val="none" w:sz="0" w:space="0" w:color="auto"/>
            <w:right w:val="none" w:sz="0" w:space="0" w:color="auto"/>
          </w:divBdr>
        </w:div>
      </w:divsChild>
    </w:div>
    <w:div w:id="1662273635">
      <w:bodyDiv w:val="1"/>
      <w:marLeft w:val="0"/>
      <w:marRight w:val="0"/>
      <w:marTop w:val="0"/>
      <w:marBottom w:val="0"/>
      <w:divBdr>
        <w:top w:val="none" w:sz="0" w:space="0" w:color="auto"/>
        <w:left w:val="none" w:sz="0" w:space="0" w:color="auto"/>
        <w:bottom w:val="none" w:sz="0" w:space="0" w:color="auto"/>
        <w:right w:val="none" w:sz="0" w:space="0" w:color="auto"/>
      </w:divBdr>
    </w:div>
    <w:div w:id="1668752141">
      <w:bodyDiv w:val="1"/>
      <w:marLeft w:val="0"/>
      <w:marRight w:val="0"/>
      <w:marTop w:val="0"/>
      <w:marBottom w:val="0"/>
      <w:divBdr>
        <w:top w:val="none" w:sz="0" w:space="0" w:color="auto"/>
        <w:left w:val="none" w:sz="0" w:space="0" w:color="auto"/>
        <w:bottom w:val="none" w:sz="0" w:space="0" w:color="auto"/>
        <w:right w:val="none" w:sz="0" w:space="0" w:color="auto"/>
      </w:divBdr>
      <w:divsChild>
        <w:div w:id="38820858">
          <w:marLeft w:val="0"/>
          <w:marRight w:val="0"/>
          <w:marTop w:val="0"/>
          <w:marBottom w:val="0"/>
          <w:divBdr>
            <w:top w:val="none" w:sz="0" w:space="0" w:color="auto"/>
            <w:left w:val="none" w:sz="0" w:space="0" w:color="auto"/>
            <w:bottom w:val="none" w:sz="0" w:space="0" w:color="auto"/>
            <w:right w:val="none" w:sz="0" w:space="0" w:color="auto"/>
          </w:divBdr>
        </w:div>
        <w:div w:id="339242221">
          <w:marLeft w:val="0"/>
          <w:marRight w:val="0"/>
          <w:marTop w:val="0"/>
          <w:marBottom w:val="0"/>
          <w:divBdr>
            <w:top w:val="none" w:sz="0" w:space="0" w:color="auto"/>
            <w:left w:val="none" w:sz="0" w:space="0" w:color="auto"/>
            <w:bottom w:val="none" w:sz="0" w:space="0" w:color="auto"/>
            <w:right w:val="none" w:sz="0" w:space="0" w:color="auto"/>
          </w:divBdr>
          <w:divsChild>
            <w:div w:id="466431834">
              <w:marLeft w:val="0"/>
              <w:marRight w:val="0"/>
              <w:marTop w:val="0"/>
              <w:marBottom w:val="0"/>
              <w:divBdr>
                <w:top w:val="none" w:sz="0" w:space="0" w:color="auto"/>
                <w:left w:val="none" w:sz="0" w:space="0" w:color="auto"/>
                <w:bottom w:val="none" w:sz="0" w:space="0" w:color="auto"/>
                <w:right w:val="none" w:sz="0" w:space="0" w:color="auto"/>
              </w:divBdr>
              <w:divsChild>
                <w:div w:id="281039402">
                  <w:marLeft w:val="0"/>
                  <w:marRight w:val="0"/>
                  <w:marTop w:val="0"/>
                  <w:marBottom w:val="0"/>
                  <w:divBdr>
                    <w:top w:val="none" w:sz="0" w:space="0" w:color="auto"/>
                    <w:left w:val="none" w:sz="0" w:space="0" w:color="auto"/>
                    <w:bottom w:val="none" w:sz="0" w:space="0" w:color="auto"/>
                    <w:right w:val="none" w:sz="0" w:space="0" w:color="auto"/>
                  </w:divBdr>
                </w:div>
                <w:div w:id="607391562">
                  <w:marLeft w:val="0"/>
                  <w:marRight w:val="0"/>
                  <w:marTop w:val="0"/>
                  <w:marBottom w:val="0"/>
                  <w:divBdr>
                    <w:top w:val="none" w:sz="0" w:space="0" w:color="auto"/>
                    <w:left w:val="none" w:sz="0" w:space="0" w:color="auto"/>
                    <w:bottom w:val="none" w:sz="0" w:space="0" w:color="auto"/>
                    <w:right w:val="none" w:sz="0" w:space="0" w:color="auto"/>
                  </w:divBdr>
                </w:div>
                <w:div w:id="20970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8013">
          <w:marLeft w:val="0"/>
          <w:marRight w:val="0"/>
          <w:marTop w:val="0"/>
          <w:marBottom w:val="0"/>
          <w:divBdr>
            <w:top w:val="none" w:sz="0" w:space="0" w:color="auto"/>
            <w:left w:val="none" w:sz="0" w:space="0" w:color="auto"/>
            <w:bottom w:val="none" w:sz="0" w:space="0" w:color="auto"/>
            <w:right w:val="none" w:sz="0" w:space="0" w:color="auto"/>
          </w:divBdr>
        </w:div>
        <w:div w:id="759981978">
          <w:marLeft w:val="0"/>
          <w:marRight w:val="0"/>
          <w:marTop w:val="0"/>
          <w:marBottom w:val="0"/>
          <w:divBdr>
            <w:top w:val="none" w:sz="0" w:space="0" w:color="auto"/>
            <w:left w:val="none" w:sz="0" w:space="0" w:color="auto"/>
            <w:bottom w:val="none" w:sz="0" w:space="0" w:color="auto"/>
            <w:right w:val="none" w:sz="0" w:space="0" w:color="auto"/>
          </w:divBdr>
        </w:div>
        <w:div w:id="836457439">
          <w:marLeft w:val="0"/>
          <w:marRight w:val="0"/>
          <w:marTop w:val="0"/>
          <w:marBottom w:val="0"/>
          <w:divBdr>
            <w:top w:val="none" w:sz="0" w:space="0" w:color="auto"/>
            <w:left w:val="none" w:sz="0" w:space="0" w:color="auto"/>
            <w:bottom w:val="none" w:sz="0" w:space="0" w:color="auto"/>
            <w:right w:val="none" w:sz="0" w:space="0" w:color="auto"/>
          </w:divBdr>
          <w:divsChild>
            <w:div w:id="57943307">
              <w:marLeft w:val="0"/>
              <w:marRight w:val="0"/>
              <w:marTop w:val="0"/>
              <w:marBottom w:val="0"/>
              <w:divBdr>
                <w:top w:val="none" w:sz="0" w:space="0" w:color="auto"/>
                <w:left w:val="none" w:sz="0" w:space="0" w:color="auto"/>
                <w:bottom w:val="none" w:sz="0" w:space="0" w:color="auto"/>
                <w:right w:val="none" w:sz="0" w:space="0" w:color="auto"/>
              </w:divBdr>
            </w:div>
            <w:div w:id="365984113">
              <w:marLeft w:val="0"/>
              <w:marRight w:val="0"/>
              <w:marTop w:val="0"/>
              <w:marBottom w:val="0"/>
              <w:divBdr>
                <w:top w:val="none" w:sz="0" w:space="0" w:color="auto"/>
                <w:left w:val="none" w:sz="0" w:space="0" w:color="auto"/>
                <w:bottom w:val="none" w:sz="0" w:space="0" w:color="auto"/>
                <w:right w:val="none" w:sz="0" w:space="0" w:color="auto"/>
              </w:divBdr>
            </w:div>
            <w:div w:id="1466434043">
              <w:marLeft w:val="0"/>
              <w:marRight w:val="0"/>
              <w:marTop w:val="0"/>
              <w:marBottom w:val="0"/>
              <w:divBdr>
                <w:top w:val="none" w:sz="0" w:space="0" w:color="auto"/>
                <w:left w:val="none" w:sz="0" w:space="0" w:color="auto"/>
                <w:bottom w:val="none" w:sz="0" w:space="0" w:color="auto"/>
                <w:right w:val="none" w:sz="0" w:space="0" w:color="auto"/>
              </w:divBdr>
              <w:divsChild>
                <w:div w:id="1413309396">
                  <w:marLeft w:val="0"/>
                  <w:marRight w:val="0"/>
                  <w:marTop w:val="0"/>
                  <w:marBottom w:val="0"/>
                  <w:divBdr>
                    <w:top w:val="none" w:sz="0" w:space="0" w:color="auto"/>
                    <w:left w:val="none" w:sz="0" w:space="0" w:color="auto"/>
                    <w:bottom w:val="none" w:sz="0" w:space="0" w:color="auto"/>
                    <w:right w:val="none" w:sz="0" w:space="0" w:color="auto"/>
                  </w:divBdr>
                  <w:divsChild>
                    <w:div w:id="983700053">
                      <w:marLeft w:val="0"/>
                      <w:marRight w:val="0"/>
                      <w:marTop w:val="0"/>
                      <w:marBottom w:val="0"/>
                      <w:divBdr>
                        <w:top w:val="none" w:sz="0" w:space="0" w:color="auto"/>
                        <w:left w:val="none" w:sz="0" w:space="0" w:color="auto"/>
                        <w:bottom w:val="none" w:sz="0" w:space="0" w:color="auto"/>
                        <w:right w:val="none" w:sz="0" w:space="0" w:color="auto"/>
                      </w:divBdr>
                    </w:div>
                    <w:div w:id="20566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976">
              <w:marLeft w:val="0"/>
              <w:marRight w:val="0"/>
              <w:marTop w:val="0"/>
              <w:marBottom w:val="0"/>
              <w:divBdr>
                <w:top w:val="none" w:sz="0" w:space="0" w:color="auto"/>
                <w:left w:val="none" w:sz="0" w:space="0" w:color="auto"/>
                <w:bottom w:val="none" w:sz="0" w:space="0" w:color="auto"/>
                <w:right w:val="none" w:sz="0" w:space="0" w:color="auto"/>
              </w:divBdr>
              <w:divsChild>
                <w:div w:id="216091502">
                  <w:marLeft w:val="0"/>
                  <w:marRight w:val="0"/>
                  <w:marTop w:val="0"/>
                  <w:marBottom w:val="0"/>
                  <w:divBdr>
                    <w:top w:val="none" w:sz="0" w:space="0" w:color="auto"/>
                    <w:left w:val="none" w:sz="0" w:space="0" w:color="auto"/>
                    <w:bottom w:val="none" w:sz="0" w:space="0" w:color="auto"/>
                    <w:right w:val="none" w:sz="0" w:space="0" w:color="auto"/>
                  </w:divBdr>
                </w:div>
                <w:div w:id="982125709">
                  <w:marLeft w:val="0"/>
                  <w:marRight w:val="0"/>
                  <w:marTop w:val="0"/>
                  <w:marBottom w:val="0"/>
                  <w:divBdr>
                    <w:top w:val="none" w:sz="0" w:space="0" w:color="auto"/>
                    <w:left w:val="none" w:sz="0" w:space="0" w:color="auto"/>
                    <w:bottom w:val="none" w:sz="0" w:space="0" w:color="auto"/>
                    <w:right w:val="none" w:sz="0" w:space="0" w:color="auto"/>
                  </w:divBdr>
                </w:div>
              </w:divsChild>
            </w:div>
            <w:div w:id="1936476385">
              <w:marLeft w:val="0"/>
              <w:marRight w:val="0"/>
              <w:marTop w:val="0"/>
              <w:marBottom w:val="0"/>
              <w:divBdr>
                <w:top w:val="none" w:sz="0" w:space="0" w:color="auto"/>
                <w:left w:val="none" w:sz="0" w:space="0" w:color="auto"/>
                <w:bottom w:val="none" w:sz="0" w:space="0" w:color="auto"/>
                <w:right w:val="none" w:sz="0" w:space="0" w:color="auto"/>
              </w:divBdr>
            </w:div>
          </w:divsChild>
        </w:div>
        <w:div w:id="852181897">
          <w:marLeft w:val="0"/>
          <w:marRight w:val="0"/>
          <w:marTop w:val="0"/>
          <w:marBottom w:val="0"/>
          <w:divBdr>
            <w:top w:val="none" w:sz="0" w:space="0" w:color="auto"/>
            <w:left w:val="none" w:sz="0" w:space="0" w:color="auto"/>
            <w:bottom w:val="none" w:sz="0" w:space="0" w:color="auto"/>
            <w:right w:val="none" w:sz="0" w:space="0" w:color="auto"/>
          </w:divBdr>
        </w:div>
        <w:div w:id="899092105">
          <w:marLeft w:val="0"/>
          <w:marRight w:val="0"/>
          <w:marTop w:val="0"/>
          <w:marBottom w:val="0"/>
          <w:divBdr>
            <w:top w:val="none" w:sz="0" w:space="0" w:color="auto"/>
            <w:left w:val="none" w:sz="0" w:space="0" w:color="auto"/>
            <w:bottom w:val="none" w:sz="0" w:space="0" w:color="auto"/>
            <w:right w:val="none" w:sz="0" w:space="0" w:color="auto"/>
          </w:divBdr>
        </w:div>
        <w:div w:id="974993398">
          <w:marLeft w:val="0"/>
          <w:marRight w:val="0"/>
          <w:marTop w:val="0"/>
          <w:marBottom w:val="0"/>
          <w:divBdr>
            <w:top w:val="none" w:sz="0" w:space="0" w:color="auto"/>
            <w:left w:val="none" w:sz="0" w:space="0" w:color="auto"/>
            <w:bottom w:val="none" w:sz="0" w:space="0" w:color="auto"/>
            <w:right w:val="none" w:sz="0" w:space="0" w:color="auto"/>
          </w:divBdr>
        </w:div>
        <w:div w:id="1079250024">
          <w:marLeft w:val="0"/>
          <w:marRight w:val="0"/>
          <w:marTop w:val="0"/>
          <w:marBottom w:val="0"/>
          <w:divBdr>
            <w:top w:val="none" w:sz="0" w:space="0" w:color="auto"/>
            <w:left w:val="none" w:sz="0" w:space="0" w:color="auto"/>
            <w:bottom w:val="none" w:sz="0" w:space="0" w:color="auto"/>
            <w:right w:val="none" w:sz="0" w:space="0" w:color="auto"/>
          </w:divBdr>
        </w:div>
        <w:div w:id="1090586631">
          <w:marLeft w:val="0"/>
          <w:marRight w:val="0"/>
          <w:marTop w:val="0"/>
          <w:marBottom w:val="0"/>
          <w:divBdr>
            <w:top w:val="none" w:sz="0" w:space="0" w:color="auto"/>
            <w:left w:val="none" w:sz="0" w:space="0" w:color="auto"/>
            <w:bottom w:val="none" w:sz="0" w:space="0" w:color="auto"/>
            <w:right w:val="none" w:sz="0" w:space="0" w:color="auto"/>
          </w:divBdr>
        </w:div>
        <w:div w:id="1227957791">
          <w:marLeft w:val="0"/>
          <w:marRight w:val="0"/>
          <w:marTop w:val="0"/>
          <w:marBottom w:val="0"/>
          <w:divBdr>
            <w:top w:val="none" w:sz="0" w:space="0" w:color="auto"/>
            <w:left w:val="none" w:sz="0" w:space="0" w:color="auto"/>
            <w:bottom w:val="none" w:sz="0" w:space="0" w:color="auto"/>
            <w:right w:val="none" w:sz="0" w:space="0" w:color="auto"/>
          </w:divBdr>
          <w:divsChild>
            <w:div w:id="2078896952">
              <w:marLeft w:val="0"/>
              <w:marRight w:val="0"/>
              <w:marTop w:val="0"/>
              <w:marBottom w:val="0"/>
              <w:divBdr>
                <w:top w:val="none" w:sz="0" w:space="0" w:color="auto"/>
                <w:left w:val="none" w:sz="0" w:space="0" w:color="auto"/>
                <w:bottom w:val="none" w:sz="0" w:space="0" w:color="auto"/>
                <w:right w:val="none" w:sz="0" w:space="0" w:color="auto"/>
              </w:divBdr>
              <w:divsChild>
                <w:div w:id="127817963">
                  <w:marLeft w:val="0"/>
                  <w:marRight w:val="0"/>
                  <w:marTop w:val="0"/>
                  <w:marBottom w:val="0"/>
                  <w:divBdr>
                    <w:top w:val="none" w:sz="0" w:space="0" w:color="auto"/>
                    <w:left w:val="none" w:sz="0" w:space="0" w:color="auto"/>
                    <w:bottom w:val="none" w:sz="0" w:space="0" w:color="auto"/>
                    <w:right w:val="none" w:sz="0" w:space="0" w:color="auto"/>
                  </w:divBdr>
                </w:div>
                <w:div w:id="15872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2753">
          <w:marLeft w:val="0"/>
          <w:marRight w:val="0"/>
          <w:marTop w:val="0"/>
          <w:marBottom w:val="0"/>
          <w:divBdr>
            <w:top w:val="none" w:sz="0" w:space="0" w:color="auto"/>
            <w:left w:val="none" w:sz="0" w:space="0" w:color="auto"/>
            <w:bottom w:val="none" w:sz="0" w:space="0" w:color="auto"/>
            <w:right w:val="none" w:sz="0" w:space="0" w:color="auto"/>
          </w:divBdr>
        </w:div>
        <w:div w:id="1422334747">
          <w:marLeft w:val="0"/>
          <w:marRight w:val="0"/>
          <w:marTop w:val="0"/>
          <w:marBottom w:val="0"/>
          <w:divBdr>
            <w:top w:val="none" w:sz="0" w:space="0" w:color="auto"/>
            <w:left w:val="none" w:sz="0" w:space="0" w:color="auto"/>
            <w:bottom w:val="none" w:sz="0" w:space="0" w:color="auto"/>
            <w:right w:val="none" w:sz="0" w:space="0" w:color="auto"/>
          </w:divBdr>
          <w:divsChild>
            <w:div w:id="213783886">
              <w:marLeft w:val="0"/>
              <w:marRight w:val="0"/>
              <w:marTop w:val="0"/>
              <w:marBottom w:val="0"/>
              <w:divBdr>
                <w:top w:val="none" w:sz="0" w:space="0" w:color="auto"/>
                <w:left w:val="none" w:sz="0" w:space="0" w:color="auto"/>
                <w:bottom w:val="none" w:sz="0" w:space="0" w:color="auto"/>
                <w:right w:val="none" w:sz="0" w:space="0" w:color="auto"/>
              </w:divBdr>
              <w:divsChild>
                <w:div w:id="1072506549">
                  <w:marLeft w:val="0"/>
                  <w:marRight w:val="0"/>
                  <w:marTop w:val="0"/>
                  <w:marBottom w:val="0"/>
                  <w:divBdr>
                    <w:top w:val="none" w:sz="0" w:space="0" w:color="auto"/>
                    <w:left w:val="none" w:sz="0" w:space="0" w:color="auto"/>
                    <w:bottom w:val="none" w:sz="0" w:space="0" w:color="auto"/>
                    <w:right w:val="none" w:sz="0" w:space="0" w:color="auto"/>
                  </w:divBdr>
                </w:div>
              </w:divsChild>
            </w:div>
            <w:div w:id="559946886">
              <w:marLeft w:val="0"/>
              <w:marRight w:val="0"/>
              <w:marTop w:val="0"/>
              <w:marBottom w:val="0"/>
              <w:divBdr>
                <w:top w:val="none" w:sz="0" w:space="0" w:color="auto"/>
                <w:left w:val="none" w:sz="0" w:space="0" w:color="auto"/>
                <w:bottom w:val="none" w:sz="0" w:space="0" w:color="auto"/>
                <w:right w:val="none" w:sz="0" w:space="0" w:color="auto"/>
              </w:divBdr>
            </w:div>
          </w:divsChild>
        </w:div>
        <w:div w:id="1534225285">
          <w:marLeft w:val="0"/>
          <w:marRight w:val="0"/>
          <w:marTop w:val="0"/>
          <w:marBottom w:val="0"/>
          <w:divBdr>
            <w:top w:val="none" w:sz="0" w:space="0" w:color="auto"/>
            <w:left w:val="none" w:sz="0" w:space="0" w:color="auto"/>
            <w:bottom w:val="none" w:sz="0" w:space="0" w:color="auto"/>
            <w:right w:val="none" w:sz="0" w:space="0" w:color="auto"/>
          </w:divBdr>
          <w:divsChild>
            <w:div w:id="94400502">
              <w:marLeft w:val="0"/>
              <w:marRight w:val="0"/>
              <w:marTop w:val="0"/>
              <w:marBottom w:val="0"/>
              <w:divBdr>
                <w:top w:val="none" w:sz="0" w:space="0" w:color="auto"/>
                <w:left w:val="none" w:sz="0" w:space="0" w:color="auto"/>
                <w:bottom w:val="none" w:sz="0" w:space="0" w:color="auto"/>
                <w:right w:val="none" w:sz="0" w:space="0" w:color="auto"/>
              </w:divBdr>
              <w:divsChild>
                <w:div w:id="855575579">
                  <w:marLeft w:val="0"/>
                  <w:marRight w:val="0"/>
                  <w:marTop w:val="0"/>
                  <w:marBottom w:val="0"/>
                  <w:divBdr>
                    <w:top w:val="none" w:sz="0" w:space="0" w:color="auto"/>
                    <w:left w:val="none" w:sz="0" w:space="0" w:color="auto"/>
                    <w:bottom w:val="none" w:sz="0" w:space="0" w:color="auto"/>
                    <w:right w:val="none" w:sz="0" w:space="0" w:color="auto"/>
                  </w:divBdr>
                </w:div>
                <w:div w:id="1497652192">
                  <w:marLeft w:val="0"/>
                  <w:marRight w:val="0"/>
                  <w:marTop w:val="0"/>
                  <w:marBottom w:val="0"/>
                  <w:divBdr>
                    <w:top w:val="none" w:sz="0" w:space="0" w:color="auto"/>
                    <w:left w:val="none" w:sz="0" w:space="0" w:color="auto"/>
                    <w:bottom w:val="none" w:sz="0" w:space="0" w:color="auto"/>
                    <w:right w:val="none" w:sz="0" w:space="0" w:color="auto"/>
                  </w:divBdr>
                </w:div>
                <w:div w:id="15060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9113">
          <w:marLeft w:val="0"/>
          <w:marRight w:val="0"/>
          <w:marTop w:val="0"/>
          <w:marBottom w:val="0"/>
          <w:divBdr>
            <w:top w:val="none" w:sz="0" w:space="0" w:color="auto"/>
            <w:left w:val="none" w:sz="0" w:space="0" w:color="auto"/>
            <w:bottom w:val="none" w:sz="0" w:space="0" w:color="auto"/>
            <w:right w:val="none" w:sz="0" w:space="0" w:color="auto"/>
          </w:divBdr>
        </w:div>
        <w:div w:id="1728189162">
          <w:marLeft w:val="0"/>
          <w:marRight w:val="0"/>
          <w:marTop w:val="0"/>
          <w:marBottom w:val="0"/>
          <w:divBdr>
            <w:top w:val="none" w:sz="0" w:space="0" w:color="auto"/>
            <w:left w:val="none" w:sz="0" w:space="0" w:color="auto"/>
            <w:bottom w:val="none" w:sz="0" w:space="0" w:color="auto"/>
            <w:right w:val="none" w:sz="0" w:space="0" w:color="auto"/>
          </w:divBdr>
        </w:div>
        <w:div w:id="1751849722">
          <w:marLeft w:val="0"/>
          <w:marRight w:val="0"/>
          <w:marTop w:val="0"/>
          <w:marBottom w:val="0"/>
          <w:divBdr>
            <w:top w:val="none" w:sz="0" w:space="0" w:color="auto"/>
            <w:left w:val="none" w:sz="0" w:space="0" w:color="auto"/>
            <w:bottom w:val="none" w:sz="0" w:space="0" w:color="auto"/>
            <w:right w:val="none" w:sz="0" w:space="0" w:color="auto"/>
          </w:divBdr>
        </w:div>
        <w:div w:id="1823504349">
          <w:marLeft w:val="0"/>
          <w:marRight w:val="0"/>
          <w:marTop w:val="0"/>
          <w:marBottom w:val="0"/>
          <w:divBdr>
            <w:top w:val="none" w:sz="0" w:space="0" w:color="auto"/>
            <w:left w:val="none" w:sz="0" w:space="0" w:color="auto"/>
            <w:bottom w:val="none" w:sz="0" w:space="0" w:color="auto"/>
            <w:right w:val="none" w:sz="0" w:space="0" w:color="auto"/>
          </w:divBdr>
        </w:div>
        <w:div w:id="1848328975">
          <w:marLeft w:val="0"/>
          <w:marRight w:val="0"/>
          <w:marTop w:val="0"/>
          <w:marBottom w:val="0"/>
          <w:divBdr>
            <w:top w:val="none" w:sz="0" w:space="0" w:color="auto"/>
            <w:left w:val="none" w:sz="0" w:space="0" w:color="auto"/>
            <w:bottom w:val="none" w:sz="0" w:space="0" w:color="auto"/>
            <w:right w:val="none" w:sz="0" w:space="0" w:color="auto"/>
          </w:divBdr>
        </w:div>
        <w:div w:id="1969120863">
          <w:marLeft w:val="0"/>
          <w:marRight w:val="0"/>
          <w:marTop w:val="0"/>
          <w:marBottom w:val="0"/>
          <w:divBdr>
            <w:top w:val="none" w:sz="0" w:space="0" w:color="auto"/>
            <w:left w:val="none" w:sz="0" w:space="0" w:color="auto"/>
            <w:bottom w:val="none" w:sz="0" w:space="0" w:color="auto"/>
            <w:right w:val="none" w:sz="0" w:space="0" w:color="auto"/>
          </w:divBdr>
        </w:div>
        <w:div w:id="2061124985">
          <w:marLeft w:val="0"/>
          <w:marRight w:val="0"/>
          <w:marTop w:val="0"/>
          <w:marBottom w:val="0"/>
          <w:divBdr>
            <w:top w:val="none" w:sz="0" w:space="0" w:color="auto"/>
            <w:left w:val="none" w:sz="0" w:space="0" w:color="auto"/>
            <w:bottom w:val="none" w:sz="0" w:space="0" w:color="auto"/>
            <w:right w:val="none" w:sz="0" w:space="0" w:color="auto"/>
          </w:divBdr>
        </w:div>
      </w:divsChild>
    </w:div>
    <w:div w:id="1684432133">
      <w:bodyDiv w:val="1"/>
      <w:marLeft w:val="0"/>
      <w:marRight w:val="0"/>
      <w:marTop w:val="0"/>
      <w:marBottom w:val="0"/>
      <w:divBdr>
        <w:top w:val="none" w:sz="0" w:space="0" w:color="auto"/>
        <w:left w:val="none" w:sz="0" w:space="0" w:color="auto"/>
        <w:bottom w:val="none" w:sz="0" w:space="0" w:color="auto"/>
        <w:right w:val="none" w:sz="0" w:space="0" w:color="auto"/>
      </w:divBdr>
    </w:div>
    <w:div w:id="1687366037">
      <w:bodyDiv w:val="1"/>
      <w:marLeft w:val="0"/>
      <w:marRight w:val="0"/>
      <w:marTop w:val="0"/>
      <w:marBottom w:val="0"/>
      <w:divBdr>
        <w:top w:val="none" w:sz="0" w:space="0" w:color="auto"/>
        <w:left w:val="none" w:sz="0" w:space="0" w:color="auto"/>
        <w:bottom w:val="none" w:sz="0" w:space="0" w:color="auto"/>
        <w:right w:val="none" w:sz="0" w:space="0" w:color="auto"/>
      </w:divBdr>
    </w:div>
    <w:div w:id="1688409491">
      <w:bodyDiv w:val="1"/>
      <w:marLeft w:val="0"/>
      <w:marRight w:val="0"/>
      <w:marTop w:val="0"/>
      <w:marBottom w:val="0"/>
      <w:divBdr>
        <w:top w:val="none" w:sz="0" w:space="0" w:color="auto"/>
        <w:left w:val="none" w:sz="0" w:space="0" w:color="auto"/>
        <w:bottom w:val="none" w:sz="0" w:space="0" w:color="auto"/>
        <w:right w:val="none" w:sz="0" w:space="0" w:color="auto"/>
      </w:divBdr>
      <w:divsChild>
        <w:div w:id="739669756">
          <w:marLeft w:val="0"/>
          <w:marRight w:val="0"/>
          <w:marTop w:val="0"/>
          <w:marBottom w:val="0"/>
          <w:divBdr>
            <w:top w:val="none" w:sz="0" w:space="0" w:color="auto"/>
            <w:left w:val="none" w:sz="0" w:space="0" w:color="auto"/>
            <w:bottom w:val="none" w:sz="0" w:space="0" w:color="auto"/>
            <w:right w:val="none" w:sz="0" w:space="0" w:color="auto"/>
          </w:divBdr>
        </w:div>
        <w:div w:id="987634311">
          <w:marLeft w:val="0"/>
          <w:marRight w:val="0"/>
          <w:marTop w:val="0"/>
          <w:marBottom w:val="0"/>
          <w:divBdr>
            <w:top w:val="none" w:sz="0" w:space="0" w:color="auto"/>
            <w:left w:val="none" w:sz="0" w:space="0" w:color="auto"/>
            <w:bottom w:val="none" w:sz="0" w:space="0" w:color="auto"/>
            <w:right w:val="none" w:sz="0" w:space="0" w:color="auto"/>
          </w:divBdr>
        </w:div>
        <w:div w:id="1216233565">
          <w:marLeft w:val="0"/>
          <w:marRight w:val="0"/>
          <w:marTop w:val="0"/>
          <w:marBottom w:val="0"/>
          <w:divBdr>
            <w:top w:val="none" w:sz="0" w:space="0" w:color="auto"/>
            <w:left w:val="none" w:sz="0" w:space="0" w:color="auto"/>
            <w:bottom w:val="none" w:sz="0" w:space="0" w:color="auto"/>
            <w:right w:val="none" w:sz="0" w:space="0" w:color="auto"/>
          </w:divBdr>
        </w:div>
      </w:divsChild>
    </w:div>
    <w:div w:id="1700886866">
      <w:bodyDiv w:val="1"/>
      <w:marLeft w:val="0"/>
      <w:marRight w:val="0"/>
      <w:marTop w:val="0"/>
      <w:marBottom w:val="0"/>
      <w:divBdr>
        <w:top w:val="none" w:sz="0" w:space="0" w:color="auto"/>
        <w:left w:val="none" w:sz="0" w:space="0" w:color="auto"/>
        <w:bottom w:val="none" w:sz="0" w:space="0" w:color="auto"/>
        <w:right w:val="none" w:sz="0" w:space="0" w:color="auto"/>
      </w:divBdr>
      <w:divsChild>
        <w:div w:id="1668165594">
          <w:marLeft w:val="0"/>
          <w:marRight w:val="0"/>
          <w:marTop w:val="0"/>
          <w:marBottom w:val="0"/>
          <w:divBdr>
            <w:top w:val="none" w:sz="0" w:space="0" w:color="auto"/>
            <w:left w:val="none" w:sz="0" w:space="0" w:color="auto"/>
            <w:bottom w:val="none" w:sz="0" w:space="0" w:color="auto"/>
            <w:right w:val="none" w:sz="0" w:space="0" w:color="auto"/>
          </w:divBdr>
        </w:div>
        <w:div w:id="1961689391">
          <w:marLeft w:val="0"/>
          <w:marRight w:val="0"/>
          <w:marTop w:val="0"/>
          <w:marBottom w:val="0"/>
          <w:divBdr>
            <w:top w:val="none" w:sz="0" w:space="0" w:color="auto"/>
            <w:left w:val="none" w:sz="0" w:space="0" w:color="auto"/>
            <w:bottom w:val="none" w:sz="0" w:space="0" w:color="auto"/>
            <w:right w:val="none" w:sz="0" w:space="0" w:color="auto"/>
          </w:divBdr>
        </w:div>
      </w:divsChild>
    </w:div>
    <w:div w:id="1701740256">
      <w:bodyDiv w:val="1"/>
      <w:marLeft w:val="0"/>
      <w:marRight w:val="0"/>
      <w:marTop w:val="0"/>
      <w:marBottom w:val="0"/>
      <w:divBdr>
        <w:top w:val="none" w:sz="0" w:space="0" w:color="auto"/>
        <w:left w:val="none" w:sz="0" w:space="0" w:color="auto"/>
        <w:bottom w:val="none" w:sz="0" w:space="0" w:color="auto"/>
        <w:right w:val="none" w:sz="0" w:space="0" w:color="auto"/>
      </w:divBdr>
    </w:div>
    <w:div w:id="1707409452">
      <w:bodyDiv w:val="1"/>
      <w:marLeft w:val="0"/>
      <w:marRight w:val="0"/>
      <w:marTop w:val="0"/>
      <w:marBottom w:val="0"/>
      <w:divBdr>
        <w:top w:val="none" w:sz="0" w:space="0" w:color="auto"/>
        <w:left w:val="none" w:sz="0" w:space="0" w:color="auto"/>
        <w:bottom w:val="none" w:sz="0" w:space="0" w:color="auto"/>
        <w:right w:val="none" w:sz="0" w:space="0" w:color="auto"/>
      </w:divBdr>
      <w:divsChild>
        <w:div w:id="117722430">
          <w:marLeft w:val="0"/>
          <w:marRight w:val="0"/>
          <w:marTop w:val="0"/>
          <w:marBottom w:val="0"/>
          <w:divBdr>
            <w:top w:val="none" w:sz="0" w:space="0" w:color="auto"/>
            <w:left w:val="none" w:sz="0" w:space="0" w:color="auto"/>
            <w:bottom w:val="none" w:sz="0" w:space="0" w:color="auto"/>
            <w:right w:val="none" w:sz="0" w:space="0" w:color="auto"/>
          </w:divBdr>
        </w:div>
        <w:div w:id="511379048">
          <w:marLeft w:val="0"/>
          <w:marRight w:val="0"/>
          <w:marTop w:val="0"/>
          <w:marBottom w:val="0"/>
          <w:divBdr>
            <w:top w:val="none" w:sz="0" w:space="0" w:color="auto"/>
            <w:left w:val="none" w:sz="0" w:space="0" w:color="auto"/>
            <w:bottom w:val="none" w:sz="0" w:space="0" w:color="auto"/>
            <w:right w:val="none" w:sz="0" w:space="0" w:color="auto"/>
          </w:divBdr>
        </w:div>
        <w:div w:id="1055816529">
          <w:marLeft w:val="0"/>
          <w:marRight w:val="0"/>
          <w:marTop w:val="0"/>
          <w:marBottom w:val="0"/>
          <w:divBdr>
            <w:top w:val="none" w:sz="0" w:space="0" w:color="auto"/>
            <w:left w:val="none" w:sz="0" w:space="0" w:color="auto"/>
            <w:bottom w:val="none" w:sz="0" w:space="0" w:color="auto"/>
            <w:right w:val="none" w:sz="0" w:space="0" w:color="auto"/>
          </w:divBdr>
        </w:div>
      </w:divsChild>
    </w:div>
    <w:div w:id="1726562358">
      <w:bodyDiv w:val="1"/>
      <w:marLeft w:val="0"/>
      <w:marRight w:val="0"/>
      <w:marTop w:val="0"/>
      <w:marBottom w:val="0"/>
      <w:divBdr>
        <w:top w:val="none" w:sz="0" w:space="0" w:color="auto"/>
        <w:left w:val="none" w:sz="0" w:space="0" w:color="auto"/>
        <w:bottom w:val="none" w:sz="0" w:space="0" w:color="auto"/>
        <w:right w:val="none" w:sz="0" w:space="0" w:color="auto"/>
      </w:divBdr>
    </w:div>
    <w:div w:id="1751465213">
      <w:bodyDiv w:val="1"/>
      <w:marLeft w:val="0"/>
      <w:marRight w:val="0"/>
      <w:marTop w:val="0"/>
      <w:marBottom w:val="0"/>
      <w:divBdr>
        <w:top w:val="none" w:sz="0" w:space="0" w:color="auto"/>
        <w:left w:val="none" w:sz="0" w:space="0" w:color="auto"/>
        <w:bottom w:val="none" w:sz="0" w:space="0" w:color="auto"/>
        <w:right w:val="none" w:sz="0" w:space="0" w:color="auto"/>
      </w:divBdr>
    </w:div>
    <w:div w:id="1765882971">
      <w:bodyDiv w:val="1"/>
      <w:marLeft w:val="0"/>
      <w:marRight w:val="0"/>
      <w:marTop w:val="0"/>
      <w:marBottom w:val="0"/>
      <w:divBdr>
        <w:top w:val="none" w:sz="0" w:space="0" w:color="auto"/>
        <w:left w:val="none" w:sz="0" w:space="0" w:color="auto"/>
        <w:bottom w:val="none" w:sz="0" w:space="0" w:color="auto"/>
        <w:right w:val="none" w:sz="0" w:space="0" w:color="auto"/>
      </w:divBdr>
    </w:div>
    <w:div w:id="1774089324">
      <w:bodyDiv w:val="1"/>
      <w:marLeft w:val="0"/>
      <w:marRight w:val="0"/>
      <w:marTop w:val="0"/>
      <w:marBottom w:val="0"/>
      <w:divBdr>
        <w:top w:val="none" w:sz="0" w:space="0" w:color="auto"/>
        <w:left w:val="none" w:sz="0" w:space="0" w:color="auto"/>
        <w:bottom w:val="none" w:sz="0" w:space="0" w:color="auto"/>
        <w:right w:val="none" w:sz="0" w:space="0" w:color="auto"/>
      </w:divBdr>
    </w:div>
    <w:div w:id="1785803409">
      <w:bodyDiv w:val="1"/>
      <w:marLeft w:val="0"/>
      <w:marRight w:val="0"/>
      <w:marTop w:val="0"/>
      <w:marBottom w:val="0"/>
      <w:divBdr>
        <w:top w:val="none" w:sz="0" w:space="0" w:color="auto"/>
        <w:left w:val="none" w:sz="0" w:space="0" w:color="auto"/>
        <w:bottom w:val="none" w:sz="0" w:space="0" w:color="auto"/>
        <w:right w:val="none" w:sz="0" w:space="0" w:color="auto"/>
      </w:divBdr>
      <w:divsChild>
        <w:div w:id="725303656">
          <w:marLeft w:val="0"/>
          <w:marRight w:val="0"/>
          <w:marTop w:val="0"/>
          <w:marBottom w:val="0"/>
          <w:divBdr>
            <w:top w:val="none" w:sz="0" w:space="0" w:color="auto"/>
            <w:left w:val="none" w:sz="0" w:space="0" w:color="auto"/>
            <w:bottom w:val="none" w:sz="0" w:space="0" w:color="auto"/>
            <w:right w:val="none" w:sz="0" w:space="0" w:color="auto"/>
          </w:divBdr>
        </w:div>
        <w:div w:id="1137068861">
          <w:marLeft w:val="0"/>
          <w:marRight w:val="0"/>
          <w:marTop w:val="0"/>
          <w:marBottom w:val="0"/>
          <w:divBdr>
            <w:top w:val="none" w:sz="0" w:space="0" w:color="auto"/>
            <w:left w:val="none" w:sz="0" w:space="0" w:color="auto"/>
            <w:bottom w:val="none" w:sz="0" w:space="0" w:color="auto"/>
            <w:right w:val="none" w:sz="0" w:space="0" w:color="auto"/>
          </w:divBdr>
        </w:div>
      </w:divsChild>
    </w:div>
    <w:div w:id="1790313924">
      <w:bodyDiv w:val="1"/>
      <w:marLeft w:val="0"/>
      <w:marRight w:val="0"/>
      <w:marTop w:val="0"/>
      <w:marBottom w:val="0"/>
      <w:divBdr>
        <w:top w:val="none" w:sz="0" w:space="0" w:color="auto"/>
        <w:left w:val="none" w:sz="0" w:space="0" w:color="auto"/>
        <w:bottom w:val="none" w:sz="0" w:space="0" w:color="auto"/>
        <w:right w:val="none" w:sz="0" w:space="0" w:color="auto"/>
      </w:divBdr>
      <w:divsChild>
        <w:div w:id="1255941365">
          <w:marLeft w:val="0"/>
          <w:marRight w:val="0"/>
          <w:marTop w:val="0"/>
          <w:marBottom w:val="0"/>
          <w:divBdr>
            <w:top w:val="none" w:sz="0" w:space="0" w:color="auto"/>
            <w:left w:val="none" w:sz="0" w:space="0" w:color="auto"/>
            <w:bottom w:val="none" w:sz="0" w:space="0" w:color="auto"/>
            <w:right w:val="none" w:sz="0" w:space="0" w:color="auto"/>
          </w:divBdr>
        </w:div>
        <w:div w:id="1412121353">
          <w:marLeft w:val="0"/>
          <w:marRight w:val="0"/>
          <w:marTop w:val="0"/>
          <w:marBottom w:val="0"/>
          <w:divBdr>
            <w:top w:val="none" w:sz="0" w:space="0" w:color="auto"/>
            <w:left w:val="none" w:sz="0" w:space="0" w:color="auto"/>
            <w:bottom w:val="none" w:sz="0" w:space="0" w:color="auto"/>
            <w:right w:val="none" w:sz="0" w:space="0" w:color="auto"/>
          </w:divBdr>
        </w:div>
        <w:div w:id="1644848658">
          <w:marLeft w:val="0"/>
          <w:marRight w:val="0"/>
          <w:marTop w:val="0"/>
          <w:marBottom w:val="0"/>
          <w:divBdr>
            <w:top w:val="none" w:sz="0" w:space="0" w:color="auto"/>
            <w:left w:val="none" w:sz="0" w:space="0" w:color="auto"/>
            <w:bottom w:val="none" w:sz="0" w:space="0" w:color="auto"/>
            <w:right w:val="none" w:sz="0" w:space="0" w:color="auto"/>
          </w:divBdr>
        </w:div>
      </w:divsChild>
    </w:div>
    <w:div w:id="1806046979">
      <w:bodyDiv w:val="1"/>
      <w:marLeft w:val="0"/>
      <w:marRight w:val="0"/>
      <w:marTop w:val="0"/>
      <w:marBottom w:val="0"/>
      <w:divBdr>
        <w:top w:val="none" w:sz="0" w:space="0" w:color="auto"/>
        <w:left w:val="none" w:sz="0" w:space="0" w:color="auto"/>
        <w:bottom w:val="none" w:sz="0" w:space="0" w:color="auto"/>
        <w:right w:val="none" w:sz="0" w:space="0" w:color="auto"/>
      </w:divBdr>
      <w:divsChild>
        <w:div w:id="59325179">
          <w:marLeft w:val="0"/>
          <w:marRight w:val="0"/>
          <w:marTop w:val="0"/>
          <w:marBottom w:val="0"/>
          <w:divBdr>
            <w:top w:val="none" w:sz="0" w:space="0" w:color="auto"/>
            <w:left w:val="none" w:sz="0" w:space="0" w:color="auto"/>
            <w:bottom w:val="none" w:sz="0" w:space="0" w:color="auto"/>
            <w:right w:val="none" w:sz="0" w:space="0" w:color="auto"/>
          </w:divBdr>
        </w:div>
        <w:div w:id="978613429">
          <w:marLeft w:val="0"/>
          <w:marRight w:val="0"/>
          <w:marTop w:val="0"/>
          <w:marBottom w:val="0"/>
          <w:divBdr>
            <w:top w:val="none" w:sz="0" w:space="0" w:color="auto"/>
            <w:left w:val="none" w:sz="0" w:space="0" w:color="auto"/>
            <w:bottom w:val="none" w:sz="0" w:space="0" w:color="auto"/>
            <w:right w:val="none" w:sz="0" w:space="0" w:color="auto"/>
          </w:divBdr>
        </w:div>
        <w:div w:id="2049798849">
          <w:marLeft w:val="0"/>
          <w:marRight w:val="0"/>
          <w:marTop w:val="0"/>
          <w:marBottom w:val="0"/>
          <w:divBdr>
            <w:top w:val="none" w:sz="0" w:space="0" w:color="auto"/>
            <w:left w:val="none" w:sz="0" w:space="0" w:color="auto"/>
            <w:bottom w:val="none" w:sz="0" w:space="0" w:color="auto"/>
            <w:right w:val="none" w:sz="0" w:space="0" w:color="auto"/>
          </w:divBdr>
        </w:div>
      </w:divsChild>
    </w:div>
    <w:div w:id="1811970481">
      <w:bodyDiv w:val="1"/>
      <w:marLeft w:val="0"/>
      <w:marRight w:val="0"/>
      <w:marTop w:val="0"/>
      <w:marBottom w:val="0"/>
      <w:divBdr>
        <w:top w:val="none" w:sz="0" w:space="0" w:color="auto"/>
        <w:left w:val="none" w:sz="0" w:space="0" w:color="auto"/>
        <w:bottom w:val="none" w:sz="0" w:space="0" w:color="auto"/>
        <w:right w:val="none" w:sz="0" w:space="0" w:color="auto"/>
      </w:divBdr>
      <w:divsChild>
        <w:div w:id="953946205">
          <w:marLeft w:val="0"/>
          <w:marRight w:val="0"/>
          <w:marTop w:val="0"/>
          <w:marBottom w:val="0"/>
          <w:divBdr>
            <w:top w:val="none" w:sz="0" w:space="0" w:color="auto"/>
            <w:left w:val="none" w:sz="0" w:space="0" w:color="auto"/>
            <w:bottom w:val="none" w:sz="0" w:space="0" w:color="auto"/>
            <w:right w:val="none" w:sz="0" w:space="0" w:color="auto"/>
          </w:divBdr>
        </w:div>
        <w:div w:id="1008025429">
          <w:marLeft w:val="0"/>
          <w:marRight w:val="0"/>
          <w:marTop w:val="0"/>
          <w:marBottom w:val="0"/>
          <w:divBdr>
            <w:top w:val="none" w:sz="0" w:space="0" w:color="auto"/>
            <w:left w:val="none" w:sz="0" w:space="0" w:color="auto"/>
            <w:bottom w:val="none" w:sz="0" w:space="0" w:color="auto"/>
            <w:right w:val="none" w:sz="0" w:space="0" w:color="auto"/>
          </w:divBdr>
        </w:div>
        <w:div w:id="1255671274">
          <w:marLeft w:val="0"/>
          <w:marRight w:val="0"/>
          <w:marTop w:val="0"/>
          <w:marBottom w:val="0"/>
          <w:divBdr>
            <w:top w:val="none" w:sz="0" w:space="0" w:color="auto"/>
            <w:left w:val="none" w:sz="0" w:space="0" w:color="auto"/>
            <w:bottom w:val="none" w:sz="0" w:space="0" w:color="auto"/>
            <w:right w:val="none" w:sz="0" w:space="0" w:color="auto"/>
          </w:divBdr>
        </w:div>
      </w:divsChild>
    </w:div>
    <w:div w:id="1818495726">
      <w:bodyDiv w:val="1"/>
      <w:marLeft w:val="0"/>
      <w:marRight w:val="0"/>
      <w:marTop w:val="0"/>
      <w:marBottom w:val="0"/>
      <w:divBdr>
        <w:top w:val="none" w:sz="0" w:space="0" w:color="auto"/>
        <w:left w:val="none" w:sz="0" w:space="0" w:color="auto"/>
        <w:bottom w:val="none" w:sz="0" w:space="0" w:color="auto"/>
        <w:right w:val="none" w:sz="0" w:space="0" w:color="auto"/>
      </w:divBdr>
      <w:divsChild>
        <w:div w:id="403263595">
          <w:marLeft w:val="994"/>
          <w:marRight w:val="0"/>
          <w:marTop w:val="0"/>
          <w:marBottom w:val="0"/>
          <w:divBdr>
            <w:top w:val="none" w:sz="0" w:space="0" w:color="auto"/>
            <w:left w:val="none" w:sz="0" w:space="0" w:color="auto"/>
            <w:bottom w:val="none" w:sz="0" w:space="0" w:color="auto"/>
            <w:right w:val="none" w:sz="0" w:space="0" w:color="auto"/>
          </w:divBdr>
        </w:div>
        <w:div w:id="935014132">
          <w:marLeft w:val="994"/>
          <w:marRight w:val="0"/>
          <w:marTop w:val="0"/>
          <w:marBottom w:val="0"/>
          <w:divBdr>
            <w:top w:val="none" w:sz="0" w:space="0" w:color="auto"/>
            <w:left w:val="none" w:sz="0" w:space="0" w:color="auto"/>
            <w:bottom w:val="none" w:sz="0" w:space="0" w:color="auto"/>
            <w:right w:val="none" w:sz="0" w:space="0" w:color="auto"/>
          </w:divBdr>
        </w:div>
        <w:div w:id="1133524510">
          <w:marLeft w:val="994"/>
          <w:marRight w:val="0"/>
          <w:marTop w:val="0"/>
          <w:marBottom w:val="0"/>
          <w:divBdr>
            <w:top w:val="none" w:sz="0" w:space="0" w:color="auto"/>
            <w:left w:val="none" w:sz="0" w:space="0" w:color="auto"/>
            <w:bottom w:val="none" w:sz="0" w:space="0" w:color="auto"/>
            <w:right w:val="none" w:sz="0" w:space="0" w:color="auto"/>
          </w:divBdr>
        </w:div>
        <w:div w:id="1396852984">
          <w:marLeft w:val="994"/>
          <w:marRight w:val="0"/>
          <w:marTop w:val="0"/>
          <w:marBottom w:val="0"/>
          <w:divBdr>
            <w:top w:val="none" w:sz="0" w:space="0" w:color="auto"/>
            <w:left w:val="none" w:sz="0" w:space="0" w:color="auto"/>
            <w:bottom w:val="none" w:sz="0" w:space="0" w:color="auto"/>
            <w:right w:val="none" w:sz="0" w:space="0" w:color="auto"/>
          </w:divBdr>
        </w:div>
      </w:divsChild>
    </w:div>
    <w:div w:id="1823503646">
      <w:bodyDiv w:val="1"/>
      <w:marLeft w:val="0"/>
      <w:marRight w:val="0"/>
      <w:marTop w:val="0"/>
      <w:marBottom w:val="0"/>
      <w:divBdr>
        <w:top w:val="none" w:sz="0" w:space="0" w:color="auto"/>
        <w:left w:val="none" w:sz="0" w:space="0" w:color="auto"/>
        <w:bottom w:val="none" w:sz="0" w:space="0" w:color="auto"/>
        <w:right w:val="none" w:sz="0" w:space="0" w:color="auto"/>
      </w:divBdr>
      <w:divsChild>
        <w:div w:id="479225843">
          <w:marLeft w:val="0"/>
          <w:marRight w:val="0"/>
          <w:marTop w:val="0"/>
          <w:marBottom w:val="0"/>
          <w:divBdr>
            <w:top w:val="none" w:sz="0" w:space="0" w:color="auto"/>
            <w:left w:val="none" w:sz="0" w:space="0" w:color="auto"/>
            <w:bottom w:val="none" w:sz="0" w:space="0" w:color="auto"/>
            <w:right w:val="none" w:sz="0" w:space="0" w:color="auto"/>
          </w:divBdr>
        </w:div>
        <w:div w:id="659575014">
          <w:marLeft w:val="0"/>
          <w:marRight w:val="0"/>
          <w:marTop w:val="0"/>
          <w:marBottom w:val="0"/>
          <w:divBdr>
            <w:top w:val="none" w:sz="0" w:space="0" w:color="auto"/>
            <w:left w:val="none" w:sz="0" w:space="0" w:color="auto"/>
            <w:bottom w:val="none" w:sz="0" w:space="0" w:color="auto"/>
            <w:right w:val="none" w:sz="0" w:space="0" w:color="auto"/>
          </w:divBdr>
        </w:div>
        <w:div w:id="714504144">
          <w:marLeft w:val="0"/>
          <w:marRight w:val="0"/>
          <w:marTop w:val="0"/>
          <w:marBottom w:val="0"/>
          <w:divBdr>
            <w:top w:val="none" w:sz="0" w:space="0" w:color="auto"/>
            <w:left w:val="none" w:sz="0" w:space="0" w:color="auto"/>
            <w:bottom w:val="none" w:sz="0" w:space="0" w:color="auto"/>
            <w:right w:val="none" w:sz="0" w:space="0" w:color="auto"/>
          </w:divBdr>
        </w:div>
      </w:divsChild>
    </w:div>
    <w:div w:id="1830515666">
      <w:bodyDiv w:val="1"/>
      <w:marLeft w:val="0"/>
      <w:marRight w:val="0"/>
      <w:marTop w:val="0"/>
      <w:marBottom w:val="0"/>
      <w:divBdr>
        <w:top w:val="none" w:sz="0" w:space="0" w:color="auto"/>
        <w:left w:val="none" w:sz="0" w:space="0" w:color="auto"/>
        <w:bottom w:val="none" w:sz="0" w:space="0" w:color="auto"/>
        <w:right w:val="none" w:sz="0" w:space="0" w:color="auto"/>
      </w:divBdr>
    </w:div>
    <w:div w:id="1844319832">
      <w:bodyDiv w:val="1"/>
      <w:marLeft w:val="0"/>
      <w:marRight w:val="0"/>
      <w:marTop w:val="0"/>
      <w:marBottom w:val="0"/>
      <w:divBdr>
        <w:top w:val="none" w:sz="0" w:space="0" w:color="auto"/>
        <w:left w:val="none" w:sz="0" w:space="0" w:color="auto"/>
        <w:bottom w:val="none" w:sz="0" w:space="0" w:color="auto"/>
        <w:right w:val="none" w:sz="0" w:space="0" w:color="auto"/>
      </w:divBdr>
      <w:divsChild>
        <w:div w:id="303583247">
          <w:marLeft w:val="0"/>
          <w:marRight w:val="0"/>
          <w:marTop w:val="0"/>
          <w:marBottom w:val="0"/>
          <w:divBdr>
            <w:top w:val="none" w:sz="0" w:space="0" w:color="auto"/>
            <w:left w:val="none" w:sz="0" w:space="0" w:color="auto"/>
            <w:bottom w:val="none" w:sz="0" w:space="0" w:color="auto"/>
            <w:right w:val="none" w:sz="0" w:space="0" w:color="auto"/>
          </w:divBdr>
        </w:div>
        <w:div w:id="1655597323">
          <w:marLeft w:val="0"/>
          <w:marRight w:val="0"/>
          <w:marTop w:val="0"/>
          <w:marBottom w:val="0"/>
          <w:divBdr>
            <w:top w:val="none" w:sz="0" w:space="0" w:color="auto"/>
            <w:left w:val="none" w:sz="0" w:space="0" w:color="auto"/>
            <w:bottom w:val="none" w:sz="0" w:space="0" w:color="auto"/>
            <w:right w:val="none" w:sz="0" w:space="0" w:color="auto"/>
          </w:divBdr>
        </w:div>
      </w:divsChild>
    </w:div>
    <w:div w:id="1849636541">
      <w:bodyDiv w:val="1"/>
      <w:marLeft w:val="0"/>
      <w:marRight w:val="0"/>
      <w:marTop w:val="0"/>
      <w:marBottom w:val="0"/>
      <w:divBdr>
        <w:top w:val="none" w:sz="0" w:space="0" w:color="auto"/>
        <w:left w:val="none" w:sz="0" w:space="0" w:color="auto"/>
        <w:bottom w:val="none" w:sz="0" w:space="0" w:color="auto"/>
        <w:right w:val="none" w:sz="0" w:space="0" w:color="auto"/>
      </w:divBdr>
      <w:divsChild>
        <w:div w:id="1077746732">
          <w:marLeft w:val="0"/>
          <w:marRight w:val="0"/>
          <w:marTop w:val="0"/>
          <w:marBottom w:val="0"/>
          <w:divBdr>
            <w:top w:val="none" w:sz="0" w:space="0" w:color="auto"/>
            <w:left w:val="none" w:sz="0" w:space="0" w:color="auto"/>
            <w:bottom w:val="none" w:sz="0" w:space="0" w:color="auto"/>
            <w:right w:val="none" w:sz="0" w:space="0" w:color="auto"/>
          </w:divBdr>
        </w:div>
        <w:div w:id="1589804433">
          <w:marLeft w:val="0"/>
          <w:marRight w:val="0"/>
          <w:marTop w:val="0"/>
          <w:marBottom w:val="0"/>
          <w:divBdr>
            <w:top w:val="none" w:sz="0" w:space="0" w:color="auto"/>
            <w:left w:val="none" w:sz="0" w:space="0" w:color="auto"/>
            <w:bottom w:val="none" w:sz="0" w:space="0" w:color="auto"/>
            <w:right w:val="none" w:sz="0" w:space="0" w:color="auto"/>
          </w:divBdr>
        </w:div>
      </w:divsChild>
    </w:div>
    <w:div w:id="1850678117">
      <w:bodyDiv w:val="1"/>
      <w:marLeft w:val="0"/>
      <w:marRight w:val="0"/>
      <w:marTop w:val="0"/>
      <w:marBottom w:val="0"/>
      <w:divBdr>
        <w:top w:val="none" w:sz="0" w:space="0" w:color="auto"/>
        <w:left w:val="none" w:sz="0" w:space="0" w:color="auto"/>
        <w:bottom w:val="none" w:sz="0" w:space="0" w:color="auto"/>
        <w:right w:val="none" w:sz="0" w:space="0" w:color="auto"/>
      </w:divBdr>
    </w:div>
    <w:div w:id="1856530272">
      <w:bodyDiv w:val="1"/>
      <w:marLeft w:val="0"/>
      <w:marRight w:val="0"/>
      <w:marTop w:val="0"/>
      <w:marBottom w:val="0"/>
      <w:divBdr>
        <w:top w:val="none" w:sz="0" w:space="0" w:color="auto"/>
        <w:left w:val="none" w:sz="0" w:space="0" w:color="auto"/>
        <w:bottom w:val="none" w:sz="0" w:space="0" w:color="auto"/>
        <w:right w:val="none" w:sz="0" w:space="0" w:color="auto"/>
      </w:divBdr>
    </w:div>
    <w:div w:id="1861815559">
      <w:bodyDiv w:val="1"/>
      <w:marLeft w:val="0"/>
      <w:marRight w:val="0"/>
      <w:marTop w:val="0"/>
      <w:marBottom w:val="0"/>
      <w:divBdr>
        <w:top w:val="none" w:sz="0" w:space="0" w:color="auto"/>
        <w:left w:val="none" w:sz="0" w:space="0" w:color="auto"/>
        <w:bottom w:val="none" w:sz="0" w:space="0" w:color="auto"/>
        <w:right w:val="none" w:sz="0" w:space="0" w:color="auto"/>
      </w:divBdr>
    </w:div>
    <w:div w:id="1863856735">
      <w:bodyDiv w:val="1"/>
      <w:marLeft w:val="0"/>
      <w:marRight w:val="0"/>
      <w:marTop w:val="0"/>
      <w:marBottom w:val="0"/>
      <w:divBdr>
        <w:top w:val="none" w:sz="0" w:space="0" w:color="auto"/>
        <w:left w:val="none" w:sz="0" w:space="0" w:color="auto"/>
        <w:bottom w:val="none" w:sz="0" w:space="0" w:color="auto"/>
        <w:right w:val="none" w:sz="0" w:space="0" w:color="auto"/>
      </w:divBdr>
      <w:divsChild>
        <w:div w:id="1089890714">
          <w:marLeft w:val="0"/>
          <w:marRight w:val="0"/>
          <w:marTop w:val="0"/>
          <w:marBottom w:val="0"/>
          <w:divBdr>
            <w:top w:val="none" w:sz="0" w:space="0" w:color="auto"/>
            <w:left w:val="none" w:sz="0" w:space="0" w:color="auto"/>
            <w:bottom w:val="none" w:sz="0" w:space="0" w:color="auto"/>
            <w:right w:val="none" w:sz="0" w:space="0" w:color="auto"/>
          </w:divBdr>
        </w:div>
      </w:divsChild>
    </w:div>
    <w:div w:id="1870218963">
      <w:bodyDiv w:val="1"/>
      <w:marLeft w:val="0"/>
      <w:marRight w:val="0"/>
      <w:marTop w:val="0"/>
      <w:marBottom w:val="0"/>
      <w:divBdr>
        <w:top w:val="none" w:sz="0" w:space="0" w:color="auto"/>
        <w:left w:val="none" w:sz="0" w:space="0" w:color="auto"/>
        <w:bottom w:val="none" w:sz="0" w:space="0" w:color="auto"/>
        <w:right w:val="none" w:sz="0" w:space="0" w:color="auto"/>
      </w:divBdr>
    </w:div>
    <w:div w:id="1888829687">
      <w:bodyDiv w:val="1"/>
      <w:marLeft w:val="0"/>
      <w:marRight w:val="0"/>
      <w:marTop w:val="0"/>
      <w:marBottom w:val="0"/>
      <w:divBdr>
        <w:top w:val="none" w:sz="0" w:space="0" w:color="auto"/>
        <w:left w:val="none" w:sz="0" w:space="0" w:color="auto"/>
        <w:bottom w:val="none" w:sz="0" w:space="0" w:color="auto"/>
        <w:right w:val="none" w:sz="0" w:space="0" w:color="auto"/>
      </w:divBdr>
      <w:divsChild>
        <w:div w:id="680082151">
          <w:marLeft w:val="0"/>
          <w:marRight w:val="0"/>
          <w:marTop w:val="0"/>
          <w:marBottom w:val="0"/>
          <w:divBdr>
            <w:top w:val="none" w:sz="0" w:space="0" w:color="auto"/>
            <w:left w:val="none" w:sz="0" w:space="0" w:color="auto"/>
            <w:bottom w:val="none" w:sz="0" w:space="0" w:color="auto"/>
            <w:right w:val="none" w:sz="0" w:space="0" w:color="auto"/>
          </w:divBdr>
        </w:div>
        <w:div w:id="1012293952">
          <w:marLeft w:val="0"/>
          <w:marRight w:val="0"/>
          <w:marTop w:val="0"/>
          <w:marBottom w:val="0"/>
          <w:divBdr>
            <w:top w:val="none" w:sz="0" w:space="0" w:color="auto"/>
            <w:left w:val="none" w:sz="0" w:space="0" w:color="auto"/>
            <w:bottom w:val="none" w:sz="0" w:space="0" w:color="auto"/>
            <w:right w:val="none" w:sz="0" w:space="0" w:color="auto"/>
          </w:divBdr>
        </w:div>
        <w:div w:id="1444306831">
          <w:marLeft w:val="0"/>
          <w:marRight w:val="0"/>
          <w:marTop w:val="0"/>
          <w:marBottom w:val="0"/>
          <w:divBdr>
            <w:top w:val="none" w:sz="0" w:space="0" w:color="auto"/>
            <w:left w:val="none" w:sz="0" w:space="0" w:color="auto"/>
            <w:bottom w:val="none" w:sz="0" w:space="0" w:color="auto"/>
            <w:right w:val="none" w:sz="0" w:space="0" w:color="auto"/>
          </w:divBdr>
        </w:div>
      </w:divsChild>
    </w:div>
    <w:div w:id="1897157243">
      <w:bodyDiv w:val="1"/>
      <w:marLeft w:val="0"/>
      <w:marRight w:val="0"/>
      <w:marTop w:val="0"/>
      <w:marBottom w:val="0"/>
      <w:divBdr>
        <w:top w:val="none" w:sz="0" w:space="0" w:color="auto"/>
        <w:left w:val="none" w:sz="0" w:space="0" w:color="auto"/>
        <w:bottom w:val="none" w:sz="0" w:space="0" w:color="auto"/>
        <w:right w:val="none" w:sz="0" w:space="0" w:color="auto"/>
      </w:divBdr>
    </w:div>
    <w:div w:id="1898589511">
      <w:bodyDiv w:val="1"/>
      <w:marLeft w:val="0"/>
      <w:marRight w:val="0"/>
      <w:marTop w:val="0"/>
      <w:marBottom w:val="0"/>
      <w:divBdr>
        <w:top w:val="none" w:sz="0" w:space="0" w:color="auto"/>
        <w:left w:val="none" w:sz="0" w:space="0" w:color="auto"/>
        <w:bottom w:val="none" w:sz="0" w:space="0" w:color="auto"/>
        <w:right w:val="none" w:sz="0" w:space="0" w:color="auto"/>
      </w:divBdr>
    </w:div>
    <w:div w:id="1912695950">
      <w:bodyDiv w:val="1"/>
      <w:marLeft w:val="0"/>
      <w:marRight w:val="0"/>
      <w:marTop w:val="0"/>
      <w:marBottom w:val="0"/>
      <w:divBdr>
        <w:top w:val="none" w:sz="0" w:space="0" w:color="auto"/>
        <w:left w:val="none" w:sz="0" w:space="0" w:color="auto"/>
        <w:bottom w:val="none" w:sz="0" w:space="0" w:color="auto"/>
        <w:right w:val="none" w:sz="0" w:space="0" w:color="auto"/>
      </w:divBdr>
    </w:div>
    <w:div w:id="1917204903">
      <w:bodyDiv w:val="1"/>
      <w:marLeft w:val="0"/>
      <w:marRight w:val="0"/>
      <w:marTop w:val="0"/>
      <w:marBottom w:val="0"/>
      <w:divBdr>
        <w:top w:val="none" w:sz="0" w:space="0" w:color="auto"/>
        <w:left w:val="none" w:sz="0" w:space="0" w:color="auto"/>
        <w:bottom w:val="none" w:sz="0" w:space="0" w:color="auto"/>
        <w:right w:val="none" w:sz="0" w:space="0" w:color="auto"/>
      </w:divBdr>
      <w:divsChild>
        <w:div w:id="197863762">
          <w:marLeft w:val="0"/>
          <w:marRight w:val="0"/>
          <w:marTop w:val="0"/>
          <w:marBottom w:val="0"/>
          <w:divBdr>
            <w:top w:val="none" w:sz="0" w:space="0" w:color="auto"/>
            <w:left w:val="none" w:sz="0" w:space="0" w:color="auto"/>
            <w:bottom w:val="none" w:sz="0" w:space="0" w:color="auto"/>
            <w:right w:val="none" w:sz="0" w:space="0" w:color="auto"/>
          </w:divBdr>
        </w:div>
        <w:div w:id="1081834764">
          <w:marLeft w:val="0"/>
          <w:marRight w:val="0"/>
          <w:marTop w:val="0"/>
          <w:marBottom w:val="0"/>
          <w:divBdr>
            <w:top w:val="none" w:sz="0" w:space="0" w:color="auto"/>
            <w:left w:val="none" w:sz="0" w:space="0" w:color="auto"/>
            <w:bottom w:val="none" w:sz="0" w:space="0" w:color="auto"/>
            <w:right w:val="none" w:sz="0" w:space="0" w:color="auto"/>
          </w:divBdr>
        </w:div>
        <w:div w:id="1226180721">
          <w:marLeft w:val="0"/>
          <w:marRight w:val="0"/>
          <w:marTop w:val="0"/>
          <w:marBottom w:val="0"/>
          <w:divBdr>
            <w:top w:val="none" w:sz="0" w:space="0" w:color="auto"/>
            <w:left w:val="none" w:sz="0" w:space="0" w:color="auto"/>
            <w:bottom w:val="none" w:sz="0" w:space="0" w:color="auto"/>
            <w:right w:val="none" w:sz="0" w:space="0" w:color="auto"/>
          </w:divBdr>
        </w:div>
        <w:div w:id="1369768096">
          <w:marLeft w:val="0"/>
          <w:marRight w:val="0"/>
          <w:marTop w:val="0"/>
          <w:marBottom w:val="0"/>
          <w:divBdr>
            <w:top w:val="none" w:sz="0" w:space="0" w:color="auto"/>
            <w:left w:val="none" w:sz="0" w:space="0" w:color="auto"/>
            <w:bottom w:val="none" w:sz="0" w:space="0" w:color="auto"/>
            <w:right w:val="none" w:sz="0" w:space="0" w:color="auto"/>
          </w:divBdr>
        </w:div>
        <w:div w:id="1371028933">
          <w:marLeft w:val="0"/>
          <w:marRight w:val="0"/>
          <w:marTop w:val="0"/>
          <w:marBottom w:val="0"/>
          <w:divBdr>
            <w:top w:val="none" w:sz="0" w:space="0" w:color="auto"/>
            <w:left w:val="none" w:sz="0" w:space="0" w:color="auto"/>
            <w:bottom w:val="none" w:sz="0" w:space="0" w:color="auto"/>
            <w:right w:val="none" w:sz="0" w:space="0" w:color="auto"/>
          </w:divBdr>
        </w:div>
        <w:div w:id="1585068692">
          <w:marLeft w:val="0"/>
          <w:marRight w:val="0"/>
          <w:marTop w:val="0"/>
          <w:marBottom w:val="0"/>
          <w:divBdr>
            <w:top w:val="none" w:sz="0" w:space="0" w:color="auto"/>
            <w:left w:val="none" w:sz="0" w:space="0" w:color="auto"/>
            <w:bottom w:val="none" w:sz="0" w:space="0" w:color="auto"/>
            <w:right w:val="none" w:sz="0" w:space="0" w:color="auto"/>
          </w:divBdr>
        </w:div>
        <w:div w:id="1682467713">
          <w:marLeft w:val="0"/>
          <w:marRight w:val="0"/>
          <w:marTop w:val="0"/>
          <w:marBottom w:val="0"/>
          <w:divBdr>
            <w:top w:val="none" w:sz="0" w:space="0" w:color="auto"/>
            <w:left w:val="none" w:sz="0" w:space="0" w:color="auto"/>
            <w:bottom w:val="none" w:sz="0" w:space="0" w:color="auto"/>
            <w:right w:val="none" w:sz="0" w:space="0" w:color="auto"/>
          </w:divBdr>
        </w:div>
      </w:divsChild>
    </w:div>
    <w:div w:id="1921401489">
      <w:bodyDiv w:val="1"/>
      <w:marLeft w:val="0"/>
      <w:marRight w:val="0"/>
      <w:marTop w:val="0"/>
      <w:marBottom w:val="0"/>
      <w:divBdr>
        <w:top w:val="none" w:sz="0" w:space="0" w:color="auto"/>
        <w:left w:val="none" w:sz="0" w:space="0" w:color="auto"/>
        <w:bottom w:val="none" w:sz="0" w:space="0" w:color="auto"/>
        <w:right w:val="none" w:sz="0" w:space="0" w:color="auto"/>
      </w:divBdr>
    </w:div>
    <w:div w:id="1930775717">
      <w:bodyDiv w:val="1"/>
      <w:marLeft w:val="0"/>
      <w:marRight w:val="0"/>
      <w:marTop w:val="0"/>
      <w:marBottom w:val="0"/>
      <w:divBdr>
        <w:top w:val="none" w:sz="0" w:space="0" w:color="auto"/>
        <w:left w:val="none" w:sz="0" w:space="0" w:color="auto"/>
        <w:bottom w:val="none" w:sz="0" w:space="0" w:color="auto"/>
        <w:right w:val="none" w:sz="0" w:space="0" w:color="auto"/>
      </w:divBdr>
    </w:div>
    <w:div w:id="1936285797">
      <w:bodyDiv w:val="1"/>
      <w:marLeft w:val="0"/>
      <w:marRight w:val="0"/>
      <w:marTop w:val="0"/>
      <w:marBottom w:val="0"/>
      <w:divBdr>
        <w:top w:val="none" w:sz="0" w:space="0" w:color="auto"/>
        <w:left w:val="none" w:sz="0" w:space="0" w:color="auto"/>
        <w:bottom w:val="none" w:sz="0" w:space="0" w:color="auto"/>
        <w:right w:val="none" w:sz="0" w:space="0" w:color="auto"/>
      </w:divBdr>
      <w:divsChild>
        <w:div w:id="340931473">
          <w:marLeft w:val="0"/>
          <w:marRight w:val="0"/>
          <w:marTop w:val="0"/>
          <w:marBottom w:val="0"/>
          <w:divBdr>
            <w:top w:val="none" w:sz="0" w:space="0" w:color="auto"/>
            <w:left w:val="none" w:sz="0" w:space="0" w:color="auto"/>
            <w:bottom w:val="none" w:sz="0" w:space="0" w:color="auto"/>
            <w:right w:val="none" w:sz="0" w:space="0" w:color="auto"/>
          </w:divBdr>
        </w:div>
        <w:div w:id="857159860">
          <w:marLeft w:val="0"/>
          <w:marRight w:val="0"/>
          <w:marTop w:val="0"/>
          <w:marBottom w:val="0"/>
          <w:divBdr>
            <w:top w:val="none" w:sz="0" w:space="0" w:color="auto"/>
            <w:left w:val="none" w:sz="0" w:space="0" w:color="auto"/>
            <w:bottom w:val="none" w:sz="0" w:space="0" w:color="auto"/>
            <w:right w:val="none" w:sz="0" w:space="0" w:color="auto"/>
          </w:divBdr>
        </w:div>
        <w:div w:id="1183587508">
          <w:marLeft w:val="0"/>
          <w:marRight w:val="0"/>
          <w:marTop w:val="0"/>
          <w:marBottom w:val="0"/>
          <w:divBdr>
            <w:top w:val="none" w:sz="0" w:space="0" w:color="auto"/>
            <w:left w:val="none" w:sz="0" w:space="0" w:color="auto"/>
            <w:bottom w:val="none" w:sz="0" w:space="0" w:color="auto"/>
            <w:right w:val="none" w:sz="0" w:space="0" w:color="auto"/>
          </w:divBdr>
        </w:div>
        <w:div w:id="1564871893">
          <w:marLeft w:val="0"/>
          <w:marRight w:val="0"/>
          <w:marTop w:val="0"/>
          <w:marBottom w:val="0"/>
          <w:divBdr>
            <w:top w:val="none" w:sz="0" w:space="0" w:color="auto"/>
            <w:left w:val="none" w:sz="0" w:space="0" w:color="auto"/>
            <w:bottom w:val="none" w:sz="0" w:space="0" w:color="auto"/>
            <w:right w:val="none" w:sz="0" w:space="0" w:color="auto"/>
          </w:divBdr>
        </w:div>
      </w:divsChild>
    </w:div>
    <w:div w:id="1939560450">
      <w:bodyDiv w:val="1"/>
      <w:marLeft w:val="0"/>
      <w:marRight w:val="0"/>
      <w:marTop w:val="0"/>
      <w:marBottom w:val="0"/>
      <w:divBdr>
        <w:top w:val="none" w:sz="0" w:space="0" w:color="auto"/>
        <w:left w:val="none" w:sz="0" w:space="0" w:color="auto"/>
        <w:bottom w:val="none" w:sz="0" w:space="0" w:color="auto"/>
        <w:right w:val="none" w:sz="0" w:space="0" w:color="auto"/>
      </w:divBdr>
      <w:divsChild>
        <w:div w:id="1427725417">
          <w:marLeft w:val="0"/>
          <w:marRight w:val="0"/>
          <w:marTop w:val="0"/>
          <w:marBottom w:val="0"/>
          <w:divBdr>
            <w:top w:val="none" w:sz="0" w:space="0" w:color="auto"/>
            <w:left w:val="none" w:sz="0" w:space="0" w:color="auto"/>
            <w:bottom w:val="none" w:sz="0" w:space="0" w:color="auto"/>
            <w:right w:val="none" w:sz="0" w:space="0" w:color="auto"/>
          </w:divBdr>
          <w:divsChild>
            <w:div w:id="88890300">
              <w:marLeft w:val="0"/>
              <w:marRight w:val="0"/>
              <w:marTop w:val="0"/>
              <w:marBottom w:val="0"/>
              <w:divBdr>
                <w:top w:val="none" w:sz="0" w:space="0" w:color="auto"/>
                <w:left w:val="none" w:sz="0" w:space="0" w:color="auto"/>
                <w:bottom w:val="none" w:sz="0" w:space="0" w:color="auto"/>
                <w:right w:val="none" w:sz="0" w:space="0" w:color="auto"/>
              </w:divBdr>
              <w:divsChild>
                <w:div w:id="1391071340">
                  <w:marLeft w:val="0"/>
                  <w:marRight w:val="0"/>
                  <w:marTop w:val="0"/>
                  <w:marBottom w:val="0"/>
                  <w:divBdr>
                    <w:top w:val="none" w:sz="0" w:space="0" w:color="auto"/>
                    <w:left w:val="none" w:sz="0" w:space="0" w:color="auto"/>
                    <w:bottom w:val="none" w:sz="0" w:space="0" w:color="auto"/>
                    <w:right w:val="none" w:sz="0" w:space="0" w:color="auto"/>
                  </w:divBdr>
                  <w:divsChild>
                    <w:div w:id="45489483">
                      <w:marLeft w:val="0"/>
                      <w:marRight w:val="0"/>
                      <w:marTop w:val="0"/>
                      <w:marBottom w:val="0"/>
                      <w:divBdr>
                        <w:top w:val="none" w:sz="0" w:space="0" w:color="auto"/>
                        <w:left w:val="none" w:sz="0" w:space="0" w:color="auto"/>
                        <w:bottom w:val="none" w:sz="0" w:space="0" w:color="auto"/>
                        <w:right w:val="none" w:sz="0" w:space="0" w:color="auto"/>
                      </w:divBdr>
                      <w:divsChild>
                        <w:div w:id="154028759">
                          <w:marLeft w:val="0"/>
                          <w:marRight w:val="0"/>
                          <w:marTop w:val="0"/>
                          <w:marBottom w:val="0"/>
                          <w:divBdr>
                            <w:top w:val="none" w:sz="0" w:space="0" w:color="auto"/>
                            <w:left w:val="none" w:sz="0" w:space="0" w:color="auto"/>
                            <w:bottom w:val="none" w:sz="0" w:space="0" w:color="auto"/>
                            <w:right w:val="none" w:sz="0" w:space="0" w:color="auto"/>
                          </w:divBdr>
                        </w:div>
                        <w:div w:id="415129428">
                          <w:marLeft w:val="0"/>
                          <w:marRight w:val="0"/>
                          <w:marTop w:val="0"/>
                          <w:marBottom w:val="0"/>
                          <w:divBdr>
                            <w:top w:val="none" w:sz="0" w:space="0" w:color="auto"/>
                            <w:left w:val="none" w:sz="0" w:space="0" w:color="auto"/>
                            <w:bottom w:val="none" w:sz="0" w:space="0" w:color="auto"/>
                            <w:right w:val="none" w:sz="0" w:space="0" w:color="auto"/>
                          </w:divBdr>
                        </w:div>
                        <w:div w:id="600917704">
                          <w:marLeft w:val="0"/>
                          <w:marRight w:val="0"/>
                          <w:marTop w:val="0"/>
                          <w:marBottom w:val="0"/>
                          <w:divBdr>
                            <w:top w:val="none" w:sz="0" w:space="0" w:color="auto"/>
                            <w:left w:val="none" w:sz="0" w:space="0" w:color="auto"/>
                            <w:bottom w:val="none" w:sz="0" w:space="0" w:color="auto"/>
                            <w:right w:val="none" w:sz="0" w:space="0" w:color="auto"/>
                          </w:divBdr>
                        </w:div>
                        <w:div w:id="657152007">
                          <w:marLeft w:val="0"/>
                          <w:marRight w:val="0"/>
                          <w:marTop w:val="0"/>
                          <w:marBottom w:val="0"/>
                          <w:divBdr>
                            <w:top w:val="none" w:sz="0" w:space="0" w:color="auto"/>
                            <w:left w:val="none" w:sz="0" w:space="0" w:color="auto"/>
                            <w:bottom w:val="none" w:sz="0" w:space="0" w:color="auto"/>
                            <w:right w:val="none" w:sz="0" w:space="0" w:color="auto"/>
                          </w:divBdr>
                        </w:div>
                        <w:div w:id="816844517">
                          <w:marLeft w:val="0"/>
                          <w:marRight w:val="0"/>
                          <w:marTop w:val="0"/>
                          <w:marBottom w:val="0"/>
                          <w:divBdr>
                            <w:top w:val="none" w:sz="0" w:space="0" w:color="auto"/>
                            <w:left w:val="none" w:sz="0" w:space="0" w:color="auto"/>
                            <w:bottom w:val="none" w:sz="0" w:space="0" w:color="auto"/>
                            <w:right w:val="none" w:sz="0" w:space="0" w:color="auto"/>
                          </w:divBdr>
                          <w:divsChild>
                            <w:div w:id="64038716">
                              <w:marLeft w:val="0"/>
                              <w:marRight w:val="0"/>
                              <w:marTop w:val="0"/>
                              <w:marBottom w:val="0"/>
                              <w:divBdr>
                                <w:top w:val="none" w:sz="0" w:space="0" w:color="auto"/>
                                <w:left w:val="none" w:sz="0" w:space="0" w:color="auto"/>
                                <w:bottom w:val="none" w:sz="0" w:space="0" w:color="auto"/>
                                <w:right w:val="none" w:sz="0" w:space="0" w:color="auto"/>
                              </w:divBdr>
                            </w:div>
                            <w:div w:id="7321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6122">
                      <w:marLeft w:val="0"/>
                      <w:marRight w:val="0"/>
                      <w:marTop w:val="0"/>
                      <w:marBottom w:val="0"/>
                      <w:divBdr>
                        <w:top w:val="none" w:sz="0" w:space="0" w:color="auto"/>
                        <w:left w:val="none" w:sz="0" w:space="0" w:color="auto"/>
                        <w:bottom w:val="none" w:sz="0" w:space="0" w:color="auto"/>
                        <w:right w:val="none" w:sz="0" w:space="0" w:color="auto"/>
                      </w:divBdr>
                    </w:div>
                    <w:div w:id="230236171">
                      <w:marLeft w:val="0"/>
                      <w:marRight w:val="0"/>
                      <w:marTop w:val="0"/>
                      <w:marBottom w:val="0"/>
                      <w:divBdr>
                        <w:top w:val="none" w:sz="0" w:space="0" w:color="auto"/>
                        <w:left w:val="none" w:sz="0" w:space="0" w:color="auto"/>
                        <w:bottom w:val="none" w:sz="0" w:space="0" w:color="auto"/>
                        <w:right w:val="none" w:sz="0" w:space="0" w:color="auto"/>
                      </w:divBdr>
                      <w:divsChild>
                        <w:div w:id="348800299">
                          <w:marLeft w:val="0"/>
                          <w:marRight w:val="0"/>
                          <w:marTop w:val="0"/>
                          <w:marBottom w:val="0"/>
                          <w:divBdr>
                            <w:top w:val="none" w:sz="0" w:space="0" w:color="auto"/>
                            <w:left w:val="none" w:sz="0" w:space="0" w:color="auto"/>
                            <w:bottom w:val="none" w:sz="0" w:space="0" w:color="auto"/>
                            <w:right w:val="none" w:sz="0" w:space="0" w:color="auto"/>
                          </w:divBdr>
                          <w:divsChild>
                            <w:div w:id="794983356">
                              <w:marLeft w:val="0"/>
                              <w:marRight w:val="0"/>
                              <w:marTop w:val="0"/>
                              <w:marBottom w:val="0"/>
                              <w:divBdr>
                                <w:top w:val="none" w:sz="0" w:space="0" w:color="auto"/>
                                <w:left w:val="none" w:sz="0" w:space="0" w:color="auto"/>
                                <w:bottom w:val="none" w:sz="0" w:space="0" w:color="auto"/>
                                <w:right w:val="none" w:sz="0" w:space="0" w:color="auto"/>
                              </w:divBdr>
                            </w:div>
                            <w:div w:id="9280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4483">
                      <w:marLeft w:val="0"/>
                      <w:marRight w:val="0"/>
                      <w:marTop w:val="0"/>
                      <w:marBottom w:val="0"/>
                      <w:divBdr>
                        <w:top w:val="none" w:sz="0" w:space="0" w:color="auto"/>
                        <w:left w:val="none" w:sz="0" w:space="0" w:color="auto"/>
                        <w:bottom w:val="none" w:sz="0" w:space="0" w:color="auto"/>
                        <w:right w:val="none" w:sz="0" w:space="0" w:color="auto"/>
                      </w:divBdr>
                    </w:div>
                    <w:div w:id="759107613">
                      <w:marLeft w:val="0"/>
                      <w:marRight w:val="0"/>
                      <w:marTop w:val="0"/>
                      <w:marBottom w:val="0"/>
                      <w:divBdr>
                        <w:top w:val="none" w:sz="0" w:space="0" w:color="auto"/>
                        <w:left w:val="none" w:sz="0" w:space="0" w:color="auto"/>
                        <w:bottom w:val="none" w:sz="0" w:space="0" w:color="auto"/>
                        <w:right w:val="none" w:sz="0" w:space="0" w:color="auto"/>
                      </w:divBdr>
                      <w:divsChild>
                        <w:div w:id="1761369396">
                          <w:marLeft w:val="0"/>
                          <w:marRight w:val="0"/>
                          <w:marTop w:val="0"/>
                          <w:marBottom w:val="0"/>
                          <w:divBdr>
                            <w:top w:val="none" w:sz="0" w:space="0" w:color="auto"/>
                            <w:left w:val="none" w:sz="0" w:space="0" w:color="auto"/>
                            <w:bottom w:val="none" w:sz="0" w:space="0" w:color="auto"/>
                            <w:right w:val="none" w:sz="0" w:space="0" w:color="auto"/>
                          </w:divBdr>
                          <w:divsChild>
                            <w:div w:id="662588400">
                              <w:marLeft w:val="0"/>
                              <w:marRight w:val="0"/>
                              <w:marTop w:val="0"/>
                              <w:marBottom w:val="0"/>
                              <w:divBdr>
                                <w:top w:val="none" w:sz="0" w:space="0" w:color="auto"/>
                                <w:left w:val="none" w:sz="0" w:space="0" w:color="auto"/>
                                <w:bottom w:val="none" w:sz="0" w:space="0" w:color="auto"/>
                                <w:right w:val="none" w:sz="0" w:space="0" w:color="auto"/>
                              </w:divBdr>
                            </w:div>
                            <w:div w:id="1149442168">
                              <w:marLeft w:val="0"/>
                              <w:marRight w:val="0"/>
                              <w:marTop w:val="0"/>
                              <w:marBottom w:val="0"/>
                              <w:divBdr>
                                <w:top w:val="none" w:sz="0" w:space="0" w:color="auto"/>
                                <w:left w:val="none" w:sz="0" w:space="0" w:color="auto"/>
                                <w:bottom w:val="none" w:sz="0" w:space="0" w:color="auto"/>
                                <w:right w:val="none" w:sz="0" w:space="0" w:color="auto"/>
                              </w:divBdr>
                              <w:divsChild>
                                <w:div w:id="892739945">
                                  <w:marLeft w:val="0"/>
                                  <w:marRight w:val="0"/>
                                  <w:marTop w:val="0"/>
                                  <w:marBottom w:val="0"/>
                                  <w:divBdr>
                                    <w:top w:val="none" w:sz="0" w:space="0" w:color="auto"/>
                                    <w:left w:val="none" w:sz="0" w:space="0" w:color="auto"/>
                                    <w:bottom w:val="none" w:sz="0" w:space="0" w:color="auto"/>
                                    <w:right w:val="none" w:sz="0" w:space="0" w:color="auto"/>
                                  </w:divBdr>
                                </w:div>
                                <w:div w:id="2126729113">
                                  <w:marLeft w:val="0"/>
                                  <w:marRight w:val="0"/>
                                  <w:marTop w:val="0"/>
                                  <w:marBottom w:val="0"/>
                                  <w:divBdr>
                                    <w:top w:val="none" w:sz="0" w:space="0" w:color="auto"/>
                                    <w:left w:val="none" w:sz="0" w:space="0" w:color="auto"/>
                                    <w:bottom w:val="none" w:sz="0" w:space="0" w:color="auto"/>
                                    <w:right w:val="none" w:sz="0" w:space="0" w:color="auto"/>
                                  </w:divBdr>
                                </w:div>
                              </w:divsChild>
                            </w:div>
                            <w:div w:id="1282152876">
                              <w:marLeft w:val="0"/>
                              <w:marRight w:val="0"/>
                              <w:marTop w:val="0"/>
                              <w:marBottom w:val="0"/>
                              <w:divBdr>
                                <w:top w:val="none" w:sz="0" w:space="0" w:color="auto"/>
                                <w:left w:val="none" w:sz="0" w:space="0" w:color="auto"/>
                                <w:bottom w:val="none" w:sz="0" w:space="0" w:color="auto"/>
                                <w:right w:val="none" w:sz="0" w:space="0" w:color="auto"/>
                              </w:divBdr>
                            </w:div>
                            <w:div w:id="1597589542">
                              <w:marLeft w:val="0"/>
                              <w:marRight w:val="0"/>
                              <w:marTop w:val="0"/>
                              <w:marBottom w:val="0"/>
                              <w:divBdr>
                                <w:top w:val="none" w:sz="0" w:space="0" w:color="auto"/>
                                <w:left w:val="none" w:sz="0" w:space="0" w:color="auto"/>
                                <w:bottom w:val="none" w:sz="0" w:space="0" w:color="auto"/>
                                <w:right w:val="none" w:sz="0" w:space="0" w:color="auto"/>
                              </w:divBdr>
                            </w:div>
                            <w:div w:id="16070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4106">
                      <w:marLeft w:val="0"/>
                      <w:marRight w:val="0"/>
                      <w:marTop w:val="0"/>
                      <w:marBottom w:val="0"/>
                      <w:divBdr>
                        <w:top w:val="none" w:sz="0" w:space="0" w:color="auto"/>
                        <w:left w:val="none" w:sz="0" w:space="0" w:color="auto"/>
                        <w:bottom w:val="none" w:sz="0" w:space="0" w:color="auto"/>
                        <w:right w:val="none" w:sz="0" w:space="0" w:color="auto"/>
                      </w:divBdr>
                      <w:divsChild>
                        <w:div w:id="52778536">
                          <w:marLeft w:val="0"/>
                          <w:marRight w:val="0"/>
                          <w:marTop w:val="0"/>
                          <w:marBottom w:val="0"/>
                          <w:divBdr>
                            <w:top w:val="none" w:sz="0" w:space="0" w:color="auto"/>
                            <w:left w:val="none" w:sz="0" w:space="0" w:color="auto"/>
                            <w:bottom w:val="none" w:sz="0" w:space="0" w:color="auto"/>
                            <w:right w:val="none" w:sz="0" w:space="0" w:color="auto"/>
                          </w:divBdr>
                        </w:div>
                        <w:div w:id="225647459">
                          <w:marLeft w:val="0"/>
                          <w:marRight w:val="0"/>
                          <w:marTop w:val="0"/>
                          <w:marBottom w:val="0"/>
                          <w:divBdr>
                            <w:top w:val="none" w:sz="0" w:space="0" w:color="auto"/>
                            <w:left w:val="none" w:sz="0" w:space="0" w:color="auto"/>
                            <w:bottom w:val="none" w:sz="0" w:space="0" w:color="auto"/>
                            <w:right w:val="none" w:sz="0" w:space="0" w:color="auto"/>
                          </w:divBdr>
                        </w:div>
                        <w:div w:id="1312758389">
                          <w:marLeft w:val="0"/>
                          <w:marRight w:val="0"/>
                          <w:marTop w:val="0"/>
                          <w:marBottom w:val="0"/>
                          <w:divBdr>
                            <w:top w:val="none" w:sz="0" w:space="0" w:color="auto"/>
                            <w:left w:val="none" w:sz="0" w:space="0" w:color="auto"/>
                            <w:bottom w:val="none" w:sz="0" w:space="0" w:color="auto"/>
                            <w:right w:val="none" w:sz="0" w:space="0" w:color="auto"/>
                          </w:divBdr>
                        </w:div>
                      </w:divsChild>
                    </w:div>
                    <w:div w:id="1135370524">
                      <w:marLeft w:val="0"/>
                      <w:marRight w:val="0"/>
                      <w:marTop w:val="0"/>
                      <w:marBottom w:val="0"/>
                      <w:divBdr>
                        <w:top w:val="none" w:sz="0" w:space="0" w:color="auto"/>
                        <w:left w:val="none" w:sz="0" w:space="0" w:color="auto"/>
                        <w:bottom w:val="none" w:sz="0" w:space="0" w:color="auto"/>
                        <w:right w:val="none" w:sz="0" w:space="0" w:color="auto"/>
                      </w:divBdr>
                    </w:div>
                    <w:div w:id="1365448096">
                      <w:marLeft w:val="0"/>
                      <w:marRight w:val="0"/>
                      <w:marTop w:val="0"/>
                      <w:marBottom w:val="0"/>
                      <w:divBdr>
                        <w:top w:val="none" w:sz="0" w:space="0" w:color="auto"/>
                        <w:left w:val="none" w:sz="0" w:space="0" w:color="auto"/>
                        <w:bottom w:val="none" w:sz="0" w:space="0" w:color="auto"/>
                        <w:right w:val="none" w:sz="0" w:space="0" w:color="auto"/>
                      </w:divBdr>
                    </w:div>
                    <w:div w:id="1434546360">
                      <w:marLeft w:val="0"/>
                      <w:marRight w:val="0"/>
                      <w:marTop w:val="0"/>
                      <w:marBottom w:val="0"/>
                      <w:divBdr>
                        <w:top w:val="none" w:sz="0" w:space="0" w:color="auto"/>
                        <w:left w:val="none" w:sz="0" w:space="0" w:color="auto"/>
                        <w:bottom w:val="none" w:sz="0" w:space="0" w:color="auto"/>
                        <w:right w:val="none" w:sz="0" w:space="0" w:color="auto"/>
                      </w:divBdr>
                    </w:div>
                    <w:div w:id="20564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94303">
      <w:bodyDiv w:val="1"/>
      <w:marLeft w:val="0"/>
      <w:marRight w:val="0"/>
      <w:marTop w:val="0"/>
      <w:marBottom w:val="0"/>
      <w:divBdr>
        <w:top w:val="none" w:sz="0" w:space="0" w:color="auto"/>
        <w:left w:val="none" w:sz="0" w:space="0" w:color="auto"/>
        <w:bottom w:val="none" w:sz="0" w:space="0" w:color="auto"/>
        <w:right w:val="none" w:sz="0" w:space="0" w:color="auto"/>
      </w:divBdr>
      <w:divsChild>
        <w:div w:id="134563310">
          <w:marLeft w:val="0"/>
          <w:marRight w:val="0"/>
          <w:marTop w:val="0"/>
          <w:marBottom w:val="0"/>
          <w:divBdr>
            <w:top w:val="none" w:sz="0" w:space="0" w:color="auto"/>
            <w:left w:val="none" w:sz="0" w:space="0" w:color="auto"/>
            <w:bottom w:val="none" w:sz="0" w:space="0" w:color="auto"/>
            <w:right w:val="none" w:sz="0" w:space="0" w:color="auto"/>
          </w:divBdr>
        </w:div>
        <w:div w:id="1176117300">
          <w:marLeft w:val="0"/>
          <w:marRight w:val="0"/>
          <w:marTop w:val="0"/>
          <w:marBottom w:val="0"/>
          <w:divBdr>
            <w:top w:val="none" w:sz="0" w:space="0" w:color="auto"/>
            <w:left w:val="none" w:sz="0" w:space="0" w:color="auto"/>
            <w:bottom w:val="none" w:sz="0" w:space="0" w:color="auto"/>
            <w:right w:val="none" w:sz="0" w:space="0" w:color="auto"/>
          </w:divBdr>
        </w:div>
      </w:divsChild>
    </w:div>
    <w:div w:id="1983273126">
      <w:bodyDiv w:val="1"/>
      <w:marLeft w:val="0"/>
      <w:marRight w:val="0"/>
      <w:marTop w:val="0"/>
      <w:marBottom w:val="0"/>
      <w:divBdr>
        <w:top w:val="none" w:sz="0" w:space="0" w:color="auto"/>
        <w:left w:val="none" w:sz="0" w:space="0" w:color="auto"/>
        <w:bottom w:val="none" w:sz="0" w:space="0" w:color="auto"/>
        <w:right w:val="none" w:sz="0" w:space="0" w:color="auto"/>
      </w:divBdr>
      <w:divsChild>
        <w:div w:id="518737732">
          <w:marLeft w:val="0"/>
          <w:marRight w:val="0"/>
          <w:marTop w:val="0"/>
          <w:marBottom w:val="0"/>
          <w:divBdr>
            <w:top w:val="none" w:sz="0" w:space="0" w:color="auto"/>
            <w:left w:val="none" w:sz="0" w:space="0" w:color="auto"/>
            <w:bottom w:val="none" w:sz="0" w:space="0" w:color="auto"/>
            <w:right w:val="none" w:sz="0" w:space="0" w:color="auto"/>
          </w:divBdr>
        </w:div>
        <w:div w:id="1717002354">
          <w:marLeft w:val="0"/>
          <w:marRight w:val="0"/>
          <w:marTop w:val="0"/>
          <w:marBottom w:val="0"/>
          <w:divBdr>
            <w:top w:val="none" w:sz="0" w:space="0" w:color="auto"/>
            <w:left w:val="none" w:sz="0" w:space="0" w:color="auto"/>
            <w:bottom w:val="none" w:sz="0" w:space="0" w:color="auto"/>
            <w:right w:val="none" w:sz="0" w:space="0" w:color="auto"/>
          </w:divBdr>
        </w:div>
      </w:divsChild>
    </w:div>
    <w:div w:id="2044745727">
      <w:bodyDiv w:val="1"/>
      <w:marLeft w:val="0"/>
      <w:marRight w:val="0"/>
      <w:marTop w:val="0"/>
      <w:marBottom w:val="0"/>
      <w:divBdr>
        <w:top w:val="none" w:sz="0" w:space="0" w:color="auto"/>
        <w:left w:val="none" w:sz="0" w:space="0" w:color="auto"/>
        <w:bottom w:val="none" w:sz="0" w:space="0" w:color="auto"/>
        <w:right w:val="none" w:sz="0" w:space="0" w:color="auto"/>
      </w:divBdr>
    </w:div>
    <w:div w:id="2048950114">
      <w:bodyDiv w:val="1"/>
      <w:marLeft w:val="0"/>
      <w:marRight w:val="0"/>
      <w:marTop w:val="0"/>
      <w:marBottom w:val="0"/>
      <w:divBdr>
        <w:top w:val="none" w:sz="0" w:space="0" w:color="auto"/>
        <w:left w:val="none" w:sz="0" w:space="0" w:color="auto"/>
        <w:bottom w:val="none" w:sz="0" w:space="0" w:color="auto"/>
        <w:right w:val="none" w:sz="0" w:space="0" w:color="auto"/>
      </w:divBdr>
    </w:div>
    <w:div w:id="2052420401">
      <w:bodyDiv w:val="1"/>
      <w:marLeft w:val="0"/>
      <w:marRight w:val="0"/>
      <w:marTop w:val="0"/>
      <w:marBottom w:val="0"/>
      <w:divBdr>
        <w:top w:val="none" w:sz="0" w:space="0" w:color="auto"/>
        <w:left w:val="none" w:sz="0" w:space="0" w:color="auto"/>
        <w:bottom w:val="none" w:sz="0" w:space="0" w:color="auto"/>
        <w:right w:val="none" w:sz="0" w:space="0" w:color="auto"/>
      </w:divBdr>
    </w:div>
    <w:div w:id="2054767089">
      <w:bodyDiv w:val="1"/>
      <w:marLeft w:val="0"/>
      <w:marRight w:val="0"/>
      <w:marTop w:val="0"/>
      <w:marBottom w:val="0"/>
      <w:divBdr>
        <w:top w:val="none" w:sz="0" w:space="0" w:color="auto"/>
        <w:left w:val="none" w:sz="0" w:space="0" w:color="auto"/>
        <w:bottom w:val="none" w:sz="0" w:space="0" w:color="auto"/>
        <w:right w:val="none" w:sz="0" w:space="0" w:color="auto"/>
      </w:divBdr>
      <w:divsChild>
        <w:div w:id="3290497">
          <w:marLeft w:val="0"/>
          <w:marRight w:val="0"/>
          <w:marTop w:val="0"/>
          <w:marBottom w:val="0"/>
          <w:divBdr>
            <w:top w:val="none" w:sz="0" w:space="0" w:color="auto"/>
            <w:left w:val="none" w:sz="0" w:space="0" w:color="auto"/>
            <w:bottom w:val="none" w:sz="0" w:space="0" w:color="auto"/>
            <w:right w:val="none" w:sz="0" w:space="0" w:color="auto"/>
          </w:divBdr>
        </w:div>
        <w:div w:id="485784384">
          <w:marLeft w:val="0"/>
          <w:marRight w:val="0"/>
          <w:marTop w:val="0"/>
          <w:marBottom w:val="0"/>
          <w:divBdr>
            <w:top w:val="none" w:sz="0" w:space="0" w:color="auto"/>
            <w:left w:val="none" w:sz="0" w:space="0" w:color="auto"/>
            <w:bottom w:val="none" w:sz="0" w:space="0" w:color="auto"/>
            <w:right w:val="none" w:sz="0" w:space="0" w:color="auto"/>
          </w:divBdr>
        </w:div>
        <w:div w:id="487524719">
          <w:marLeft w:val="0"/>
          <w:marRight w:val="0"/>
          <w:marTop w:val="0"/>
          <w:marBottom w:val="0"/>
          <w:divBdr>
            <w:top w:val="none" w:sz="0" w:space="0" w:color="auto"/>
            <w:left w:val="none" w:sz="0" w:space="0" w:color="auto"/>
            <w:bottom w:val="none" w:sz="0" w:space="0" w:color="auto"/>
            <w:right w:val="none" w:sz="0" w:space="0" w:color="auto"/>
          </w:divBdr>
        </w:div>
        <w:div w:id="1025331843">
          <w:marLeft w:val="0"/>
          <w:marRight w:val="0"/>
          <w:marTop w:val="0"/>
          <w:marBottom w:val="0"/>
          <w:divBdr>
            <w:top w:val="none" w:sz="0" w:space="0" w:color="auto"/>
            <w:left w:val="none" w:sz="0" w:space="0" w:color="auto"/>
            <w:bottom w:val="none" w:sz="0" w:space="0" w:color="auto"/>
            <w:right w:val="none" w:sz="0" w:space="0" w:color="auto"/>
          </w:divBdr>
        </w:div>
      </w:divsChild>
    </w:div>
    <w:div w:id="2063018785">
      <w:bodyDiv w:val="1"/>
      <w:marLeft w:val="0"/>
      <w:marRight w:val="0"/>
      <w:marTop w:val="0"/>
      <w:marBottom w:val="0"/>
      <w:divBdr>
        <w:top w:val="none" w:sz="0" w:space="0" w:color="auto"/>
        <w:left w:val="none" w:sz="0" w:space="0" w:color="auto"/>
        <w:bottom w:val="none" w:sz="0" w:space="0" w:color="auto"/>
        <w:right w:val="none" w:sz="0" w:space="0" w:color="auto"/>
      </w:divBdr>
    </w:div>
    <w:div w:id="2065715757">
      <w:bodyDiv w:val="1"/>
      <w:marLeft w:val="0"/>
      <w:marRight w:val="0"/>
      <w:marTop w:val="0"/>
      <w:marBottom w:val="0"/>
      <w:divBdr>
        <w:top w:val="none" w:sz="0" w:space="0" w:color="auto"/>
        <w:left w:val="none" w:sz="0" w:space="0" w:color="auto"/>
        <w:bottom w:val="none" w:sz="0" w:space="0" w:color="auto"/>
        <w:right w:val="none" w:sz="0" w:space="0" w:color="auto"/>
      </w:divBdr>
    </w:div>
    <w:div w:id="2076200444">
      <w:bodyDiv w:val="1"/>
      <w:marLeft w:val="0"/>
      <w:marRight w:val="0"/>
      <w:marTop w:val="0"/>
      <w:marBottom w:val="0"/>
      <w:divBdr>
        <w:top w:val="none" w:sz="0" w:space="0" w:color="auto"/>
        <w:left w:val="none" w:sz="0" w:space="0" w:color="auto"/>
        <w:bottom w:val="none" w:sz="0" w:space="0" w:color="auto"/>
        <w:right w:val="none" w:sz="0" w:space="0" w:color="auto"/>
      </w:divBdr>
    </w:div>
    <w:div w:id="2085636836">
      <w:bodyDiv w:val="1"/>
      <w:marLeft w:val="0"/>
      <w:marRight w:val="0"/>
      <w:marTop w:val="0"/>
      <w:marBottom w:val="0"/>
      <w:divBdr>
        <w:top w:val="none" w:sz="0" w:space="0" w:color="auto"/>
        <w:left w:val="none" w:sz="0" w:space="0" w:color="auto"/>
        <w:bottom w:val="none" w:sz="0" w:space="0" w:color="auto"/>
        <w:right w:val="none" w:sz="0" w:space="0" w:color="auto"/>
      </w:divBdr>
      <w:divsChild>
        <w:div w:id="170803510">
          <w:marLeft w:val="0"/>
          <w:marRight w:val="0"/>
          <w:marTop w:val="0"/>
          <w:marBottom w:val="0"/>
          <w:divBdr>
            <w:top w:val="none" w:sz="0" w:space="0" w:color="auto"/>
            <w:left w:val="none" w:sz="0" w:space="0" w:color="auto"/>
            <w:bottom w:val="none" w:sz="0" w:space="0" w:color="auto"/>
            <w:right w:val="none" w:sz="0" w:space="0" w:color="auto"/>
          </w:divBdr>
        </w:div>
        <w:div w:id="880096036">
          <w:marLeft w:val="0"/>
          <w:marRight w:val="0"/>
          <w:marTop w:val="0"/>
          <w:marBottom w:val="0"/>
          <w:divBdr>
            <w:top w:val="none" w:sz="0" w:space="0" w:color="auto"/>
            <w:left w:val="none" w:sz="0" w:space="0" w:color="auto"/>
            <w:bottom w:val="none" w:sz="0" w:space="0" w:color="auto"/>
            <w:right w:val="none" w:sz="0" w:space="0" w:color="auto"/>
          </w:divBdr>
        </w:div>
      </w:divsChild>
    </w:div>
    <w:div w:id="2106874829">
      <w:bodyDiv w:val="1"/>
      <w:marLeft w:val="0"/>
      <w:marRight w:val="0"/>
      <w:marTop w:val="0"/>
      <w:marBottom w:val="0"/>
      <w:divBdr>
        <w:top w:val="none" w:sz="0" w:space="0" w:color="auto"/>
        <w:left w:val="none" w:sz="0" w:space="0" w:color="auto"/>
        <w:bottom w:val="none" w:sz="0" w:space="0" w:color="auto"/>
        <w:right w:val="none" w:sz="0" w:space="0" w:color="auto"/>
      </w:divBdr>
    </w:div>
    <w:div w:id="2108847715">
      <w:bodyDiv w:val="1"/>
      <w:marLeft w:val="0"/>
      <w:marRight w:val="0"/>
      <w:marTop w:val="0"/>
      <w:marBottom w:val="0"/>
      <w:divBdr>
        <w:top w:val="none" w:sz="0" w:space="0" w:color="auto"/>
        <w:left w:val="none" w:sz="0" w:space="0" w:color="auto"/>
        <w:bottom w:val="none" w:sz="0" w:space="0" w:color="auto"/>
        <w:right w:val="none" w:sz="0" w:space="0" w:color="auto"/>
      </w:divBdr>
    </w:div>
    <w:div w:id="2113669314">
      <w:bodyDiv w:val="1"/>
      <w:marLeft w:val="0"/>
      <w:marRight w:val="0"/>
      <w:marTop w:val="0"/>
      <w:marBottom w:val="0"/>
      <w:divBdr>
        <w:top w:val="none" w:sz="0" w:space="0" w:color="auto"/>
        <w:left w:val="none" w:sz="0" w:space="0" w:color="auto"/>
        <w:bottom w:val="none" w:sz="0" w:space="0" w:color="auto"/>
        <w:right w:val="none" w:sz="0" w:space="0" w:color="auto"/>
      </w:divBdr>
    </w:div>
    <w:div w:id="2114781852">
      <w:bodyDiv w:val="1"/>
      <w:marLeft w:val="0"/>
      <w:marRight w:val="0"/>
      <w:marTop w:val="0"/>
      <w:marBottom w:val="0"/>
      <w:divBdr>
        <w:top w:val="none" w:sz="0" w:space="0" w:color="auto"/>
        <w:left w:val="none" w:sz="0" w:space="0" w:color="auto"/>
        <w:bottom w:val="none" w:sz="0" w:space="0" w:color="auto"/>
        <w:right w:val="none" w:sz="0" w:space="0" w:color="auto"/>
      </w:divBdr>
      <w:divsChild>
        <w:div w:id="1043940723">
          <w:marLeft w:val="0"/>
          <w:marRight w:val="0"/>
          <w:marTop w:val="0"/>
          <w:marBottom w:val="0"/>
          <w:divBdr>
            <w:top w:val="none" w:sz="0" w:space="0" w:color="auto"/>
            <w:left w:val="none" w:sz="0" w:space="0" w:color="auto"/>
            <w:bottom w:val="none" w:sz="0" w:space="0" w:color="auto"/>
            <w:right w:val="none" w:sz="0" w:space="0" w:color="auto"/>
          </w:divBdr>
        </w:div>
        <w:div w:id="2013337671">
          <w:marLeft w:val="0"/>
          <w:marRight w:val="0"/>
          <w:marTop w:val="0"/>
          <w:marBottom w:val="0"/>
          <w:divBdr>
            <w:top w:val="none" w:sz="0" w:space="0" w:color="auto"/>
            <w:left w:val="none" w:sz="0" w:space="0" w:color="auto"/>
            <w:bottom w:val="none" w:sz="0" w:space="0" w:color="auto"/>
            <w:right w:val="none" w:sz="0" w:space="0" w:color="auto"/>
          </w:divBdr>
        </w:div>
      </w:divsChild>
    </w:div>
    <w:div w:id="2146458947">
      <w:bodyDiv w:val="1"/>
      <w:marLeft w:val="0"/>
      <w:marRight w:val="0"/>
      <w:marTop w:val="0"/>
      <w:marBottom w:val="0"/>
      <w:divBdr>
        <w:top w:val="none" w:sz="0" w:space="0" w:color="auto"/>
        <w:left w:val="none" w:sz="0" w:space="0" w:color="auto"/>
        <w:bottom w:val="none" w:sz="0" w:space="0" w:color="auto"/>
        <w:right w:val="none" w:sz="0" w:space="0" w:color="auto"/>
      </w:divBdr>
      <w:divsChild>
        <w:div w:id="1345551996">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04A2B76A9AB4FB4E0E26401896372" ma:contentTypeVersion="12" ma:contentTypeDescription="Crée un document." ma:contentTypeScope="" ma:versionID="8c7fffbcbbf29e3e2bd0b4477d21f026">
  <xsd:schema xmlns:xsd="http://www.w3.org/2001/XMLSchema" xmlns:xs="http://www.w3.org/2001/XMLSchema" xmlns:p="http://schemas.microsoft.com/office/2006/metadata/properties" xmlns:ns2="1b25993f-125e-415d-acd0-fb790af825de" xmlns:ns3="69823076-d0b2-4976-8311-ce21db8314c5" targetNamespace="http://schemas.microsoft.com/office/2006/metadata/properties" ma:root="true" ma:fieldsID="bd961e1ee9f1c343990f9771df88c84f" ns2:_="" ns3:_="">
    <xsd:import namespace="1b25993f-125e-415d-acd0-fb790af825de"/>
    <xsd:import namespace="69823076-d0b2-4976-8311-ce21db8314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5993f-125e-415d-acd0-fb790af82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23076-d0b2-4976-8311-ce21db8314c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692DD0-3C66-4A75-B204-7CF6D9B80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5993f-125e-415d-acd0-fb790af825de"/>
    <ds:schemaRef ds:uri="69823076-d0b2-4976-8311-ce21db831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924DC3-8898-490E-B101-0F3CF9761831}">
  <ds:schemaRefs>
    <ds:schemaRef ds:uri="http://schemas.openxmlformats.org/officeDocument/2006/bibliography"/>
  </ds:schemaRefs>
</ds:datastoreItem>
</file>

<file path=customXml/itemProps3.xml><?xml version="1.0" encoding="utf-8"?>
<ds:datastoreItem xmlns:ds="http://schemas.openxmlformats.org/officeDocument/2006/customXml" ds:itemID="{6F5DE317-5258-47D1-BB38-68DD4A5AD9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91BAFB-81B3-416E-96BA-498546CB25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185</Pages>
  <Words>62716</Words>
  <Characters>344941</Characters>
  <Application>Microsoft Office Word</Application>
  <DocSecurity>0</DocSecurity>
  <Lines>2874</Lines>
  <Paragraphs>813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Francois</dc:creator>
  <cp:keywords/>
  <dc:description/>
  <cp:lastModifiedBy>MY FORUM - Céline MENGUY</cp:lastModifiedBy>
  <cp:revision>68</cp:revision>
  <cp:lastPrinted>2018-05-12T06:40:00Z</cp:lastPrinted>
  <dcterms:created xsi:type="dcterms:W3CDTF">2021-01-05T10:39:00Z</dcterms:created>
  <dcterms:modified xsi:type="dcterms:W3CDTF">2021-01-06T17:01:00Z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0x01010047B04A2B76A9AB4FB4E0E26401896372</vt:lpwstr>
  </property>
  <property fmtid="{D5CDD505-2E9C-101B-9397-08002B2CF9AE}" pid="3" name="Order">
    <vt:r8>5380000</vt:r8>
  </property>
</Properties>
</file>