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69201" w14:textId="77777777" w:rsidR="001B6B86" w:rsidRPr="00B36683" w:rsidRDefault="001B6B86" w:rsidP="00B36683">
      <w:pPr>
        <w:shd w:val="clear" w:color="auto" w:fill="374C80" w:themeFill="accent1" w:themeFillShade="BF"/>
        <w:jc w:val="center"/>
        <w:rPr>
          <w:b/>
          <w:color w:val="FFFFFF" w:themeColor="background1"/>
        </w:rPr>
      </w:pPr>
    </w:p>
    <w:p w14:paraId="00DC2BB3" w14:textId="77777777" w:rsidR="00FA283A" w:rsidRPr="00B36683" w:rsidRDefault="00FA283A" w:rsidP="00B36683">
      <w:pPr>
        <w:shd w:val="clear" w:color="auto" w:fill="374C80" w:themeFill="accent1" w:themeFillShade="BF"/>
        <w:jc w:val="center"/>
        <w:rPr>
          <w:b/>
          <w:color w:val="FFFFFF" w:themeColor="background1"/>
        </w:rPr>
      </w:pPr>
    </w:p>
    <w:p w14:paraId="198524E8" w14:textId="77777777" w:rsidR="00FA283A" w:rsidRPr="00B36683" w:rsidRDefault="00FA283A" w:rsidP="00B36683">
      <w:pPr>
        <w:shd w:val="clear" w:color="auto" w:fill="374C80" w:themeFill="accent1" w:themeFillShade="BF"/>
        <w:jc w:val="center"/>
        <w:rPr>
          <w:b/>
          <w:color w:val="FFFFFF" w:themeColor="background1"/>
        </w:rPr>
      </w:pPr>
    </w:p>
    <w:p w14:paraId="23E59893" w14:textId="77777777" w:rsidR="00FA283A" w:rsidRPr="00B36683" w:rsidRDefault="00FA283A" w:rsidP="00B36683">
      <w:pPr>
        <w:shd w:val="clear" w:color="auto" w:fill="374C80" w:themeFill="accent1" w:themeFillShade="BF"/>
        <w:jc w:val="center"/>
        <w:rPr>
          <w:b/>
          <w:color w:val="FFFFFF" w:themeColor="background1"/>
        </w:rPr>
      </w:pPr>
    </w:p>
    <w:p w14:paraId="3A1AF889" w14:textId="77777777" w:rsidR="00D67533" w:rsidRPr="00B36683" w:rsidRDefault="001B6B86" w:rsidP="00B36683">
      <w:pPr>
        <w:shd w:val="clear" w:color="auto" w:fill="374C80" w:themeFill="accent1" w:themeFillShade="BF"/>
        <w:jc w:val="center"/>
        <w:rPr>
          <w:b/>
          <w:color w:val="FFFFFF" w:themeColor="background1"/>
          <w:sz w:val="52"/>
          <w:szCs w:val="52"/>
        </w:rPr>
      </w:pPr>
      <w:r w:rsidRPr="00B36683">
        <w:rPr>
          <w:b/>
          <w:color w:val="FFFFFF" w:themeColor="background1"/>
          <w:sz w:val="52"/>
          <w:szCs w:val="52"/>
        </w:rPr>
        <w:t xml:space="preserve">REUNION </w:t>
      </w:r>
      <w:r w:rsidR="00162CCC" w:rsidRPr="00B36683">
        <w:rPr>
          <w:b/>
          <w:color w:val="FFFFFF" w:themeColor="background1"/>
          <w:sz w:val="52"/>
          <w:szCs w:val="52"/>
        </w:rPr>
        <w:t>D’</w:t>
      </w:r>
      <w:r w:rsidRPr="00B36683">
        <w:rPr>
          <w:b/>
          <w:color w:val="FFFFFF" w:themeColor="background1"/>
          <w:sz w:val="52"/>
          <w:szCs w:val="52"/>
        </w:rPr>
        <w:t>INFORMATION</w:t>
      </w:r>
      <w:r w:rsidR="00F97F3C" w:rsidRPr="00B36683">
        <w:rPr>
          <w:b/>
          <w:color w:val="FFFFFF" w:themeColor="background1"/>
          <w:sz w:val="52"/>
          <w:szCs w:val="52"/>
        </w:rPr>
        <w:t xml:space="preserve"> CLIENT</w:t>
      </w:r>
      <w:r w:rsidR="001A1D51" w:rsidRPr="00B36683">
        <w:rPr>
          <w:b/>
          <w:color w:val="FFFFFF" w:themeColor="background1"/>
          <w:sz w:val="52"/>
          <w:szCs w:val="52"/>
        </w:rPr>
        <w:t>S</w:t>
      </w:r>
    </w:p>
    <w:p w14:paraId="37BD79A6" w14:textId="77777777" w:rsidR="004F398D" w:rsidRPr="00605EFE" w:rsidRDefault="004F398D" w:rsidP="00B36683">
      <w:pPr>
        <w:shd w:val="clear" w:color="auto" w:fill="374C80" w:themeFill="accent1" w:themeFillShade="BF"/>
        <w:jc w:val="center"/>
        <w:rPr>
          <w:color w:val="FFFFFF" w:themeColor="background1"/>
          <w:sz w:val="52"/>
          <w:szCs w:val="52"/>
        </w:rPr>
      </w:pPr>
    </w:p>
    <w:p w14:paraId="7AF0973D" w14:textId="77777777" w:rsidR="004F398D" w:rsidRPr="00B36683" w:rsidRDefault="004F398D" w:rsidP="00B36683">
      <w:pPr>
        <w:shd w:val="clear" w:color="auto" w:fill="374C80" w:themeFill="accent1" w:themeFillShade="BF"/>
        <w:jc w:val="center"/>
        <w:rPr>
          <w:b/>
          <w:color w:val="FFFFFF" w:themeColor="background1"/>
          <w:sz w:val="52"/>
          <w:szCs w:val="52"/>
        </w:rPr>
      </w:pPr>
    </w:p>
    <w:p w14:paraId="7AE6F95D" w14:textId="77777777" w:rsidR="001B6B86" w:rsidRDefault="00183DA0" w:rsidP="00B36683">
      <w:pPr>
        <w:shd w:val="clear" w:color="auto" w:fill="374C80" w:themeFill="accent1" w:themeFillShade="BF"/>
        <w:jc w:val="center"/>
        <w:rPr>
          <w:b/>
          <w:color w:val="FFFFFF" w:themeColor="background1"/>
          <w:sz w:val="52"/>
          <w:szCs w:val="52"/>
        </w:rPr>
      </w:pPr>
      <w:r>
        <w:rPr>
          <w:b/>
          <w:color w:val="FFFFFF" w:themeColor="background1"/>
          <w:sz w:val="52"/>
          <w:szCs w:val="52"/>
        </w:rPr>
        <w:t>Actualisation des connaissances</w:t>
      </w:r>
    </w:p>
    <w:p w14:paraId="09F96EE2" w14:textId="119B8135" w:rsidR="007A0C01" w:rsidRDefault="00FD6EF3" w:rsidP="00B36683">
      <w:pPr>
        <w:shd w:val="clear" w:color="auto" w:fill="374C80" w:themeFill="accent1" w:themeFillShade="BF"/>
        <w:jc w:val="center"/>
        <w:rPr>
          <w:b/>
          <w:color w:val="FFFFFF" w:themeColor="background1"/>
          <w:sz w:val="52"/>
          <w:szCs w:val="52"/>
        </w:rPr>
      </w:pPr>
      <w:r>
        <w:rPr>
          <w:b/>
          <w:color w:val="FFFFFF" w:themeColor="background1"/>
          <w:sz w:val="52"/>
          <w:szCs w:val="52"/>
        </w:rPr>
        <w:t>Mai 2021</w:t>
      </w:r>
    </w:p>
    <w:p w14:paraId="411F7E96" w14:textId="77777777" w:rsidR="007A0C01" w:rsidRDefault="007A0C01" w:rsidP="00B36683">
      <w:pPr>
        <w:shd w:val="clear" w:color="auto" w:fill="374C80" w:themeFill="accent1" w:themeFillShade="BF"/>
        <w:jc w:val="center"/>
        <w:rPr>
          <w:b/>
          <w:color w:val="FFFFFF" w:themeColor="background1"/>
          <w:sz w:val="52"/>
          <w:szCs w:val="52"/>
        </w:rPr>
      </w:pPr>
    </w:p>
    <w:p w14:paraId="704819F4" w14:textId="77777777" w:rsidR="00D34CDF" w:rsidRPr="00B36683" w:rsidRDefault="00D34CDF" w:rsidP="00B36683">
      <w:pPr>
        <w:shd w:val="clear" w:color="auto" w:fill="374C80" w:themeFill="accent1" w:themeFillShade="BF"/>
        <w:jc w:val="center"/>
        <w:rPr>
          <w:b/>
          <w:color w:val="FFFFFF" w:themeColor="background1"/>
          <w:sz w:val="52"/>
          <w:szCs w:val="52"/>
        </w:rPr>
      </w:pPr>
    </w:p>
    <w:p w14:paraId="1918A133" w14:textId="77777777" w:rsidR="001B6B86" w:rsidRPr="00B36683" w:rsidRDefault="001B6B86" w:rsidP="00B36683">
      <w:pPr>
        <w:shd w:val="clear" w:color="auto" w:fill="374C80" w:themeFill="accent1" w:themeFillShade="BF"/>
        <w:jc w:val="center"/>
        <w:rPr>
          <w:b/>
          <w:color w:val="FFFFFF" w:themeColor="background1"/>
        </w:rPr>
      </w:pPr>
    </w:p>
    <w:p w14:paraId="60ECE93B" w14:textId="77777777" w:rsidR="001B6B86" w:rsidRPr="00B36683" w:rsidRDefault="001B6B86" w:rsidP="00B36683">
      <w:pPr>
        <w:shd w:val="clear" w:color="auto" w:fill="374C80" w:themeFill="accent1" w:themeFillShade="BF"/>
        <w:jc w:val="center"/>
        <w:rPr>
          <w:b/>
          <w:color w:val="FFFFFF" w:themeColor="background1"/>
        </w:rPr>
      </w:pPr>
    </w:p>
    <w:p w14:paraId="7BBC761D" w14:textId="77777777" w:rsidR="001B6B86" w:rsidRPr="00B36683" w:rsidRDefault="001B6B86" w:rsidP="00B36683">
      <w:pPr>
        <w:shd w:val="clear" w:color="auto" w:fill="374C80" w:themeFill="accent1" w:themeFillShade="BF"/>
        <w:jc w:val="center"/>
        <w:rPr>
          <w:b/>
          <w:color w:val="FFFFFF" w:themeColor="background1"/>
        </w:rPr>
      </w:pPr>
    </w:p>
    <w:p w14:paraId="080C3624" w14:textId="77777777" w:rsidR="001B6B86" w:rsidRDefault="001B6B86" w:rsidP="00B36683">
      <w:pPr>
        <w:shd w:val="clear" w:color="auto" w:fill="374C80" w:themeFill="accent1" w:themeFillShade="BF"/>
        <w:jc w:val="center"/>
        <w:rPr>
          <w:b/>
          <w:color w:val="FFFFFF" w:themeColor="background1"/>
          <w:sz w:val="52"/>
          <w:szCs w:val="52"/>
        </w:rPr>
      </w:pPr>
      <w:r w:rsidRPr="00B36683">
        <w:rPr>
          <w:b/>
          <w:color w:val="FFFFFF" w:themeColor="background1"/>
          <w:sz w:val="52"/>
          <w:szCs w:val="52"/>
        </w:rPr>
        <w:t>SUPPORT D’ANIMATION</w:t>
      </w:r>
    </w:p>
    <w:p w14:paraId="5785C371" w14:textId="77777777" w:rsidR="00183DA0" w:rsidRPr="00B36683" w:rsidRDefault="00183DA0" w:rsidP="00B36683">
      <w:pPr>
        <w:shd w:val="clear" w:color="auto" w:fill="374C80" w:themeFill="accent1" w:themeFillShade="BF"/>
        <w:jc w:val="center"/>
        <w:rPr>
          <w:b/>
          <w:color w:val="FFFFFF" w:themeColor="background1"/>
          <w:sz w:val="52"/>
          <w:szCs w:val="52"/>
        </w:rPr>
      </w:pPr>
    </w:p>
    <w:p w14:paraId="41A7A104" w14:textId="4CBB7C21" w:rsidR="00B36683" w:rsidRPr="00B36683" w:rsidRDefault="00B36683">
      <w:r>
        <w:tab/>
      </w:r>
      <w:r>
        <w:tab/>
      </w:r>
      <w:r>
        <w:tab/>
      </w:r>
      <w:r>
        <w:tab/>
      </w:r>
      <w:r>
        <w:tab/>
      </w:r>
      <w:r>
        <w:tab/>
      </w:r>
      <w:r>
        <w:tab/>
      </w:r>
      <w:r>
        <w:tab/>
      </w:r>
      <w:r>
        <w:tab/>
      </w:r>
      <w:r w:rsidRPr="00B36683">
        <w:rPr>
          <w:color w:val="002060"/>
        </w:rPr>
        <w:t>WebLex–</w:t>
      </w:r>
      <w:r w:rsidR="00F670CC">
        <w:rPr>
          <w:color w:val="002060"/>
        </w:rPr>
        <w:t xml:space="preserve"> </w:t>
      </w:r>
      <w:r w:rsidR="00FD6EF3">
        <w:rPr>
          <w:color w:val="002060"/>
        </w:rPr>
        <w:t>16 juin 2021</w:t>
      </w:r>
    </w:p>
    <w:p w14:paraId="56D8DD8F" w14:textId="67113105" w:rsidR="00837EDF" w:rsidRDefault="00837EDF">
      <w:r>
        <w:t>C</w:t>
      </w:r>
      <w:r w:rsidRPr="00837EDF">
        <w:t xml:space="preserve">e support couvre l’actualité juridique des entreprises et de leurs dirigeants pour la période du </w:t>
      </w:r>
      <w:r w:rsidR="00FD6EF3">
        <w:t>1</w:t>
      </w:r>
      <w:r w:rsidR="00FD6EF3" w:rsidRPr="00FD6EF3">
        <w:rPr>
          <w:vertAlign w:val="superscript"/>
        </w:rPr>
        <w:t>er</w:t>
      </w:r>
      <w:r w:rsidR="00FD6EF3">
        <w:t xml:space="preserve"> mai 2021 a</w:t>
      </w:r>
      <w:r w:rsidR="00FD7885">
        <w:t>u 31 mai 2021</w:t>
      </w:r>
      <w:r w:rsidRPr="00837EDF">
        <w:t>.</w:t>
      </w:r>
    </w:p>
    <w:p w14:paraId="58B89F40" w14:textId="77777777" w:rsidR="001148C9" w:rsidRDefault="00837EDF" w:rsidP="003F0F8E">
      <w:r>
        <w:br w:type="page"/>
      </w:r>
    </w:p>
    <w:p w14:paraId="3DC22E18" w14:textId="77777777" w:rsidR="00162CCC" w:rsidRDefault="00162CCC"/>
    <w:sdt>
      <w:sdtPr>
        <w:rPr>
          <w:b w:val="0"/>
          <w:color w:val="auto"/>
          <w:sz w:val="20"/>
          <w:szCs w:val="20"/>
        </w:rPr>
        <w:id w:val="-1765759823"/>
        <w:docPartObj>
          <w:docPartGallery w:val="Table of Contents"/>
          <w:docPartUnique/>
        </w:docPartObj>
      </w:sdtPr>
      <w:sdtEndPr>
        <w:rPr>
          <w:bCs/>
        </w:rPr>
      </w:sdtEndPr>
      <w:sdtContent>
        <w:p w14:paraId="5D6F325F" w14:textId="77777777" w:rsidR="008066C8" w:rsidRDefault="003F0F8E">
          <w:pPr>
            <w:pStyle w:val="En-ttedetabledesmatires"/>
          </w:pPr>
          <w:r>
            <w:t>Sommaire des thèmes abordés</w:t>
          </w:r>
        </w:p>
        <w:p w14:paraId="1E480449" w14:textId="755DFDBE" w:rsidR="008D47A6" w:rsidRDefault="00B202FF">
          <w:pPr>
            <w:pStyle w:val="TM1"/>
            <w:tabs>
              <w:tab w:val="right" w:leader="dot" w:pos="9062"/>
            </w:tabs>
            <w:rPr>
              <w:noProof/>
              <w:sz w:val="22"/>
              <w:szCs w:val="22"/>
              <w:lang w:eastAsia="fr-FR"/>
            </w:rPr>
          </w:pPr>
          <w:r>
            <w:fldChar w:fldCharType="begin"/>
          </w:r>
          <w:r w:rsidR="008066C8">
            <w:instrText xml:space="preserve"> TOC \o "1-3" \h \z \u </w:instrText>
          </w:r>
          <w:r>
            <w:fldChar w:fldCharType="separate"/>
          </w:r>
          <w:hyperlink w:anchor="_Toc74651290" w:history="1">
            <w:r w:rsidR="008D47A6" w:rsidRPr="00AB0939">
              <w:rPr>
                <w:rStyle w:val="Lienhypertexte"/>
                <w:noProof/>
              </w:rPr>
              <w:t>ACTUALITES FISCALES</w:t>
            </w:r>
            <w:r w:rsidR="008D47A6">
              <w:rPr>
                <w:noProof/>
                <w:webHidden/>
              </w:rPr>
              <w:tab/>
            </w:r>
            <w:r w:rsidR="008D47A6">
              <w:rPr>
                <w:noProof/>
                <w:webHidden/>
              </w:rPr>
              <w:fldChar w:fldCharType="begin"/>
            </w:r>
            <w:r w:rsidR="008D47A6">
              <w:rPr>
                <w:noProof/>
                <w:webHidden/>
              </w:rPr>
              <w:instrText xml:space="preserve"> PAGEREF _Toc74651290 \h </w:instrText>
            </w:r>
            <w:r w:rsidR="008D47A6">
              <w:rPr>
                <w:noProof/>
                <w:webHidden/>
              </w:rPr>
            </w:r>
            <w:r w:rsidR="008D47A6">
              <w:rPr>
                <w:noProof/>
                <w:webHidden/>
              </w:rPr>
              <w:fldChar w:fldCharType="separate"/>
            </w:r>
            <w:r w:rsidR="008D47A6">
              <w:rPr>
                <w:noProof/>
                <w:webHidden/>
              </w:rPr>
              <w:t>5</w:t>
            </w:r>
            <w:r w:rsidR="008D47A6">
              <w:rPr>
                <w:noProof/>
                <w:webHidden/>
              </w:rPr>
              <w:fldChar w:fldCharType="end"/>
            </w:r>
          </w:hyperlink>
        </w:p>
        <w:p w14:paraId="4BD92089" w14:textId="70367F22" w:rsidR="008D47A6" w:rsidRDefault="008D47A6">
          <w:pPr>
            <w:pStyle w:val="TM2"/>
            <w:tabs>
              <w:tab w:val="right" w:leader="dot" w:pos="9062"/>
            </w:tabs>
            <w:rPr>
              <w:noProof/>
              <w:sz w:val="22"/>
              <w:szCs w:val="22"/>
              <w:lang w:eastAsia="fr-FR"/>
            </w:rPr>
          </w:pPr>
          <w:hyperlink w:anchor="_Toc74651291" w:history="1">
            <w:r w:rsidRPr="00AB0939">
              <w:rPr>
                <w:rStyle w:val="Lienhypertexte"/>
                <w:noProof/>
              </w:rPr>
              <w:t>Ce qu’il faut savoir en matière d’impôt sur les bénéfices</w:t>
            </w:r>
            <w:r>
              <w:rPr>
                <w:noProof/>
                <w:webHidden/>
              </w:rPr>
              <w:tab/>
            </w:r>
            <w:r>
              <w:rPr>
                <w:noProof/>
                <w:webHidden/>
              </w:rPr>
              <w:fldChar w:fldCharType="begin"/>
            </w:r>
            <w:r>
              <w:rPr>
                <w:noProof/>
                <w:webHidden/>
              </w:rPr>
              <w:instrText xml:space="preserve"> PAGEREF _Toc74651291 \h </w:instrText>
            </w:r>
            <w:r>
              <w:rPr>
                <w:noProof/>
                <w:webHidden/>
              </w:rPr>
            </w:r>
            <w:r>
              <w:rPr>
                <w:noProof/>
                <w:webHidden/>
              </w:rPr>
              <w:fldChar w:fldCharType="separate"/>
            </w:r>
            <w:r>
              <w:rPr>
                <w:noProof/>
                <w:webHidden/>
              </w:rPr>
              <w:t>6</w:t>
            </w:r>
            <w:r>
              <w:rPr>
                <w:noProof/>
                <w:webHidden/>
              </w:rPr>
              <w:fldChar w:fldCharType="end"/>
            </w:r>
          </w:hyperlink>
        </w:p>
        <w:p w14:paraId="63C21490" w14:textId="4B7BAAC4" w:rsidR="008D47A6" w:rsidRDefault="008D47A6">
          <w:pPr>
            <w:pStyle w:val="TM3"/>
            <w:tabs>
              <w:tab w:val="right" w:leader="dot" w:pos="9062"/>
            </w:tabs>
            <w:rPr>
              <w:noProof/>
            </w:rPr>
          </w:pPr>
          <w:hyperlink w:anchor="_Toc74651292" w:history="1">
            <w:r w:rsidRPr="00AB0939">
              <w:rPr>
                <w:rStyle w:val="Lienhypertexte"/>
                <w:noProof/>
              </w:rPr>
              <w:t>Réduction d’impôt pour investissement dans une société de presse</w:t>
            </w:r>
            <w:r>
              <w:rPr>
                <w:noProof/>
                <w:webHidden/>
              </w:rPr>
              <w:tab/>
            </w:r>
            <w:r>
              <w:rPr>
                <w:noProof/>
                <w:webHidden/>
              </w:rPr>
              <w:fldChar w:fldCharType="begin"/>
            </w:r>
            <w:r>
              <w:rPr>
                <w:noProof/>
                <w:webHidden/>
              </w:rPr>
              <w:instrText xml:space="preserve"> PAGEREF _Toc74651292 \h </w:instrText>
            </w:r>
            <w:r>
              <w:rPr>
                <w:noProof/>
                <w:webHidden/>
              </w:rPr>
            </w:r>
            <w:r>
              <w:rPr>
                <w:noProof/>
                <w:webHidden/>
              </w:rPr>
              <w:fldChar w:fldCharType="separate"/>
            </w:r>
            <w:r>
              <w:rPr>
                <w:noProof/>
                <w:webHidden/>
              </w:rPr>
              <w:t>6</w:t>
            </w:r>
            <w:r>
              <w:rPr>
                <w:noProof/>
                <w:webHidden/>
              </w:rPr>
              <w:fldChar w:fldCharType="end"/>
            </w:r>
          </w:hyperlink>
        </w:p>
        <w:p w14:paraId="279BCEA0" w14:textId="36A24D79" w:rsidR="008D47A6" w:rsidRDefault="008D47A6">
          <w:pPr>
            <w:pStyle w:val="TM3"/>
            <w:tabs>
              <w:tab w:val="right" w:leader="dot" w:pos="9062"/>
            </w:tabs>
            <w:rPr>
              <w:noProof/>
            </w:rPr>
          </w:pPr>
          <w:hyperlink w:anchor="_Toc74651293" w:history="1">
            <w:r w:rsidRPr="00AB0939">
              <w:rPr>
                <w:rStyle w:val="Lienhypertexte"/>
                <w:noProof/>
              </w:rPr>
              <w:t>Amortissements et problème informatique</w:t>
            </w:r>
            <w:r>
              <w:rPr>
                <w:noProof/>
                <w:webHidden/>
              </w:rPr>
              <w:tab/>
            </w:r>
            <w:r>
              <w:rPr>
                <w:noProof/>
                <w:webHidden/>
              </w:rPr>
              <w:fldChar w:fldCharType="begin"/>
            </w:r>
            <w:r>
              <w:rPr>
                <w:noProof/>
                <w:webHidden/>
              </w:rPr>
              <w:instrText xml:space="preserve"> PAGEREF _Toc74651293 \h </w:instrText>
            </w:r>
            <w:r>
              <w:rPr>
                <w:noProof/>
                <w:webHidden/>
              </w:rPr>
            </w:r>
            <w:r>
              <w:rPr>
                <w:noProof/>
                <w:webHidden/>
              </w:rPr>
              <w:fldChar w:fldCharType="separate"/>
            </w:r>
            <w:r>
              <w:rPr>
                <w:noProof/>
                <w:webHidden/>
              </w:rPr>
              <w:t>7</w:t>
            </w:r>
            <w:r>
              <w:rPr>
                <w:noProof/>
                <w:webHidden/>
              </w:rPr>
              <w:fldChar w:fldCharType="end"/>
            </w:r>
          </w:hyperlink>
        </w:p>
        <w:p w14:paraId="1F52A2B3" w14:textId="1B057654" w:rsidR="008D47A6" w:rsidRDefault="008D47A6">
          <w:pPr>
            <w:pStyle w:val="TM3"/>
            <w:tabs>
              <w:tab w:val="right" w:leader="dot" w:pos="9062"/>
            </w:tabs>
            <w:rPr>
              <w:noProof/>
            </w:rPr>
          </w:pPr>
          <w:hyperlink w:anchor="_Toc74651294" w:history="1">
            <w:r w:rsidRPr="00AB0939">
              <w:rPr>
                <w:rStyle w:val="Lienhypertexte"/>
                <w:noProof/>
              </w:rPr>
              <w:t>Calcul de la pénalité pour défaut d’adhésion à un OGA</w:t>
            </w:r>
            <w:r>
              <w:rPr>
                <w:noProof/>
                <w:webHidden/>
              </w:rPr>
              <w:tab/>
            </w:r>
            <w:r>
              <w:rPr>
                <w:noProof/>
                <w:webHidden/>
              </w:rPr>
              <w:fldChar w:fldCharType="begin"/>
            </w:r>
            <w:r>
              <w:rPr>
                <w:noProof/>
                <w:webHidden/>
              </w:rPr>
              <w:instrText xml:space="preserve"> PAGEREF _Toc74651294 \h </w:instrText>
            </w:r>
            <w:r>
              <w:rPr>
                <w:noProof/>
                <w:webHidden/>
              </w:rPr>
            </w:r>
            <w:r>
              <w:rPr>
                <w:noProof/>
                <w:webHidden/>
              </w:rPr>
              <w:fldChar w:fldCharType="separate"/>
            </w:r>
            <w:r>
              <w:rPr>
                <w:noProof/>
                <w:webHidden/>
              </w:rPr>
              <w:t>8</w:t>
            </w:r>
            <w:r>
              <w:rPr>
                <w:noProof/>
                <w:webHidden/>
              </w:rPr>
              <w:fldChar w:fldCharType="end"/>
            </w:r>
          </w:hyperlink>
        </w:p>
        <w:p w14:paraId="403866F2" w14:textId="7541FF73" w:rsidR="008D47A6" w:rsidRDefault="008D47A6">
          <w:pPr>
            <w:pStyle w:val="TM3"/>
            <w:tabs>
              <w:tab w:val="right" w:leader="dot" w:pos="9062"/>
            </w:tabs>
            <w:rPr>
              <w:noProof/>
            </w:rPr>
          </w:pPr>
          <w:hyperlink w:anchor="_Toc74651295" w:history="1">
            <w:r w:rsidRPr="00AB0939">
              <w:rPr>
                <w:rStyle w:val="Lienhypertexte"/>
                <w:noProof/>
              </w:rPr>
              <w:t>Crédit d’impôt recherche et intérêts moratoires</w:t>
            </w:r>
            <w:r>
              <w:rPr>
                <w:noProof/>
                <w:webHidden/>
              </w:rPr>
              <w:tab/>
            </w:r>
            <w:r>
              <w:rPr>
                <w:noProof/>
                <w:webHidden/>
              </w:rPr>
              <w:fldChar w:fldCharType="begin"/>
            </w:r>
            <w:r>
              <w:rPr>
                <w:noProof/>
                <w:webHidden/>
              </w:rPr>
              <w:instrText xml:space="preserve"> PAGEREF _Toc74651295 \h </w:instrText>
            </w:r>
            <w:r>
              <w:rPr>
                <w:noProof/>
                <w:webHidden/>
              </w:rPr>
            </w:r>
            <w:r>
              <w:rPr>
                <w:noProof/>
                <w:webHidden/>
              </w:rPr>
              <w:fldChar w:fldCharType="separate"/>
            </w:r>
            <w:r>
              <w:rPr>
                <w:noProof/>
                <w:webHidden/>
              </w:rPr>
              <w:t>8</w:t>
            </w:r>
            <w:r>
              <w:rPr>
                <w:noProof/>
                <w:webHidden/>
              </w:rPr>
              <w:fldChar w:fldCharType="end"/>
            </w:r>
          </w:hyperlink>
        </w:p>
        <w:p w14:paraId="4ED23B6A" w14:textId="618903C9" w:rsidR="008D47A6" w:rsidRDefault="008D47A6">
          <w:pPr>
            <w:pStyle w:val="TM2"/>
            <w:tabs>
              <w:tab w:val="right" w:leader="dot" w:pos="9062"/>
            </w:tabs>
            <w:rPr>
              <w:noProof/>
              <w:sz w:val="22"/>
              <w:szCs w:val="22"/>
              <w:lang w:eastAsia="fr-FR"/>
            </w:rPr>
          </w:pPr>
          <w:hyperlink w:anchor="_Toc74651296" w:history="1">
            <w:r w:rsidRPr="00AB0939">
              <w:rPr>
                <w:rStyle w:val="Lienhypertexte"/>
                <w:noProof/>
              </w:rPr>
              <w:t>Ce qu’il faut savoir en matière de TVA et autres impôts et taxes</w:t>
            </w:r>
            <w:r>
              <w:rPr>
                <w:noProof/>
                <w:webHidden/>
              </w:rPr>
              <w:tab/>
            </w:r>
            <w:r>
              <w:rPr>
                <w:noProof/>
                <w:webHidden/>
              </w:rPr>
              <w:fldChar w:fldCharType="begin"/>
            </w:r>
            <w:r>
              <w:rPr>
                <w:noProof/>
                <w:webHidden/>
              </w:rPr>
              <w:instrText xml:space="preserve"> PAGEREF _Toc74651296 \h </w:instrText>
            </w:r>
            <w:r>
              <w:rPr>
                <w:noProof/>
                <w:webHidden/>
              </w:rPr>
            </w:r>
            <w:r>
              <w:rPr>
                <w:noProof/>
                <w:webHidden/>
              </w:rPr>
              <w:fldChar w:fldCharType="separate"/>
            </w:r>
            <w:r>
              <w:rPr>
                <w:noProof/>
                <w:webHidden/>
              </w:rPr>
              <w:t>10</w:t>
            </w:r>
            <w:r>
              <w:rPr>
                <w:noProof/>
                <w:webHidden/>
              </w:rPr>
              <w:fldChar w:fldCharType="end"/>
            </w:r>
          </w:hyperlink>
        </w:p>
        <w:p w14:paraId="723E21C1" w14:textId="0E50B919" w:rsidR="008D47A6" w:rsidRDefault="008D47A6">
          <w:pPr>
            <w:pStyle w:val="TM3"/>
            <w:tabs>
              <w:tab w:val="right" w:leader="dot" w:pos="9062"/>
            </w:tabs>
            <w:rPr>
              <w:noProof/>
            </w:rPr>
          </w:pPr>
          <w:hyperlink w:anchor="_Toc74651297" w:history="1">
            <w:r w:rsidRPr="00AB0939">
              <w:rPr>
                <w:rStyle w:val="Lienhypertexte"/>
                <w:noProof/>
              </w:rPr>
              <w:t>Date limite de paiement de l’acompte de CFE</w:t>
            </w:r>
            <w:r>
              <w:rPr>
                <w:noProof/>
                <w:webHidden/>
              </w:rPr>
              <w:tab/>
            </w:r>
            <w:r>
              <w:rPr>
                <w:noProof/>
                <w:webHidden/>
              </w:rPr>
              <w:fldChar w:fldCharType="begin"/>
            </w:r>
            <w:r>
              <w:rPr>
                <w:noProof/>
                <w:webHidden/>
              </w:rPr>
              <w:instrText xml:space="preserve"> PAGEREF _Toc74651297 \h </w:instrText>
            </w:r>
            <w:r>
              <w:rPr>
                <w:noProof/>
                <w:webHidden/>
              </w:rPr>
            </w:r>
            <w:r>
              <w:rPr>
                <w:noProof/>
                <w:webHidden/>
              </w:rPr>
              <w:fldChar w:fldCharType="separate"/>
            </w:r>
            <w:r>
              <w:rPr>
                <w:noProof/>
                <w:webHidden/>
              </w:rPr>
              <w:t>10</w:t>
            </w:r>
            <w:r>
              <w:rPr>
                <w:noProof/>
                <w:webHidden/>
              </w:rPr>
              <w:fldChar w:fldCharType="end"/>
            </w:r>
          </w:hyperlink>
        </w:p>
        <w:p w14:paraId="54A1D78F" w14:textId="4ED5BF9D" w:rsidR="008D47A6" w:rsidRDefault="008D47A6">
          <w:pPr>
            <w:pStyle w:val="TM1"/>
            <w:tabs>
              <w:tab w:val="right" w:leader="dot" w:pos="9062"/>
            </w:tabs>
            <w:rPr>
              <w:noProof/>
              <w:sz w:val="22"/>
              <w:szCs w:val="22"/>
              <w:lang w:eastAsia="fr-FR"/>
            </w:rPr>
          </w:pPr>
          <w:hyperlink w:anchor="_Toc74651298" w:history="1">
            <w:r w:rsidRPr="00AB0939">
              <w:rPr>
                <w:rStyle w:val="Lienhypertexte"/>
                <w:noProof/>
              </w:rPr>
              <w:t>ACTUALITES SOCIALES</w:t>
            </w:r>
            <w:r>
              <w:rPr>
                <w:noProof/>
                <w:webHidden/>
              </w:rPr>
              <w:tab/>
            </w:r>
            <w:r>
              <w:rPr>
                <w:noProof/>
                <w:webHidden/>
              </w:rPr>
              <w:fldChar w:fldCharType="begin"/>
            </w:r>
            <w:r>
              <w:rPr>
                <w:noProof/>
                <w:webHidden/>
              </w:rPr>
              <w:instrText xml:space="preserve"> PAGEREF _Toc74651298 \h </w:instrText>
            </w:r>
            <w:r>
              <w:rPr>
                <w:noProof/>
                <w:webHidden/>
              </w:rPr>
            </w:r>
            <w:r>
              <w:rPr>
                <w:noProof/>
                <w:webHidden/>
              </w:rPr>
              <w:fldChar w:fldCharType="separate"/>
            </w:r>
            <w:r>
              <w:rPr>
                <w:noProof/>
                <w:webHidden/>
              </w:rPr>
              <w:t>11</w:t>
            </w:r>
            <w:r>
              <w:rPr>
                <w:noProof/>
                <w:webHidden/>
              </w:rPr>
              <w:fldChar w:fldCharType="end"/>
            </w:r>
          </w:hyperlink>
        </w:p>
        <w:p w14:paraId="5FD758E5" w14:textId="4E738E1D" w:rsidR="008D47A6" w:rsidRDefault="008D47A6">
          <w:pPr>
            <w:pStyle w:val="TM2"/>
            <w:tabs>
              <w:tab w:val="right" w:leader="dot" w:pos="9062"/>
            </w:tabs>
            <w:rPr>
              <w:noProof/>
              <w:sz w:val="22"/>
              <w:szCs w:val="22"/>
              <w:lang w:eastAsia="fr-FR"/>
            </w:rPr>
          </w:pPr>
          <w:hyperlink w:anchor="_Toc74651299" w:history="1">
            <w:r w:rsidRPr="00AB0939">
              <w:rPr>
                <w:rStyle w:val="Lienhypertexte"/>
                <w:noProof/>
              </w:rPr>
              <w:t>Ce qu’il faut savoir en matière d’embauche</w:t>
            </w:r>
            <w:r>
              <w:rPr>
                <w:noProof/>
                <w:webHidden/>
              </w:rPr>
              <w:tab/>
            </w:r>
            <w:r>
              <w:rPr>
                <w:noProof/>
                <w:webHidden/>
              </w:rPr>
              <w:fldChar w:fldCharType="begin"/>
            </w:r>
            <w:r>
              <w:rPr>
                <w:noProof/>
                <w:webHidden/>
              </w:rPr>
              <w:instrText xml:space="preserve"> PAGEREF _Toc74651299 \h </w:instrText>
            </w:r>
            <w:r>
              <w:rPr>
                <w:noProof/>
                <w:webHidden/>
              </w:rPr>
            </w:r>
            <w:r>
              <w:rPr>
                <w:noProof/>
                <w:webHidden/>
              </w:rPr>
              <w:fldChar w:fldCharType="separate"/>
            </w:r>
            <w:r>
              <w:rPr>
                <w:noProof/>
                <w:webHidden/>
              </w:rPr>
              <w:t>12</w:t>
            </w:r>
            <w:r>
              <w:rPr>
                <w:noProof/>
                <w:webHidden/>
              </w:rPr>
              <w:fldChar w:fldCharType="end"/>
            </w:r>
          </w:hyperlink>
        </w:p>
        <w:p w14:paraId="637A4220" w14:textId="209322DF" w:rsidR="008D47A6" w:rsidRDefault="008D47A6">
          <w:pPr>
            <w:pStyle w:val="TM3"/>
            <w:tabs>
              <w:tab w:val="right" w:leader="dot" w:pos="9062"/>
            </w:tabs>
            <w:rPr>
              <w:noProof/>
            </w:rPr>
          </w:pPr>
          <w:hyperlink w:anchor="_Toc74651300" w:history="1">
            <w:r w:rsidRPr="00AB0939">
              <w:rPr>
                <w:rStyle w:val="Lienhypertexte"/>
                <w:noProof/>
              </w:rPr>
              <w:t>Absence de prise de poste</w:t>
            </w:r>
            <w:r>
              <w:rPr>
                <w:noProof/>
                <w:webHidden/>
              </w:rPr>
              <w:tab/>
            </w:r>
            <w:r>
              <w:rPr>
                <w:noProof/>
                <w:webHidden/>
              </w:rPr>
              <w:fldChar w:fldCharType="begin"/>
            </w:r>
            <w:r>
              <w:rPr>
                <w:noProof/>
                <w:webHidden/>
              </w:rPr>
              <w:instrText xml:space="preserve"> PAGEREF _Toc74651300 \h </w:instrText>
            </w:r>
            <w:r>
              <w:rPr>
                <w:noProof/>
                <w:webHidden/>
              </w:rPr>
            </w:r>
            <w:r>
              <w:rPr>
                <w:noProof/>
                <w:webHidden/>
              </w:rPr>
              <w:fldChar w:fldCharType="separate"/>
            </w:r>
            <w:r>
              <w:rPr>
                <w:noProof/>
                <w:webHidden/>
              </w:rPr>
              <w:t>12</w:t>
            </w:r>
            <w:r>
              <w:rPr>
                <w:noProof/>
                <w:webHidden/>
              </w:rPr>
              <w:fldChar w:fldCharType="end"/>
            </w:r>
          </w:hyperlink>
        </w:p>
        <w:p w14:paraId="6447A5E8" w14:textId="3B5730D4" w:rsidR="008D47A6" w:rsidRDefault="008D47A6">
          <w:pPr>
            <w:pStyle w:val="TM3"/>
            <w:tabs>
              <w:tab w:val="right" w:leader="dot" w:pos="9062"/>
            </w:tabs>
            <w:rPr>
              <w:noProof/>
            </w:rPr>
          </w:pPr>
          <w:hyperlink w:anchor="_Toc74651301" w:history="1">
            <w:r w:rsidRPr="00AB0939">
              <w:rPr>
                <w:rStyle w:val="Lienhypertexte"/>
                <w:noProof/>
              </w:rPr>
              <w:t>CDD successifs et rémunération</w:t>
            </w:r>
            <w:r>
              <w:rPr>
                <w:noProof/>
                <w:webHidden/>
              </w:rPr>
              <w:tab/>
            </w:r>
            <w:r>
              <w:rPr>
                <w:noProof/>
                <w:webHidden/>
              </w:rPr>
              <w:fldChar w:fldCharType="begin"/>
            </w:r>
            <w:r>
              <w:rPr>
                <w:noProof/>
                <w:webHidden/>
              </w:rPr>
              <w:instrText xml:space="preserve"> PAGEREF _Toc74651301 \h </w:instrText>
            </w:r>
            <w:r>
              <w:rPr>
                <w:noProof/>
                <w:webHidden/>
              </w:rPr>
            </w:r>
            <w:r>
              <w:rPr>
                <w:noProof/>
                <w:webHidden/>
              </w:rPr>
              <w:fldChar w:fldCharType="separate"/>
            </w:r>
            <w:r>
              <w:rPr>
                <w:noProof/>
                <w:webHidden/>
              </w:rPr>
              <w:t>12</w:t>
            </w:r>
            <w:r>
              <w:rPr>
                <w:noProof/>
                <w:webHidden/>
              </w:rPr>
              <w:fldChar w:fldCharType="end"/>
            </w:r>
          </w:hyperlink>
        </w:p>
        <w:p w14:paraId="2BB49EC8" w14:textId="6A8D8501" w:rsidR="008D47A6" w:rsidRDefault="008D47A6">
          <w:pPr>
            <w:pStyle w:val="TM3"/>
            <w:tabs>
              <w:tab w:val="right" w:leader="dot" w:pos="9062"/>
            </w:tabs>
            <w:rPr>
              <w:noProof/>
            </w:rPr>
          </w:pPr>
          <w:hyperlink w:anchor="_Toc74651302" w:history="1">
            <w:r w:rsidRPr="00AB0939">
              <w:rPr>
                <w:rStyle w:val="Lienhypertexte"/>
                <w:noProof/>
              </w:rPr>
              <w:t>Calcul de la période d’essai</w:t>
            </w:r>
            <w:r>
              <w:rPr>
                <w:noProof/>
                <w:webHidden/>
              </w:rPr>
              <w:tab/>
            </w:r>
            <w:r>
              <w:rPr>
                <w:noProof/>
                <w:webHidden/>
              </w:rPr>
              <w:fldChar w:fldCharType="begin"/>
            </w:r>
            <w:r>
              <w:rPr>
                <w:noProof/>
                <w:webHidden/>
              </w:rPr>
              <w:instrText xml:space="preserve"> PAGEREF _Toc74651302 \h </w:instrText>
            </w:r>
            <w:r>
              <w:rPr>
                <w:noProof/>
                <w:webHidden/>
              </w:rPr>
            </w:r>
            <w:r>
              <w:rPr>
                <w:noProof/>
                <w:webHidden/>
              </w:rPr>
              <w:fldChar w:fldCharType="separate"/>
            </w:r>
            <w:r>
              <w:rPr>
                <w:noProof/>
                <w:webHidden/>
              </w:rPr>
              <w:t>13</w:t>
            </w:r>
            <w:r>
              <w:rPr>
                <w:noProof/>
                <w:webHidden/>
              </w:rPr>
              <w:fldChar w:fldCharType="end"/>
            </w:r>
          </w:hyperlink>
        </w:p>
        <w:p w14:paraId="4B3C2EE7" w14:textId="3E049B94" w:rsidR="008D47A6" w:rsidRDefault="008D47A6">
          <w:pPr>
            <w:pStyle w:val="TM2"/>
            <w:tabs>
              <w:tab w:val="right" w:leader="dot" w:pos="9062"/>
            </w:tabs>
            <w:rPr>
              <w:noProof/>
              <w:sz w:val="22"/>
              <w:szCs w:val="22"/>
              <w:lang w:eastAsia="fr-FR"/>
            </w:rPr>
          </w:pPr>
          <w:hyperlink w:anchor="_Toc74651303" w:history="1">
            <w:r w:rsidRPr="00AB0939">
              <w:rPr>
                <w:rStyle w:val="Lienhypertexte"/>
                <w:noProof/>
              </w:rPr>
              <w:t>Ce qu’il faut savoir en matière de rémunération</w:t>
            </w:r>
            <w:r>
              <w:rPr>
                <w:noProof/>
                <w:webHidden/>
              </w:rPr>
              <w:tab/>
            </w:r>
            <w:r>
              <w:rPr>
                <w:noProof/>
                <w:webHidden/>
              </w:rPr>
              <w:fldChar w:fldCharType="begin"/>
            </w:r>
            <w:r>
              <w:rPr>
                <w:noProof/>
                <w:webHidden/>
              </w:rPr>
              <w:instrText xml:space="preserve"> PAGEREF _Toc74651303 \h </w:instrText>
            </w:r>
            <w:r>
              <w:rPr>
                <w:noProof/>
                <w:webHidden/>
              </w:rPr>
            </w:r>
            <w:r>
              <w:rPr>
                <w:noProof/>
                <w:webHidden/>
              </w:rPr>
              <w:fldChar w:fldCharType="separate"/>
            </w:r>
            <w:r>
              <w:rPr>
                <w:noProof/>
                <w:webHidden/>
              </w:rPr>
              <w:t>14</w:t>
            </w:r>
            <w:r>
              <w:rPr>
                <w:noProof/>
                <w:webHidden/>
              </w:rPr>
              <w:fldChar w:fldCharType="end"/>
            </w:r>
          </w:hyperlink>
        </w:p>
        <w:p w14:paraId="5EE0425C" w14:textId="70FA2BE3" w:rsidR="008D47A6" w:rsidRDefault="008D47A6">
          <w:pPr>
            <w:pStyle w:val="TM3"/>
            <w:tabs>
              <w:tab w:val="right" w:leader="dot" w:pos="9062"/>
            </w:tabs>
            <w:rPr>
              <w:noProof/>
            </w:rPr>
          </w:pPr>
          <w:hyperlink w:anchor="_Toc74651304" w:history="1">
            <w:r w:rsidRPr="00AB0939">
              <w:rPr>
                <w:rStyle w:val="Lienhypertexte"/>
                <w:noProof/>
              </w:rPr>
              <w:t>Rémunération du salarié inapte</w:t>
            </w:r>
            <w:r>
              <w:rPr>
                <w:noProof/>
                <w:webHidden/>
              </w:rPr>
              <w:tab/>
            </w:r>
            <w:r>
              <w:rPr>
                <w:noProof/>
                <w:webHidden/>
              </w:rPr>
              <w:fldChar w:fldCharType="begin"/>
            </w:r>
            <w:r>
              <w:rPr>
                <w:noProof/>
                <w:webHidden/>
              </w:rPr>
              <w:instrText xml:space="preserve"> PAGEREF _Toc74651304 \h </w:instrText>
            </w:r>
            <w:r>
              <w:rPr>
                <w:noProof/>
                <w:webHidden/>
              </w:rPr>
            </w:r>
            <w:r>
              <w:rPr>
                <w:noProof/>
                <w:webHidden/>
              </w:rPr>
              <w:fldChar w:fldCharType="separate"/>
            </w:r>
            <w:r>
              <w:rPr>
                <w:noProof/>
                <w:webHidden/>
              </w:rPr>
              <w:t>14</w:t>
            </w:r>
            <w:r>
              <w:rPr>
                <w:noProof/>
                <w:webHidden/>
              </w:rPr>
              <w:fldChar w:fldCharType="end"/>
            </w:r>
          </w:hyperlink>
        </w:p>
        <w:p w14:paraId="5C5EB995" w14:textId="12E05BD5" w:rsidR="008D47A6" w:rsidRDefault="008D47A6">
          <w:pPr>
            <w:pStyle w:val="TM2"/>
            <w:tabs>
              <w:tab w:val="right" w:leader="dot" w:pos="9062"/>
            </w:tabs>
            <w:rPr>
              <w:noProof/>
              <w:sz w:val="22"/>
              <w:szCs w:val="22"/>
              <w:lang w:eastAsia="fr-FR"/>
            </w:rPr>
          </w:pPr>
          <w:hyperlink w:anchor="_Toc74651305" w:history="1">
            <w:r w:rsidRPr="00AB0939">
              <w:rPr>
                <w:rStyle w:val="Lienhypertexte"/>
                <w:noProof/>
              </w:rPr>
              <w:t>Ce qu’il faut savoir en matière de relations de travail</w:t>
            </w:r>
            <w:r>
              <w:rPr>
                <w:noProof/>
                <w:webHidden/>
              </w:rPr>
              <w:tab/>
            </w:r>
            <w:r>
              <w:rPr>
                <w:noProof/>
                <w:webHidden/>
              </w:rPr>
              <w:fldChar w:fldCharType="begin"/>
            </w:r>
            <w:r>
              <w:rPr>
                <w:noProof/>
                <w:webHidden/>
              </w:rPr>
              <w:instrText xml:space="preserve"> PAGEREF _Toc74651305 \h </w:instrText>
            </w:r>
            <w:r>
              <w:rPr>
                <w:noProof/>
                <w:webHidden/>
              </w:rPr>
            </w:r>
            <w:r>
              <w:rPr>
                <w:noProof/>
                <w:webHidden/>
              </w:rPr>
              <w:fldChar w:fldCharType="separate"/>
            </w:r>
            <w:r>
              <w:rPr>
                <w:noProof/>
                <w:webHidden/>
              </w:rPr>
              <w:t>15</w:t>
            </w:r>
            <w:r>
              <w:rPr>
                <w:noProof/>
                <w:webHidden/>
              </w:rPr>
              <w:fldChar w:fldCharType="end"/>
            </w:r>
          </w:hyperlink>
        </w:p>
        <w:p w14:paraId="39027421" w14:textId="52DC4793" w:rsidR="008D47A6" w:rsidRDefault="008D47A6">
          <w:pPr>
            <w:pStyle w:val="TM3"/>
            <w:tabs>
              <w:tab w:val="right" w:leader="dot" w:pos="9062"/>
            </w:tabs>
            <w:rPr>
              <w:noProof/>
            </w:rPr>
          </w:pPr>
          <w:hyperlink w:anchor="_Toc74651306" w:history="1">
            <w:r w:rsidRPr="00AB0939">
              <w:rPr>
                <w:rStyle w:val="Lienhypertexte"/>
                <w:noProof/>
              </w:rPr>
              <w:t>Mise à disposition d’un véhicule</w:t>
            </w:r>
            <w:r>
              <w:rPr>
                <w:noProof/>
                <w:webHidden/>
              </w:rPr>
              <w:tab/>
            </w:r>
            <w:r>
              <w:rPr>
                <w:noProof/>
                <w:webHidden/>
              </w:rPr>
              <w:fldChar w:fldCharType="begin"/>
            </w:r>
            <w:r>
              <w:rPr>
                <w:noProof/>
                <w:webHidden/>
              </w:rPr>
              <w:instrText xml:space="preserve"> PAGEREF _Toc74651306 \h </w:instrText>
            </w:r>
            <w:r>
              <w:rPr>
                <w:noProof/>
                <w:webHidden/>
              </w:rPr>
            </w:r>
            <w:r>
              <w:rPr>
                <w:noProof/>
                <w:webHidden/>
              </w:rPr>
              <w:fldChar w:fldCharType="separate"/>
            </w:r>
            <w:r>
              <w:rPr>
                <w:noProof/>
                <w:webHidden/>
              </w:rPr>
              <w:t>15</w:t>
            </w:r>
            <w:r>
              <w:rPr>
                <w:noProof/>
                <w:webHidden/>
              </w:rPr>
              <w:fldChar w:fldCharType="end"/>
            </w:r>
          </w:hyperlink>
        </w:p>
        <w:p w14:paraId="2E2DD827" w14:textId="3A84CBC4" w:rsidR="008D47A6" w:rsidRDefault="008D47A6">
          <w:pPr>
            <w:pStyle w:val="TM3"/>
            <w:tabs>
              <w:tab w:val="right" w:leader="dot" w:pos="9062"/>
            </w:tabs>
            <w:rPr>
              <w:noProof/>
            </w:rPr>
          </w:pPr>
          <w:hyperlink w:anchor="_Toc74651307" w:history="1">
            <w:r w:rsidRPr="00AB0939">
              <w:rPr>
                <w:rStyle w:val="Lienhypertexte"/>
                <w:noProof/>
              </w:rPr>
              <w:t>Congés payés et jours de fractionnement</w:t>
            </w:r>
            <w:r>
              <w:rPr>
                <w:noProof/>
                <w:webHidden/>
              </w:rPr>
              <w:tab/>
            </w:r>
            <w:r>
              <w:rPr>
                <w:noProof/>
                <w:webHidden/>
              </w:rPr>
              <w:fldChar w:fldCharType="begin"/>
            </w:r>
            <w:r>
              <w:rPr>
                <w:noProof/>
                <w:webHidden/>
              </w:rPr>
              <w:instrText xml:space="preserve"> PAGEREF _Toc74651307 \h </w:instrText>
            </w:r>
            <w:r>
              <w:rPr>
                <w:noProof/>
                <w:webHidden/>
              </w:rPr>
            </w:r>
            <w:r>
              <w:rPr>
                <w:noProof/>
                <w:webHidden/>
              </w:rPr>
              <w:fldChar w:fldCharType="separate"/>
            </w:r>
            <w:r>
              <w:rPr>
                <w:noProof/>
                <w:webHidden/>
              </w:rPr>
              <w:t>15</w:t>
            </w:r>
            <w:r>
              <w:rPr>
                <w:noProof/>
                <w:webHidden/>
              </w:rPr>
              <w:fldChar w:fldCharType="end"/>
            </w:r>
          </w:hyperlink>
        </w:p>
        <w:p w14:paraId="2FCA128E" w14:textId="7C3FF7E0" w:rsidR="008D47A6" w:rsidRDefault="008D47A6">
          <w:pPr>
            <w:pStyle w:val="TM3"/>
            <w:tabs>
              <w:tab w:val="right" w:leader="dot" w:pos="9062"/>
            </w:tabs>
            <w:rPr>
              <w:noProof/>
            </w:rPr>
          </w:pPr>
          <w:hyperlink w:anchor="_Toc74651308" w:history="1">
            <w:r w:rsidRPr="00AB0939">
              <w:rPr>
                <w:rStyle w:val="Lienhypertexte"/>
                <w:noProof/>
              </w:rPr>
              <w:t>Allongement du congé paternité</w:t>
            </w:r>
            <w:r>
              <w:rPr>
                <w:noProof/>
                <w:webHidden/>
              </w:rPr>
              <w:tab/>
            </w:r>
            <w:r>
              <w:rPr>
                <w:noProof/>
                <w:webHidden/>
              </w:rPr>
              <w:fldChar w:fldCharType="begin"/>
            </w:r>
            <w:r>
              <w:rPr>
                <w:noProof/>
                <w:webHidden/>
              </w:rPr>
              <w:instrText xml:space="preserve"> PAGEREF _Toc74651308 \h </w:instrText>
            </w:r>
            <w:r>
              <w:rPr>
                <w:noProof/>
                <w:webHidden/>
              </w:rPr>
            </w:r>
            <w:r>
              <w:rPr>
                <w:noProof/>
                <w:webHidden/>
              </w:rPr>
              <w:fldChar w:fldCharType="separate"/>
            </w:r>
            <w:r>
              <w:rPr>
                <w:noProof/>
                <w:webHidden/>
              </w:rPr>
              <w:t>16</w:t>
            </w:r>
            <w:r>
              <w:rPr>
                <w:noProof/>
                <w:webHidden/>
              </w:rPr>
              <w:fldChar w:fldCharType="end"/>
            </w:r>
          </w:hyperlink>
        </w:p>
        <w:p w14:paraId="7636A8E0" w14:textId="3CBE0001" w:rsidR="008D47A6" w:rsidRDefault="008D47A6">
          <w:pPr>
            <w:pStyle w:val="TM3"/>
            <w:tabs>
              <w:tab w:val="right" w:leader="dot" w:pos="9062"/>
            </w:tabs>
            <w:rPr>
              <w:noProof/>
            </w:rPr>
          </w:pPr>
          <w:hyperlink w:anchor="_Toc74651309" w:history="1">
            <w:r w:rsidRPr="00AB0939">
              <w:rPr>
                <w:rStyle w:val="Lienhypertexte"/>
                <w:noProof/>
              </w:rPr>
              <w:t>Télétravail et NTIC : remboursement des frais professionnels</w:t>
            </w:r>
            <w:r>
              <w:rPr>
                <w:noProof/>
                <w:webHidden/>
              </w:rPr>
              <w:tab/>
            </w:r>
            <w:r>
              <w:rPr>
                <w:noProof/>
                <w:webHidden/>
              </w:rPr>
              <w:fldChar w:fldCharType="begin"/>
            </w:r>
            <w:r>
              <w:rPr>
                <w:noProof/>
                <w:webHidden/>
              </w:rPr>
              <w:instrText xml:space="preserve"> PAGEREF _Toc74651309 \h </w:instrText>
            </w:r>
            <w:r>
              <w:rPr>
                <w:noProof/>
                <w:webHidden/>
              </w:rPr>
            </w:r>
            <w:r>
              <w:rPr>
                <w:noProof/>
                <w:webHidden/>
              </w:rPr>
              <w:fldChar w:fldCharType="separate"/>
            </w:r>
            <w:r>
              <w:rPr>
                <w:noProof/>
                <w:webHidden/>
              </w:rPr>
              <w:t>17</w:t>
            </w:r>
            <w:r>
              <w:rPr>
                <w:noProof/>
                <w:webHidden/>
              </w:rPr>
              <w:fldChar w:fldCharType="end"/>
            </w:r>
          </w:hyperlink>
        </w:p>
        <w:p w14:paraId="29F98AAB" w14:textId="58A09E22" w:rsidR="008D47A6" w:rsidRDefault="008D47A6">
          <w:pPr>
            <w:pStyle w:val="TM2"/>
            <w:tabs>
              <w:tab w:val="right" w:leader="dot" w:pos="9062"/>
            </w:tabs>
            <w:rPr>
              <w:noProof/>
              <w:sz w:val="22"/>
              <w:szCs w:val="22"/>
              <w:lang w:eastAsia="fr-FR"/>
            </w:rPr>
          </w:pPr>
          <w:hyperlink w:anchor="_Toc74651310" w:history="1">
            <w:r w:rsidRPr="00AB0939">
              <w:rPr>
                <w:rStyle w:val="Lienhypertexte"/>
                <w:noProof/>
              </w:rPr>
              <w:t>Ce qu’il faut savoir en matière de santé et sécurité au travail</w:t>
            </w:r>
            <w:r>
              <w:rPr>
                <w:noProof/>
                <w:webHidden/>
              </w:rPr>
              <w:tab/>
            </w:r>
            <w:r>
              <w:rPr>
                <w:noProof/>
                <w:webHidden/>
              </w:rPr>
              <w:fldChar w:fldCharType="begin"/>
            </w:r>
            <w:r>
              <w:rPr>
                <w:noProof/>
                <w:webHidden/>
              </w:rPr>
              <w:instrText xml:space="preserve"> PAGEREF _Toc74651310 \h </w:instrText>
            </w:r>
            <w:r>
              <w:rPr>
                <w:noProof/>
                <w:webHidden/>
              </w:rPr>
            </w:r>
            <w:r>
              <w:rPr>
                <w:noProof/>
                <w:webHidden/>
              </w:rPr>
              <w:fldChar w:fldCharType="separate"/>
            </w:r>
            <w:r>
              <w:rPr>
                <w:noProof/>
                <w:webHidden/>
              </w:rPr>
              <w:t>20</w:t>
            </w:r>
            <w:r>
              <w:rPr>
                <w:noProof/>
                <w:webHidden/>
              </w:rPr>
              <w:fldChar w:fldCharType="end"/>
            </w:r>
          </w:hyperlink>
        </w:p>
        <w:p w14:paraId="65498E2C" w14:textId="3E287C98" w:rsidR="008D47A6" w:rsidRDefault="008D47A6">
          <w:pPr>
            <w:pStyle w:val="TM3"/>
            <w:tabs>
              <w:tab w:val="right" w:leader="dot" w:pos="9062"/>
            </w:tabs>
            <w:rPr>
              <w:noProof/>
            </w:rPr>
          </w:pPr>
          <w:hyperlink w:anchor="_Toc74651311" w:history="1">
            <w:r w:rsidRPr="00AB0939">
              <w:rPr>
                <w:rStyle w:val="Lienhypertexte"/>
                <w:noProof/>
              </w:rPr>
              <w:t>Registre des accidents bénins</w:t>
            </w:r>
            <w:r>
              <w:rPr>
                <w:noProof/>
                <w:webHidden/>
              </w:rPr>
              <w:tab/>
            </w:r>
            <w:r>
              <w:rPr>
                <w:noProof/>
                <w:webHidden/>
              </w:rPr>
              <w:fldChar w:fldCharType="begin"/>
            </w:r>
            <w:r>
              <w:rPr>
                <w:noProof/>
                <w:webHidden/>
              </w:rPr>
              <w:instrText xml:space="preserve"> PAGEREF _Toc74651311 \h </w:instrText>
            </w:r>
            <w:r>
              <w:rPr>
                <w:noProof/>
                <w:webHidden/>
              </w:rPr>
            </w:r>
            <w:r>
              <w:rPr>
                <w:noProof/>
                <w:webHidden/>
              </w:rPr>
              <w:fldChar w:fldCharType="separate"/>
            </w:r>
            <w:r>
              <w:rPr>
                <w:noProof/>
                <w:webHidden/>
              </w:rPr>
              <w:t>20</w:t>
            </w:r>
            <w:r>
              <w:rPr>
                <w:noProof/>
                <w:webHidden/>
              </w:rPr>
              <w:fldChar w:fldCharType="end"/>
            </w:r>
          </w:hyperlink>
        </w:p>
        <w:p w14:paraId="51E015D6" w14:textId="34224341" w:rsidR="008D47A6" w:rsidRDefault="008D47A6">
          <w:pPr>
            <w:pStyle w:val="TM3"/>
            <w:tabs>
              <w:tab w:val="right" w:leader="dot" w:pos="9062"/>
            </w:tabs>
            <w:rPr>
              <w:noProof/>
            </w:rPr>
          </w:pPr>
          <w:hyperlink w:anchor="_Toc74651312" w:history="1">
            <w:r w:rsidRPr="00AB0939">
              <w:rPr>
                <w:rStyle w:val="Lienhypertexte"/>
                <w:noProof/>
              </w:rPr>
              <w:t>AT/MP et indemnisation de l’incapacité permanente</w:t>
            </w:r>
            <w:r>
              <w:rPr>
                <w:noProof/>
                <w:webHidden/>
              </w:rPr>
              <w:tab/>
            </w:r>
            <w:r>
              <w:rPr>
                <w:noProof/>
                <w:webHidden/>
              </w:rPr>
              <w:fldChar w:fldCharType="begin"/>
            </w:r>
            <w:r>
              <w:rPr>
                <w:noProof/>
                <w:webHidden/>
              </w:rPr>
              <w:instrText xml:space="preserve"> PAGEREF _Toc74651312 \h </w:instrText>
            </w:r>
            <w:r>
              <w:rPr>
                <w:noProof/>
                <w:webHidden/>
              </w:rPr>
            </w:r>
            <w:r>
              <w:rPr>
                <w:noProof/>
                <w:webHidden/>
              </w:rPr>
              <w:fldChar w:fldCharType="separate"/>
            </w:r>
            <w:r>
              <w:rPr>
                <w:noProof/>
                <w:webHidden/>
              </w:rPr>
              <w:t>21</w:t>
            </w:r>
            <w:r>
              <w:rPr>
                <w:noProof/>
                <w:webHidden/>
              </w:rPr>
              <w:fldChar w:fldCharType="end"/>
            </w:r>
          </w:hyperlink>
        </w:p>
        <w:p w14:paraId="1CB28325" w14:textId="517CF160" w:rsidR="008D47A6" w:rsidRDefault="008D47A6">
          <w:pPr>
            <w:pStyle w:val="TM3"/>
            <w:tabs>
              <w:tab w:val="right" w:leader="dot" w:pos="9062"/>
            </w:tabs>
            <w:rPr>
              <w:noProof/>
            </w:rPr>
          </w:pPr>
          <w:hyperlink w:anchor="_Toc74651313" w:history="1">
            <w:r w:rsidRPr="00AB0939">
              <w:rPr>
                <w:rStyle w:val="Lienhypertexte"/>
                <w:noProof/>
              </w:rPr>
              <w:t>Arrêt maladie et obligations de l’employeur</w:t>
            </w:r>
            <w:r>
              <w:rPr>
                <w:noProof/>
                <w:webHidden/>
              </w:rPr>
              <w:tab/>
            </w:r>
            <w:r>
              <w:rPr>
                <w:noProof/>
                <w:webHidden/>
              </w:rPr>
              <w:fldChar w:fldCharType="begin"/>
            </w:r>
            <w:r>
              <w:rPr>
                <w:noProof/>
                <w:webHidden/>
              </w:rPr>
              <w:instrText xml:space="preserve"> PAGEREF _Toc74651313 \h </w:instrText>
            </w:r>
            <w:r>
              <w:rPr>
                <w:noProof/>
                <w:webHidden/>
              </w:rPr>
            </w:r>
            <w:r>
              <w:rPr>
                <w:noProof/>
                <w:webHidden/>
              </w:rPr>
              <w:fldChar w:fldCharType="separate"/>
            </w:r>
            <w:r>
              <w:rPr>
                <w:noProof/>
                <w:webHidden/>
              </w:rPr>
              <w:t>22</w:t>
            </w:r>
            <w:r>
              <w:rPr>
                <w:noProof/>
                <w:webHidden/>
              </w:rPr>
              <w:fldChar w:fldCharType="end"/>
            </w:r>
          </w:hyperlink>
        </w:p>
        <w:p w14:paraId="075DD219" w14:textId="7C9DDBE8" w:rsidR="008D47A6" w:rsidRDefault="008D47A6">
          <w:pPr>
            <w:pStyle w:val="TM2"/>
            <w:tabs>
              <w:tab w:val="right" w:leader="dot" w:pos="9062"/>
            </w:tabs>
            <w:rPr>
              <w:noProof/>
              <w:sz w:val="22"/>
              <w:szCs w:val="22"/>
              <w:lang w:eastAsia="fr-FR"/>
            </w:rPr>
          </w:pPr>
          <w:hyperlink w:anchor="_Toc74651314" w:history="1">
            <w:r w:rsidRPr="00AB0939">
              <w:rPr>
                <w:rStyle w:val="Lienhypertexte"/>
                <w:noProof/>
              </w:rPr>
              <w:t>Ce qu’il faut savoir en matière de représentation du personnel</w:t>
            </w:r>
            <w:r>
              <w:rPr>
                <w:noProof/>
                <w:webHidden/>
              </w:rPr>
              <w:tab/>
            </w:r>
            <w:r>
              <w:rPr>
                <w:noProof/>
                <w:webHidden/>
              </w:rPr>
              <w:fldChar w:fldCharType="begin"/>
            </w:r>
            <w:r>
              <w:rPr>
                <w:noProof/>
                <w:webHidden/>
              </w:rPr>
              <w:instrText xml:space="preserve"> PAGEREF _Toc74651314 \h </w:instrText>
            </w:r>
            <w:r>
              <w:rPr>
                <w:noProof/>
                <w:webHidden/>
              </w:rPr>
            </w:r>
            <w:r>
              <w:rPr>
                <w:noProof/>
                <w:webHidden/>
              </w:rPr>
              <w:fldChar w:fldCharType="separate"/>
            </w:r>
            <w:r>
              <w:rPr>
                <w:noProof/>
                <w:webHidden/>
              </w:rPr>
              <w:t>23</w:t>
            </w:r>
            <w:r>
              <w:rPr>
                <w:noProof/>
                <w:webHidden/>
              </w:rPr>
              <w:fldChar w:fldCharType="end"/>
            </w:r>
          </w:hyperlink>
        </w:p>
        <w:p w14:paraId="3551D0A4" w14:textId="39229565" w:rsidR="008D47A6" w:rsidRDefault="008D47A6">
          <w:pPr>
            <w:pStyle w:val="TM3"/>
            <w:tabs>
              <w:tab w:val="right" w:leader="dot" w:pos="9062"/>
            </w:tabs>
            <w:rPr>
              <w:noProof/>
            </w:rPr>
          </w:pPr>
          <w:hyperlink w:anchor="_Toc74651315" w:history="1">
            <w:r w:rsidRPr="00AB0939">
              <w:rPr>
                <w:rStyle w:val="Lienhypertexte"/>
                <w:noProof/>
              </w:rPr>
              <w:t>Violation du statut protecteur</w:t>
            </w:r>
            <w:r>
              <w:rPr>
                <w:noProof/>
                <w:webHidden/>
              </w:rPr>
              <w:tab/>
            </w:r>
            <w:r>
              <w:rPr>
                <w:noProof/>
                <w:webHidden/>
              </w:rPr>
              <w:fldChar w:fldCharType="begin"/>
            </w:r>
            <w:r>
              <w:rPr>
                <w:noProof/>
                <w:webHidden/>
              </w:rPr>
              <w:instrText xml:space="preserve"> PAGEREF _Toc74651315 \h </w:instrText>
            </w:r>
            <w:r>
              <w:rPr>
                <w:noProof/>
                <w:webHidden/>
              </w:rPr>
            </w:r>
            <w:r>
              <w:rPr>
                <w:noProof/>
                <w:webHidden/>
              </w:rPr>
              <w:fldChar w:fldCharType="separate"/>
            </w:r>
            <w:r>
              <w:rPr>
                <w:noProof/>
                <w:webHidden/>
              </w:rPr>
              <w:t>23</w:t>
            </w:r>
            <w:r>
              <w:rPr>
                <w:noProof/>
                <w:webHidden/>
              </w:rPr>
              <w:fldChar w:fldCharType="end"/>
            </w:r>
          </w:hyperlink>
        </w:p>
        <w:p w14:paraId="1EBDE8F7" w14:textId="2229EAF1" w:rsidR="008D47A6" w:rsidRDefault="008D47A6">
          <w:pPr>
            <w:pStyle w:val="TM2"/>
            <w:tabs>
              <w:tab w:val="right" w:leader="dot" w:pos="9062"/>
            </w:tabs>
            <w:rPr>
              <w:noProof/>
              <w:sz w:val="22"/>
              <w:szCs w:val="22"/>
              <w:lang w:eastAsia="fr-FR"/>
            </w:rPr>
          </w:pPr>
          <w:hyperlink w:anchor="_Toc74651316" w:history="1">
            <w:r w:rsidRPr="00AB0939">
              <w:rPr>
                <w:rStyle w:val="Lienhypertexte"/>
                <w:noProof/>
              </w:rPr>
              <w:t>Ce qu’il faut savoir en matière de relations avec l’administration sociale</w:t>
            </w:r>
            <w:r>
              <w:rPr>
                <w:noProof/>
                <w:webHidden/>
              </w:rPr>
              <w:tab/>
            </w:r>
            <w:r>
              <w:rPr>
                <w:noProof/>
                <w:webHidden/>
              </w:rPr>
              <w:fldChar w:fldCharType="begin"/>
            </w:r>
            <w:r>
              <w:rPr>
                <w:noProof/>
                <w:webHidden/>
              </w:rPr>
              <w:instrText xml:space="preserve"> PAGEREF _Toc74651316 \h </w:instrText>
            </w:r>
            <w:r>
              <w:rPr>
                <w:noProof/>
                <w:webHidden/>
              </w:rPr>
            </w:r>
            <w:r>
              <w:rPr>
                <w:noProof/>
                <w:webHidden/>
              </w:rPr>
              <w:fldChar w:fldCharType="separate"/>
            </w:r>
            <w:r>
              <w:rPr>
                <w:noProof/>
                <w:webHidden/>
              </w:rPr>
              <w:t>24</w:t>
            </w:r>
            <w:r>
              <w:rPr>
                <w:noProof/>
                <w:webHidden/>
              </w:rPr>
              <w:fldChar w:fldCharType="end"/>
            </w:r>
          </w:hyperlink>
        </w:p>
        <w:p w14:paraId="769F06D9" w14:textId="47C41029" w:rsidR="008D47A6" w:rsidRDefault="008D47A6">
          <w:pPr>
            <w:pStyle w:val="TM3"/>
            <w:tabs>
              <w:tab w:val="right" w:leader="dot" w:pos="9062"/>
            </w:tabs>
            <w:rPr>
              <w:noProof/>
            </w:rPr>
          </w:pPr>
          <w:hyperlink w:anchor="_Toc74651317" w:history="1">
            <w:r w:rsidRPr="00AB0939">
              <w:rPr>
                <w:rStyle w:val="Lienhypertexte"/>
                <w:noProof/>
              </w:rPr>
              <w:t>Quotité de travail en DSN</w:t>
            </w:r>
            <w:r>
              <w:rPr>
                <w:noProof/>
                <w:webHidden/>
              </w:rPr>
              <w:tab/>
            </w:r>
            <w:r>
              <w:rPr>
                <w:noProof/>
                <w:webHidden/>
              </w:rPr>
              <w:fldChar w:fldCharType="begin"/>
            </w:r>
            <w:r>
              <w:rPr>
                <w:noProof/>
                <w:webHidden/>
              </w:rPr>
              <w:instrText xml:space="preserve"> PAGEREF _Toc74651317 \h </w:instrText>
            </w:r>
            <w:r>
              <w:rPr>
                <w:noProof/>
                <w:webHidden/>
              </w:rPr>
            </w:r>
            <w:r>
              <w:rPr>
                <w:noProof/>
                <w:webHidden/>
              </w:rPr>
              <w:fldChar w:fldCharType="separate"/>
            </w:r>
            <w:r>
              <w:rPr>
                <w:noProof/>
                <w:webHidden/>
              </w:rPr>
              <w:t>24</w:t>
            </w:r>
            <w:r>
              <w:rPr>
                <w:noProof/>
                <w:webHidden/>
              </w:rPr>
              <w:fldChar w:fldCharType="end"/>
            </w:r>
          </w:hyperlink>
        </w:p>
        <w:p w14:paraId="4DD698BC" w14:textId="63A1C1E9" w:rsidR="008D47A6" w:rsidRDefault="008D47A6">
          <w:pPr>
            <w:pStyle w:val="TM3"/>
            <w:tabs>
              <w:tab w:val="right" w:leader="dot" w:pos="9062"/>
            </w:tabs>
            <w:rPr>
              <w:noProof/>
            </w:rPr>
          </w:pPr>
          <w:hyperlink w:anchor="_Toc74651318" w:history="1">
            <w:r w:rsidRPr="00AB0939">
              <w:rPr>
                <w:rStyle w:val="Lienhypertexte"/>
                <w:noProof/>
              </w:rPr>
              <w:t>Contrôle URSSAF et signature des inspecteurs</w:t>
            </w:r>
            <w:r>
              <w:rPr>
                <w:noProof/>
                <w:webHidden/>
              </w:rPr>
              <w:tab/>
            </w:r>
            <w:r>
              <w:rPr>
                <w:noProof/>
                <w:webHidden/>
              </w:rPr>
              <w:fldChar w:fldCharType="begin"/>
            </w:r>
            <w:r>
              <w:rPr>
                <w:noProof/>
                <w:webHidden/>
              </w:rPr>
              <w:instrText xml:space="preserve"> PAGEREF _Toc74651318 \h </w:instrText>
            </w:r>
            <w:r>
              <w:rPr>
                <w:noProof/>
                <w:webHidden/>
              </w:rPr>
            </w:r>
            <w:r>
              <w:rPr>
                <w:noProof/>
                <w:webHidden/>
              </w:rPr>
              <w:fldChar w:fldCharType="separate"/>
            </w:r>
            <w:r>
              <w:rPr>
                <w:noProof/>
                <w:webHidden/>
              </w:rPr>
              <w:t>24</w:t>
            </w:r>
            <w:r>
              <w:rPr>
                <w:noProof/>
                <w:webHidden/>
              </w:rPr>
              <w:fldChar w:fldCharType="end"/>
            </w:r>
          </w:hyperlink>
        </w:p>
        <w:p w14:paraId="3CAE3F56" w14:textId="6D9B3A9B" w:rsidR="008D47A6" w:rsidRDefault="008D47A6">
          <w:pPr>
            <w:pStyle w:val="TM3"/>
            <w:tabs>
              <w:tab w:val="right" w:leader="dot" w:pos="9062"/>
            </w:tabs>
            <w:rPr>
              <w:noProof/>
            </w:rPr>
          </w:pPr>
          <w:hyperlink w:anchor="_Toc74651319" w:history="1">
            <w:r w:rsidRPr="00AB0939">
              <w:rPr>
                <w:rStyle w:val="Lienhypertexte"/>
                <w:noProof/>
              </w:rPr>
              <w:t>Versement transport</w:t>
            </w:r>
            <w:r>
              <w:rPr>
                <w:noProof/>
                <w:webHidden/>
              </w:rPr>
              <w:tab/>
            </w:r>
            <w:r>
              <w:rPr>
                <w:noProof/>
                <w:webHidden/>
              </w:rPr>
              <w:fldChar w:fldCharType="begin"/>
            </w:r>
            <w:r>
              <w:rPr>
                <w:noProof/>
                <w:webHidden/>
              </w:rPr>
              <w:instrText xml:space="preserve"> PAGEREF _Toc74651319 \h </w:instrText>
            </w:r>
            <w:r>
              <w:rPr>
                <w:noProof/>
                <w:webHidden/>
              </w:rPr>
            </w:r>
            <w:r>
              <w:rPr>
                <w:noProof/>
                <w:webHidden/>
              </w:rPr>
              <w:fldChar w:fldCharType="separate"/>
            </w:r>
            <w:r>
              <w:rPr>
                <w:noProof/>
                <w:webHidden/>
              </w:rPr>
              <w:t>25</w:t>
            </w:r>
            <w:r>
              <w:rPr>
                <w:noProof/>
                <w:webHidden/>
              </w:rPr>
              <w:fldChar w:fldCharType="end"/>
            </w:r>
          </w:hyperlink>
        </w:p>
        <w:p w14:paraId="03C09452" w14:textId="58723E2B" w:rsidR="008D47A6" w:rsidRDefault="008D47A6">
          <w:pPr>
            <w:pStyle w:val="TM3"/>
            <w:tabs>
              <w:tab w:val="right" w:leader="dot" w:pos="9062"/>
            </w:tabs>
            <w:rPr>
              <w:noProof/>
            </w:rPr>
          </w:pPr>
          <w:hyperlink w:anchor="_Toc74651320" w:history="1">
            <w:r w:rsidRPr="00AB0939">
              <w:rPr>
                <w:rStyle w:val="Lienhypertexte"/>
                <w:noProof/>
              </w:rPr>
              <w:t>Révocabilité de l’option pour la réduction Fillon</w:t>
            </w:r>
            <w:r>
              <w:rPr>
                <w:noProof/>
                <w:webHidden/>
              </w:rPr>
              <w:tab/>
            </w:r>
            <w:r>
              <w:rPr>
                <w:noProof/>
                <w:webHidden/>
              </w:rPr>
              <w:fldChar w:fldCharType="begin"/>
            </w:r>
            <w:r>
              <w:rPr>
                <w:noProof/>
                <w:webHidden/>
              </w:rPr>
              <w:instrText xml:space="preserve"> PAGEREF _Toc74651320 \h </w:instrText>
            </w:r>
            <w:r>
              <w:rPr>
                <w:noProof/>
                <w:webHidden/>
              </w:rPr>
            </w:r>
            <w:r>
              <w:rPr>
                <w:noProof/>
                <w:webHidden/>
              </w:rPr>
              <w:fldChar w:fldCharType="separate"/>
            </w:r>
            <w:r>
              <w:rPr>
                <w:noProof/>
                <w:webHidden/>
              </w:rPr>
              <w:t>27</w:t>
            </w:r>
            <w:r>
              <w:rPr>
                <w:noProof/>
                <w:webHidden/>
              </w:rPr>
              <w:fldChar w:fldCharType="end"/>
            </w:r>
          </w:hyperlink>
        </w:p>
        <w:p w14:paraId="0E06CB9C" w14:textId="08AF458F" w:rsidR="008D47A6" w:rsidRDefault="008D47A6">
          <w:pPr>
            <w:pStyle w:val="TM2"/>
            <w:tabs>
              <w:tab w:val="right" w:leader="dot" w:pos="9062"/>
            </w:tabs>
            <w:rPr>
              <w:noProof/>
              <w:sz w:val="22"/>
              <w:szCs w:val="22"/>
              <w:lang w:eastAsia="fr-FR"/>
            </w:rPr>
          </w:pPr>
          <w:hyperlink w:anchor="_Toc74651321" w:history="1">
            <w:r w:rsidRPr="00AB0939">
              <w:rPr>
                <w:rStyle w:val="Lienhypertexte"/>
                <w:noProof/>
              </w:rPr>
              <w:t>Ce qu’il faut savoir en matière de rupture de contrat</w:t>
            </w:r>
            <w:r>
              <w:rPr>
                <w:noProof/>
                <w:webHidden/>
              </w:rPr>
              <w:tab/>
            </w:r>
            <w:r>
              <w:rPr>
                <w:noProof/>
                <w:webHidden/>
              </w:rPr>
              <w:fldChar w:fldCharType="begin"/>
            </w:r>
            <w:r>
              <w:rPr>
                <w:noProof/>
                <w:webHidden/>
              </w:rPr>
              <w:instrText xml:space="preserve"> PAGEREF _Toc74651321 \h </w:instrText>
            </w:r>
            <w:r>
              <w:rPr>
                <w:noProof/>
                <w:webHidden/>
              </w:rPr>
            </w:r>
            <w:r>
              <w:rPr>
                <w:noProof/>
                <w:webHidden/>
              </w:rPr>
              <w:fldChar w:fldCharType="separate"/>
            </w:r>
            <w:r>
              <w:rPr>
                <w:noProof/>
                <w:webHidden/>
              </w:rPr>
              <w:t>30</w:t>
            </w:r>
            <w:r>
              <w:rPr>
                <w:noProof/>
                <w:webHidden/>
              </w:rPr>
              <w:fldChar w:fldCharType="end"/>
            </w:r>
          </w:hyperlink>
        </w:p>
        <w:p w14:paraId="35BDCD87" w14:textId="189FD350" w:rsidR="008D47A6" w:rsidRDefault="008D47A6">
          <w:pPr>
            <w:pStyle w:val="TM3"/>
            <w:tabs>
              <w:tab w:val="right" w:leader="dot" w:pos="9062"/>
            </w:tabs>
            <w:rPr>
              <w:noProof/>
            </w:rPr>
          </w:pPr>
          <w:hyperlink w:anchor="_Toc74651322" w:history="1">
            <w:r w:rsidRPr="00AB0939">
              <w:rPr>
                <w:rStyle w:val="Lienhypertexte"/>
                <w:noProof/>
              </w:rPr>
              <w:t>Contestation d’un licenciement économique et CSP</w:t>
            </w:r>
            <w:r>
              <w:rPr>
                <w:noProof/>
                <w:webHidden/>
              </w:rPr>
              <w:tab/>
            </w:r>
            <w:r>
              <w:rPr>
                <w:noProof/>
                <w:webHidden/>
              </w:rPr>
              <w:fldChar w:fldCharType="begin"/>
            </w:r>
            <w:r>
              <w:rPr>
                <w:noProof/>
                <w:webHidden/>
              </w:rPr>
              <w:instrText xml:space="preserve"> PAGEREF _Toc74651322 \h </w:instrText>
            </w:r>
            <w:r>
              <w:rPr>
                <w:noProof/>
                <w:webHidden/>
              </w:rPr>
            </w:r>
            <w:r>
              <w:rPr>
                <w:noProof/>
                <w:webHidden/>
              </w:rPr>
              <w:fldChar w:fldCharType="separate"/>
            </w:r>
            <w:r>
              <w:rPr>
                <w:noProof/>
                <w:webHidden/>
              </w:rPr>
              <w:t>30</w:t>
            </w:r>
            <w:r>
              <w:rPr>
                <w:noProof/>
                <w:webHidden/>
              </w:rPr>
              <w:fldChar w:fldCharType="end"/>
            </w:r>
          </w:hyperlink>
        </w:p>
        <w:p w14:paraId="4D82942D" w14:textId="42D50F4B" w:rsidR="008D47A6" w:rsidRDefault="008D47A6">
          <w:pPr>
            <w:pStyle w:val="TM3"/>
            <w:tabs>
              <w:tab w:val="right" w:leader="dot" w:pos="9062"/>
            </w:tabs>
            <w:rPr>
              <w:noProof/>
            </w:rPr>
          </w:pPr>
          <w:hyperlink w:anchor="_Toc74651323" w:history="1">
            <w:r w:rsidRPr="00AB0939">
              <w:rPr>
                <w:rStyle w:val="Lienhypertexte"/>
                <w:noProof/>
              </w:rPr>
              <w:t>Indemnité de rupture conventionnelle</w:t>
            </w:r>
            <w:r>
              <w:rPr>
                <w:noProof/>
                <w:webHidden/>
              </w:rPr>
              <w:tab/>
            </w:r>
            <w:r>
              <w:rPr>
                <w:noProof/>
                <w:webHidden/>
              </w:rPr>
              <w:fldChar w:fldCharType="begin"/>
            </w:r>
            <w:r>
              <w:rPr>
                <w:noProof/>
                <w:webHidden/>
              </w:rPr>
              <w:instrText xml:space="preserve"> PAGEREF _Toc74651323 \h </w:instrText>
            </w:r>
            <w:r>
              <w:rPr>
                <w:noProof/>
                <w:webHidden/>
              </w:rPr>
            </w:r>
            <w:r>
              <w:rPr>
                <w:noProof/>
                <w:webHidden/>
              </w:rPr>
              <w:fldChar w:fldCharType="separate"/>
            </w:r>
            <w:r>
              <w:rPr>
                <w:noProof/>
                <w:webHidden/>
              </w:rPr>
              <w:t>30</w:t>
            </w:r>
            <w:r>
              <w:rPr>
                <w:noProof/>
                <w:webHidden/>
              </w:rPr>
              <w:fldChar w:fldCharType="end"/>
            </w:r>
          </w:hyperlink>
        </w:p>
        <w:p w14:paraId="257B5DE9" w14:textId="2FF6650A" w:rsidR="008D47A6" w:rsidRDefault="008D47A6">
          <w:pPr>
            <w:pStyle w:val="TM3"/>
            <w:tabs>
              <w:tab w:val="right" w:leader="dot" w:pos="9062"/>
            </w:tabs>
            <w:rPr>
              <w:noProof/>
            </w:rPr>
          </w:pPr>
          <w:hyperlink w:anchor="_Toc74651324" w:history="1">
            <w:r w:rsidRPr="00AB0939">
              <w:rPr>
                <w:rStyle w:val="Lienhypertexte"/>
                <w:noProof/>
              </w:rPr>
              <w:t>Licenciement économique et dispositifs de reclassement</w:t>
            </w:r>
            <w:r>
              <w:rPr>
                <w:noProof/>
                <w:webHidden/>
              </w:rPr>
              <w:tab/>
            </w:r>
            <w:r>
              <w:rPr>
                <w:noProof/>
                <w:webHidden/>
              </w:rPr>
              <w:fldChar w:fldCharType="begin"/>
            </w:r>
            <w:r>
              <w:rPr>
                <w:noProof/>
                <w:webHidden/>
              </w:rPr>
              <w:instrText xml:space="preserve"> PAGEREF _Toc74651324 \h </w:instrText>
            </w:r>
            <w:r>
              <w:rPr>
                <w:noProof/>
                <w:webHidden/>
              </w:rPr>
            </w:r>
            <w:r>
              <w:rPr>
                <w:noProof/>
                <w:webHidden/>
              </w:rPr>
              <w:fldChar w:fldCharType="separate"/>
            </w:r>
            <w:r>
              <w:rPr>
                <w:noProof/>
                <w:webHidden/>
              </w:rPr>
              <w:t>32</w:t>
            </w:r>
            <w:r>
              <w:rPr>
                <w:noProof/>
                <w:webHidden/>
              </w:rPr>
              <w:fldChar w:fldCharType="end"/>
            </w:r>
          </w:hyperlink>
        </w:p>
        <w:p w14:paraId="08CE8C23" w14:textId="0D019344" w:rsidR="008D47A6" w:rsidRDefault="008D47A6">
          <w:pPr>
            <w:pStyle w:val="TM1"/>
            <w:tabs>
              <w:tab w:val="right" w:leader="dot" w:pos="9062"/>
            </w:tabs>
            <w:rPr>
              <w:noProof/>
              <w:sz w:val="22"/>
              <w:szCs w:val="22"/>
              <w:lang w:eastAsia="fr-FR"/>
            </w:rPr>
          </w:pPr>
          <w:hyperlink w:anchor="_Toc74651325" w:history="1">
            <w:r w:rsidRPr="00AB0939">
              <w:rPr>
                <w:rStyle w:val="Lienhypertexte"/>
                <w:noProof/>
              </w:rPr>
              <w:t>ACTUALITES JURIDIQUES</w:t>
            </w:r>
            <w:r>
              <w:rPr>
                <w:noProof/>
                <w:webHidden/>
              </w:rPr>
              <w:tab/>
            </w:r>
            <w:r>
              <w:rPr>
                <w:noProof/>
                <w:webHidden/>
              </w:rPr>
              <w:fldChar w:fldCharType="begin"/>
            </w:r>
            <w:r>
              <w:rPr>
                <w:noProof/>
                <w:webHidden/>
              </w:rPr>
              <w:instrText xml:space="preserve"> PAGEREF _Toc74651325 \h </w:instrText>
            </w:r>
            <w:r>
              <w:rPr>
                <w:noProof/>
                <w:webHidden/>
              </w:rPr>
            </w:r>
            <w:r>
              <w:rPr>
                <w:noProof/>
                <w:webHidden/>
              </w:rPr>
              <w:fldChar w:fldCharType="separate"/>
            </w:r>
            <w:r>
              <w:rPr>
                <w:noProof/>
                <w:webHidden/>
              </w:rPr>
              <w:t>34</w:t>
            </w:r>
            <w:r>
              <w:rPr>
                <w:noProof/>
                <w:webHidden/>
              </w:rPr>
              <w:fldChar w:fldCharType="end"/>
            </w:r>
          </w:hyperlink>
        </w:p>
        <w:p w14:paraId="76E2E20B" w14:textId="011C3962" w:rsidR="008D47A6" w:rsidRDefault="008D47A6">
          <w:pPr>
            <w:pStyle w:val="TM2"/>
            <w:tabs>
              <w:tab w:val="right" w:leader="dot" w:pos="9062"/>
            </w:tabs>
            <w:rPr>
              <w:noProof/>
              <w:sz w:val="22"/>
              <w:szCs w:val="22"/>
              <w:lang w:eastAsia="fr-FR"/>
            </w:rPr>
          </w:pPr>
          <w:hyperlink w:anchor="_Toc74651326" w:history="1">
            <w:r w:rsidRPr="00AB0939">
              <w:rPr>
                <w:rStyle w:val="Lienhypertexte"/>
                <w:noProof/>
              </w:rPr>
              <w:t>Ce qu’il faut savoir en matière de gestion juridique de l’entreprise</w:t>
            </w:r>
            <w:r>
              <w:rPr>
                <w:noProof/>
                <w:webHidden/>
              </w:rPr>
              <w:tab/>
            </w:r>
            <w:r>
              <w:rPr>
                <w:noProof/>
                <w:webHidden/>
              </w:rPr>
              <w:fldChar w:fldCharType="begin"/>
            </w:r>
            <w:r>
              <w:rPr>
                <w:noProof/>
                <w:webHidden/>
              </w:rPr>
              <w:instrText xml:space="preserve"> PAGEREF _Toc74651326 \h </w:instrText>
            </w:r>
            <w:r>
              <w:rPr>
                <w:noProof/>
                <w:webHidden/>
              </w:rPr>
            </w:r>
            <w:r>
              <w:rPr>
                <w:noProof/>
                <w:webHidden/>
              </w:rPr>
              <w:fldChar w:fldCharType="separate"/>
            </w:r>
            <w:r>
              <w:rPr>
                <w:noProof/>
                <w:webHidden/>
              </w:rPr>
              <w:t>35</w:t>
            </w:r>
            <w:r>
              <w:rPr>
                <w:noProof/>
                <w:webHidden/>
              </w:rPr>
              <w:fldChar w:fldCharType="end"/>
            </w:r>
          </w:hyperlink>
        </w:p>
        <w:p w14:paraId="7906BD33" w14:textId="27D2942B" w:rsidR="008D47A6" w:rsidRDefault="008D47A6">
          <w:pPr>
            <w:pStyle w:val="TM3"/>
            <w:tabs>
              <w:tab w:val="right" w:leader="dot" w:pos="9062"/>
            </w:tabs>
            <w:rPr>
              <w:noProof/>
            </w:rPr>
          </w:pPr>
          <w:hyperlink w:anchor="_Toc74651327" w:history="1">
            <w:r w:rsidRPr="00AB0939">
              <w:rPr>
                <w:rStyle w:val="Lienhypertexte"/>
                <w:noProof/>
              </w:rPr>
              <w:t>Rançongiciels et préconisations de la CNIL</w:t>
            </w:r>
            <w:r>
              <w:rPr>
                <w:noProof/>
                <w:webHidden/>
              </w:rPr>
              <w:tab/>
            </w:r>
            <w:r>
              <w:rPr>
                <w:noProof/>
                <w:webHidden/>
              </w:rPr>
              <w:fldChar w:fldCharType="begin"/>
            </w:r>
            <w:r>
              <w:rPr>
                <w:noProof/>
                <w:webHidden/>
              </w:rPr>
              <w:instrText xml:space="preserve"> PAGEREF _Toc74651327 \h </w:instrText>
            </w:r>
            <w:r>
              <w:rPr>
                <w:noProof/>
                <w:webHidden/>
              </w:rPr>
            </w:r>
            <w:r>
              <w:rPr>
                <w:noProof/>
                <w:webHidden/>
              </w:rPr>
              <w:fldChar w:fldCharType="separate"/>
            </w:r>
            <w:r>
              <w:rPr>
                <w:noProof/>
                <w:webHidden/>
              </w:rPr>
              <w:t>35</w:t>
            </w:r>
            <w:r>
              <w:rPr>
                <w:noProof/>
                <w:webHidden/>
              </w:rPr>
              <w:fldChar w:fldCharType="end"/>
            </w:r>
          </w:hyperlink>
        </w:p>
        <w:p w14:paraId="12953B73" w14:textId="6205059C" w:rsidR="008D47A6" w:rsidRDefault="008D47A6">
          <w:pPr>
            <w:pStyle w:val="TM3"/>
            <w:tabs>
              <w:tab w:val="right" w:leader="dot" w:pos="9062"/>
            </w:tabs>
            <w:rPr>
              <w:noProof/>
            </w:rPr>
          </w:pPr>
          <w:hyperlink w:anchor="_Toc74651328" w:history="1">
            <w:r w:rsidRPr="00AB0939">
              <w:rPr>
                <w:rStyle w:val="Lienhypertexte"/>
                <w:noProof/>
              </w:rPr>
              <w:t>RGPD et analyse d’impact</w:t>
            </w:r>
            <w:r>
              <w:rPr>
                <w:noProof/>
                <w:webHidden/>
              </w:rPr>
              <w:tab/>
            </w:r>
            <w:r>
              <w:rPr>
                <w:noProof/>
                <w:webHidden/>
              </w:rPr>
              <w:fldChar w:fldCharType="begin"/>
            </w:r>
            <w:r>
              <w:rPr>
                <w:noProof/>
                <w:webHidden/>
              </w:rPr>
              <w:instrText xml:space="preserve"> PAGEREF _Toc74651328 \h </w:instrText>
            </w:r>
            <w:r>
              <w:rPr>
                <w:noProof/>
                <w:webHidden/>
              </w:rPr>
            </w:r>
            <w:r>
              <w:rPr>
                <w:noProof/>
                <w:webHidden/>
              </w:rPr>
              <w:fldChar w:fldCharType="separate"/>
            </w:r>
            <w:r>
              <w:rPr>
                <w:noProof/>
                <w:webHidden/>
              </w:rPr>
              <w:t>36</w:t>
            </w:r>
            <w:r>
              <w:rPr>
                <w:noProof/>
                <w:webHidden/>
              </w:rPr>
              <w:fldChar w:fldCharType="end"/>
            </w:r>
          </w:hyperlink>
        </w:p>
        <w:p w14:paraId="0216703D" w14:textId="60F34E76" w:rsidR="008D47A6" w:rsidRDefault="008D47A6">
          <w:pPr>
            <w:pStyle w:val="TM3"/>
            <w:tabs>
              <w:tab w:val="right" w:leader="dot" w:pos="9062"/>
            </w:tabs>
            <w:rPr>
              <w:noProof/>
            </w:rPr>
          </w:pPr>
          <w:hyperlink w:anchor="_Toc74651329" w:history="1">
            <w:r w:rsidRPr="00AB0939">
              <w:rPr>
                <w:rStyle w:val="Lienhypertexte"/>
                <w:noProof/>
              </w:rPr>
              <w:t>Pratiques anticoncurrentielles et procédure de clémence</w:t>
            </w:r>
            <w:r>
              <w:rPr>
                <w:noProof/>
                <w:webHidden/>
              </w:rPr>
              <w:tab/>
            </w:r>
            <w:r>
              <w:rPr>
                <w:noProof/>
                <w:webHidden/>
              </w:rPr>
              <w:fldChar w:fldCharType="begin"/>
            </w:r>
            <w:r>
              <w:rPr>
                <w:noProof/>
                <w:webHidden/>
              </w:rPr>
              <w:instrText xml:space="preserve"> PAGEREF _Toc74651329 \h </w:instrText>
            </w:r>
            <w:r>
              <w:rPr>
                <w:noProof/>
                <w:webHidden/>
              </w:rPr>
            </w:r>
            <w:r>
              <w:rPr>
                <w:noProof/>
                <w:webHidden/>
              </w:rPr>
              <w:fldChar w:fldCharType="separate"/>
            </w:r>
            <w:r>
              <w:rPr>
                <w:noProof/>
                <w:webHidden/>
              </w:rPr>
              <w:t>37</w:t>
            </w:r>
            <w:r>
              <w:rPr>
                <w:noProof/>
                <w:webHidden/>
              </w:rPr>
              <w:fldChar w:fldCharType="end"/>
            </w:r>
          </w:hyperlink>
        </w:p>
        <w:p w14:paraId="31DC9640" w14:textId="7AFC367B" w:rsidR="008D47A6" w:rsidRDefault="008D47A6">
          <w:pPr>
            <w:pStyle w:val="TM3"/>
            <w:tabs>
              <w:tab w:val="right" w:leader="dot" w:pos="9062"/>
            </w:tabs>
            <w:rPr>
              <w:noProof/>
            </w:rPr>
          </w:pPr>
          <w:hyperlink w:anchor="_Toc74651330" w:history="1">
            <w:r w:rsidRPr="00AB0939">
              <w:rPr>
                <w:rStyle w:val="Lienhypertexte"/>
                <w:noProof/>
              </w:rPr>
              <w:t>Commande publique et guide pour aider les entreprises à se relancer</w:t>
            </w:r>
            <w:r>
              <w:rPr>
                <w:noProof/>
                <w:webHidden/>
              </w:rPr>
              <w:tab/>
            </w:r>
            <w:r>
              <w:rPr>
                <w:noProof/>
                <w:webHidden/>
              </w:rPr>
              <w:fldChar w:fldCharType="begin"/>
            </w:r>
            <w:r>
              <w:rPr>
                <w:noProof/>
                <w:webHidden/>
              </w:rPr>
              <w:instrText xml:space="preserve"> PAGEREF _Toc74651330 \h </w:instrText>
            </w:r>
            <w:r>
              <w:rPr>
                <w:noProof/>
                <w:webHidden/>
              </w:rPr>
            </w:r>
            <w:r>
              <w:rPr>
                <w:noProof/>
                <w:webHidden/>
              </w:rPr>
              <w:fldChar w:fldCharType="separate"/>
            </w:r>
            <w:r>
              <w:rPr>
                <w:noProof/>
                <w:webHidden/>
              </w:rPr>
              <w:t>38</w:t>
            </w:r>
            <w:r>
              <w:rPr>
                <w:noProof/>
                <w:webHidden/>
              </w:rPr>
              <w:fldChar w:fldCharType="end"/>
            </w:r>
          </w:hyperlink>
        </w:p>
        <w:p w14:paraId="767CD0AB" w14:textId="04143C29" w:rsidR="008D47A6" w:rsidRDefault="008D47A6">
          <w:pPr>
            <w:pStyle w:val="TM3"/>
            <w:tabs>
              <w:tab w:val="right" w:leader="dot" w:pos="9062"/>
            </w:tabs>
            <w:rPr>
              <w:noProof/>
            </w:rPr>
          </w:pPr>
          <w:hyperlink w:anchor="_Toc74651331" w:history="1">
            <w:r w:rsidRPr="00AB0939">
              <w:rPr>
                <w:rStyle w:val="Lienhypertexte"/>
                <w:noProof/>
              </w:rPr>
              <w:t>Loi sur la sécurité globale</w:t>
            </w:r>
            <w:r>
              <w:rPr>
                <w:noProof/>
                <w:webHidden/>
              </w:rPr>
              <w:tab/>
            </w:r>
            <w:r>
              <w:rPr>
                <w:noProof/>
                <w:webHidden/>
              </w:rPr>
              <w:fldChar w:fldCharType="begin"/>
            </w:r>
            <w:r>
              <w:rPr>
                <w:noProof/>
                <w:webHidden/>
              </w:rPr>
              <w:instrText xml:space="preserve"> PAGEREF _Toc74651331 \h </w:instrText>
            </w:r>
            <w:r>
              <w:rPr>
                <w:noProof/>
                <w:webHidden/>
              </w:rPr>
            </w:r>
            <w:r>
              <w:rPr>
                <w:noProof/>
                <w:webHidden/>
              </w:rPr>
              <w:fldChar w:fldCharType="separate"/>
            </w:r>
            <w:r>
              <w:rPr>
                <w:noProof/>
                <w:webHidden/>
              </w:rPr>
              <w:t>39</w:t>
            </w:r>
            <w:r>
              <w:rPr>
                <w:noProof/>
                <w:webHidden/>
              </w:rPr>
              <w:fldChar w:fldCharType="end"/>
            </w:r>
          </w:hyperlink>
        </w:p>
        <w:p w14:paraId="2D5E228A" w14:textId="5C9E570D" w:rsidR="008D47A6" w:rsidRDefault="008D47A6">
          <w:pPr>
            <w:pStyle w:val="TM3"/>
            <w:tabs>
              <w:tab w:val="right" w:leader="dot" w:pos="9062"/>
            </w:tabs>
            <w:rPr>
              <w:noProof/>
            </w:rPr>
          </w:pPr>
          <w:hyperlink w:anchor="_Toc74651332" w:history="1">
            <w:r w:rsidRPr="00AB0939">
              <w:rPr>
                <w:rStyle w:val="Lienhypertexte"/>
                <w:noProof/>
              </w:rPr>
              <w:t>Concurrence déloyale et démarchage fautif</w:t>
            </w:r>
            <w:r>
              <w:rPr>
                <w:noProof/>
                <w:webHidden/>
              </w:rPr>
              <w:tab/>
            </w:r>
            <w:r>
              <w:rPr>
                <w:noProof/>
                <w:webHidden/>
              </w:rPr>
              <w:fldChar w:fldCharType="begin"/>
            </w:r>
            <w:r>
              <w:rPr>
                <w:noProof/>
                <w:webHidden/>
              </w:rPr>
              <w:instrText xml:space="preserve"> PAGEREF _Toc74651332 \h </w:instrText>
            </w:r>
            <w:r>
              <w:rPr>
                <w:noProof/>
                <w:webHidden/>
              </w:rPr>
            </w:r>
            <w:r>
              <w:rPr>
                <w:noProof/>
                <w:webHidden/>
              </w:rPr>
              <w:fldChar w:fldCharType="separate"/>
            </w:r>
            <w:r>
              <w:rPr>
                <w:noProof/>
                <w:webHidden/>
              </w:rPr>
              <w:t>40</w:t>
            </w:r>
            <w:r>
              <w:rPr>
                <w:noProof/>
                <w:webHidden/>
              </w:rPr>
              <w:fldChar w:fldCharType="end"/>
            </w:r>
          </w:hyperlink>
        </w:p>
        <w:p w14:paraId="0F5FC9B3" w14:textId="72FB0457" w:rsidR="008D47A6" w:rsidRDefault="008D47A6">
          <w:pPr>
            <w:pStyle w:val="TM3"/>
            <w:tabs>
              <w:tab w:val="right" w:leader="dot" w:pos="9062"/>
            </w:tabs>
            <w:rPr>
              <w:noProof/>
            </w:rPr>
          </w:pPr>
          <w:hyperlink w:anchor="_Toc74651333" w:history="1">
            <w:r w:rsidRPr="00AB0939">
              <w:rPr>
                <w:rStyle w:val="Lienhypertexte"/>
                <w:noProof/>
              </w:rPr>
              <w:t>Simplification de la vie des entreprises</w:t>
            </w:r>
            <w:r>
              <w:rPr>
                <w:noProof/>
                <w:webHidden/>
              </w:rPr>
              <w:tab/>
            </w:r>
            <w:r>
              <w:rPr>
                <w:noProof/>
                <w:webHidden/>
              </w:rPr>
              <w:fldChar w:fldCharType="begin"/>
            </w:r>
            <w:r>
              <w:rPr>
                <w:noProof/>
                <w:webHidden/>
              </w:rPr>
              <w:instrText xml:space="preserve"> PAGEREF _Toc74651333 \h </w:instrText>
            </w:r>
            <w:r>
              <w:rPr>
                <w:noProof/>
                <w:webHidden/>
              </w:rPr>
            </w:r>
            <w:r>
              <w:rPr>
                <w:noProof/>
                <w:webHidden/>
              </w:rPr>
              <w:fldChar w:fldCharType="separate"/>
            </w:r>
            <w:r>
              <w:rPr>
                <w:noProof/>
                <w:webHidden/>
              </w:rPr>
              <w:t>40</w:t>
            </w:r>
            <w:r>
              <w:rPr>
                <w:noProof/>
                <w:webHidden/>
              </w:rPr>
              <w:fldChar w:fldCharType="end"/>
            </w:r>
          </w:hyperlink>
        </w:p>
        <w:p w14:paraId="68C98907" w14:textId="45E2D990" w:rsidR="008D47A6" w:rsidRDefault="008D47A6">
          <w:pPr>
            <w:pStyle w:val="TM2"/>
            <w:tabs>
              <w:tab w:val="right" w:leader="dot" w:pos="9062"/>
            </w:tabs>
            <w:rPr>
              <w:noProof/>
              <w:sz w:val="22"/>
              <w:szCs w:val="22"/>
              <w:lang w:eastAsia="fr-FR"/>
            </w:rPr>
          </w:pPr>
          <w:hyperlink w:anchor="_Toc74651334" w:history="1">
            <w:r w:rsidRPr="00AB0939">
              <w:rPr>
                <w:rStyle w:val="Lienhypertexte"/>
                <w:noProof/>
              </w:rPr>
              <w:t>Ce qu’il faut savoir en matière de droit des sociétés</w:t>
            </w:r>
            <w:r>
              <w:rPr>
                <w:noProof/>
                <w:webHidden/>
              </w:rPr>
              <w:tab/>
            </w:r>
            <w:r>
              <w:rPr>
                <w:noProof/>
                <w:webHidden/>
              </w:rPr>
              <w:fldChar w:fldCharType="begin"/>
            </w:r>
            <w:r>
              <w:rPr>
                <w:noProof/>
                <w:webHidden/>
              </w:rPr>
              <w:instrText xml:space="preserve"> PAGEREF _Toc74651334 \h </w:instrText>
            </w:r>
            <w:r>
              <w:rPr>
                <w:noProof/>
                <w:webHidden/>
              </w:rPr>
            </w:r>
            <w:r>
              <w:rPr>
                <w:noProof/>
                <w:webHidden/>
              </w:rPr>
              <w:fldChar w:fldCharType="separate"/>
            </w:r>
            <w:r>
              <w:rPr>
                <w:noProof/>
                <w:webHidden/>
              </w:rPr>
              <w:t>42</w:t>
            </w:r>
            <w:r>
              <w:rPr>
                <w:noProof/>
                <w:webHidden/>
              </w:rPr>
              <w:fldChar w:fldCharType="end"/>
            </w:r>
          </w:hyperlink>
        </w:p>
        <w:p w14:paraId="169AC9CE" w14:textId="2D86DE03" w:rsidR="008D47A6" w:rsidRDefault="008D47A6">
          <w:pPr>
            <w:pStyle w:val="TM3"/>
            <w:tabs>
              <w:tab w:val="right" w:leader="dot" w:pos="9062"/>
            </w:tabs>
            <w:rPr>
              <w:noProof/>
            </w:rPr>
          </w:pPr>
          <w:hyperlink w:anchor="_Toc74651335" w:history="1">
            <w:r w:rsidRPr="00AB0939">
              <w:rPr>
                <w:rStyle w:val="Lienhypertexte"/>
                <w:noProof/>
              </w:rPr>
              <w:t>Président de SAS et expiration du mandat</w:t>
            </w:r>
            <w:r>
              <w:rPr>
                <w:noProof/>
                <w:webHidden/>
              </w:rPr>
              <w:tab/>
            </w:r>
            <w:r>
              <w:rPr>
                <w:noProof/>
                <w:webHidden/>
              </w:rPr>
              <w:fldChar w:fldCharType="begin"/>
            </w:r>
            <w:r>
              <w:rPr>
                <w:noProof/>
                <w:webHidden/>
              </w:rPr>
              <w:instrText xml:space="preserve"> PAGEREF _Toc74651335 \h </w:instrText>
            </w:r>
            <w:r>
              <w:rPr>
                <w:noProof/>
                <w:webHidden/>
              </w:rPr>
            </w:r>
            <w:r>
              <w:rPr>
                <w:noProof/>
                <w:webHidden/>
              </w:rPr>
              <w:fldChar w:fldCharType="separate"/>
            </w:r>
            <w:r>
              <w:rPr>
                <w:noProof/>
                <w:webHidden/>
              </w:rPr>
              <w:t>42</w:t>
            </w:r>
            <w:r>
              <w:rPr>
                <w:noProof/>
                <w:webHidden/>
              </w:rPr>
              <w:fldChar w:fldCharType="end"/>
            </w:r>
          </w:hyperlink>
        </w:p>
        <w:p w14:paraId="4B3CABC4" w14:textId="1B291BB9" w:rsidR="008D47A6" w:rsidRDefault="008D47A6">
          <w:pPr>
            <w:pStyle w:val="TM3"/>
            <w:tabs>
              <w:tab w:val="right" w:leader="dot" w:pos="9062"/>
            </w:tabs>
            <w:rPr>
              <w:noProof/>
            </w:rPr>
          </w:pPr>
          <w:hyperlink w:anchor="_Toc74651336" w:history="1">
            <w:r w:rsidRPr="00AB0939">
              <w:rPr>
                <w:rStyle w:val="Lienhypertexte"/>
                <w:noProof/>
              </w:rPr>
              <w:t>Vente de parts sociales et détermination du prix</w:t>
            </w:r>
            <w:r>
              <w:rPr>
                <w:noProof/>
                <w:webHidden/>
              </w:rPr>
              <w:tab/>
            </w:r>
            <w:r>
              <w:rPr>
                <w:noProof/>
                <w:webHidden/>
              </w:rPr>
              <w:fldChar w:fldCharType="begin"/>
            </w:r>
            <w:r>
              <w:rPr>
                <w:noProof/>
                <w:webHidden/>
              </w:rPr>
              <w:instrText xml:space="preserve"> PAGEREF _Toc74651336 \h </w:instrText>
            </w:r>
            <w:r>
              <w:rPr>
                <w:noProof/>
                <w:webHidden/>
              </w:rPr>
            </w:r>
            <w:r>
              <w:rPr>
                <w:noProof/>
                <w:webHidden/>
              </w:rPr>
              <w:fldChar w:fldCharType="separate"/>
            </w:r>
            <w:r>
              <w:rPr>
                <w:noProof/>
                <w:webHidden/>
              </w:rPr>
              <w:t>42</w:t>
            </w:r>
            <w:r>
              <w:rPr>
                <w:noProof/>
                <w:webHidden/>
              </w:rPr>
              <w:fldChar w:fldCharType="end"/>
            </w:r>
          </w:hyperlink>
        </w:p>
        <w:p w14:paraId="7196666D" w14:textId="3E2681C6" w:rsidR="008D47A6" w:rsidRDefault="008D47A6">
          <w:pPr>
            <w:pStyle w:val="TM3"/>
            <w:tabs>
              <w:tab w:val="right" w:leader="dot" w:pos="9062"/>
            </w:tabs>
            <w:rPr>
              <w:noProof/>
            </w:rPr>
          </w:pPr>
          <w:hyperlink w:anchor="_Toc74651337" w:history="1">
            <w:r w:rsidRPr="00AB0939">
              <w:rPr>
                <w:rStyle w:val="Lienhypertexte"/>
                <w:noProof/>
              </w:rPr>
              <w:t>Liquidation judiciaire et interdiction de gérer</w:t>
            </w:r>
            <w:r>
              <w:rPr>
                <w:noProof/>
                <w:webHidden/>
              </w:rPr>
              <w:tab/>
            </w:r>
            <w:r>
              <w:rPr>
                <w:noProof/>
                <w:webHidden/>
              </w:rPr>
              <w:fldChar w:fldCharType="begin"/>
            </w:r>
            <w:r>
              <w:rPr>
                <w:noProof/>
                <w:webHidden/>
              </w:rPr>
              <w:instrText xml:space="preserve"> PAGEREF _Toc74651337 \h </w:instrText>
            </w:r>
            <w:r>
              <w:rPr>
                <w:noProof/>
                <w:webHidden/>
              </w:rPr>
            </w:r>
            <w:r>
              <w:rPr>
                <w:noProof/>
                <w:webHidden/>
              </w:rPr>
              <w:fldChar w:fldCharType="separate"/>
            </w:r>
            <w:r>
              <w:rPr>
                <w:noProof/>
                <w:webHidden/>
              </w:rPr>
              <w:t>43</w:t>
            </w:r>
            <w:r>
              <w:rPr>
                <w:noProof/>
                <w:webHidden/>
              </w:rPr>
              <w:fldChar w:fldCharType="end"/>
            </w:r>
          </w:hyperlink>
        </w:p>
        <w:p w14:paraId="31E456D7" w14:textId="757BFEF1" w:rsidR="008D47A6" w:rsidRDefault="008D47A6">
          <w:pPr>
            <w:pStyle w:val="TM1"/>
            <w:tabs>
              <w:tab w:val="right" w:leader="dot" w:pos="9062"/>
            </w:tabs>
            <w:rPr>
              <w:noProof/>
              <w:sz w:val="22"/>
              <w:szCs w:val="22"/>
              <w:lang w:eastAsia="fr-FR"/>
            </w:rPr>
          </w:pPr>
          <w:hyperlink w:anchor="_Toc74651338" w:history="1">
            <w:r w:rsidRPr="00AB0939">
              <w:rPr>
                <w:rStyle w:val="Lienhypertexte"/>
                <w:noProof/>
              </w:rPr>
              <w:t>LE COIN DU DIRIGEANT</w:t>
            </w:r>
            <w:r>
              <w:rPr>
                <w:noProof/>
                <w:webHidden/>
              </w:rPr>
              <w:tab/>
            </w:r>
            <w:r>
              <w:rPr>
                <w:noProof/>
                <w:webHidden/>
              </w:rPr>
              <w:fldChar w:fldCharType="begin"/>
            </w:r>
            <w:r>
              <w:rPr>
                <w:noProof/>
                <w:webHidden/>
              </w:rPr>
              <w:instrText xml:space="preserve"> PAGEREF _Toc74651338 \h </w:instrText>
            </w:r>
            <w:r>
              <w:rPr>
                <w:noProof/>
                <w:webHidden/>
              </w:rPr>
            </w:r>
            <w:r>
              <w:rPr>
                <w:noProof/>
                <w:webHidden/>
              </w:rPr>
              <w:fldChar w:fldCharType="separate"/>
            </w:r>
            <w:r>
              <w:rPr>
                <w:noProof/>
                <w:webHidden/>
              </w:rPr>
              <w:t>44</w:t>
            </w:r>
            <w:r>
              <w:rPr>
                <w:noProof/>
                <w:webHidden/>
              </w:rPr>
              <w:fldChar w:fldCharType="end"/>
            </w:r>
          </w:hyperlink>
        </w:p>
        <w:p w14:paraId="1FE437AC" w14:textId="211FBA36" w:rsidR="008D47A6" w:rsidRDefault="008D47A6">
          <w:pPr>
            <w:pStyle w:val="TM2"/>
            <w:tabs>
              <w:tab w:val="right" w:leader="dot" w:pos="9062"/>
            </w:tabs>
            <w:rPr>
              <w:noProof/>
              <w:sz w:val="22"/>
              <w:szCs w:val="22"/>
              <w:lang w:eastAsia="fr-FR"/>
            </w:rPr>
          </w:pPr>
          <w:hyperlink w:anchor="_Toc74651339" w:history="1">
            <w:r w:rsidRPr="00AB0939">
              <w:rPr>
                <w:rStyle w:val="Lienhypertexte"/>
                <w:noProof/>
              </w:rPr>
              <w:t>Ce qu’il faut savoir en matière d’impôt sur le revenu</w:t>
            </w:r>
            <w:r>
              <w:rPr>
                <w:noProof/>
                <w:webHidden/>
              </w:rPr>
              <w:tab/>
            </w:r>
            <w:r>
              <w:rPr>
                <w:noProof/>
                <w:webHidden/>
              </w:rPr>
              <w:fldChar w:fldCharType="begin"/>
            </w:r>
            <w:r>
              <w:rPr>
                <w:noProof/>
                <w:webHidden/>
              </w:rPr>
              <w:instrText xml:space="preserve"> PAGEREF _Toc74651339 \h </w:instrText>
            </w:r>
            <w:r>
              <w:rPr>
                <w:noProof/>
                <w:webHidden/>
              </w:rPr>
            </w:r>
            <w:r>
              <w:rPr>
                <w:noProof/>
                <w:webHidden/>
              </w:rPr>
              <w:fldChar w:fldCharType="separate"/>
            </w:r>
            <w:r>
              <w:rPr>
                <w:noProof/>
                <w:webHidden/>
              </w:rPr>
              <w:t>45</w:t>
            </w:r>
            <w:r>
              <w:rPr>
                <w:noProof/>
                <w:webHidden/>
              </w:rPr>
              <w:fldChar w:fldCharType="end"/>
            </w:r>
          </w:hyperlink>
        </w:p>
        <w:p w14:paraId="1138727E" w14:textId="7DBA08BA" w:rsidR="008D47A6" w:rsidRDefault="008D47A6">
          <w:pPr>
            <w:pStyle w:val="TM3"/>
            <w:tabs>
              <w:tab w:val="right" w:leader="dot" w:pos="9062"/>
            </w:tabs>
            <w:rPr>
              <w:noProof/>
            </w:rPr>
          </w:pPr>
          <w:hyperlink w:anchor="_Toc74651340" w:history="1">
            <w:r w:rsidRPr="00AB0939">
              <w:rPr>
                <w:rStyle w:val="Lienhypertexte"/>
                <w:noProof/>
              </w:rPr>
              <w:t>Crédit d’impôt sur les 1</w:t>
            </w:r>
            <w:r w:rsidRPr="00AB0939">
              <w:rPr>
                <w:rStyle w:val="Lienhypertexte"/>
                <w:noProof/>
                <w:vertAlign w:val="superscript"/>
              </w:rPr>
              <w:t>ers</w:t>
            </w:r>
            <w:r w:rsidRPr="00AB0939">
              <w:rPr>
                <w:rStyle w:val="Lienhypertexte"/>
                <w:noProof/>
              </w:rPr>
              <w:t xml:space="preserve"> abonnements à un journal</w:t>
            </w:r>
            <w:r>
              <w:rPr>
                <w:noProof/>
                <w:webHidden/>
              </w:rPr>
              <w:tab/>
            </w:r>
            <w:r>
              <w:rPr>
                <w:noProof/>
                <w:webHidden/>
              </w:rPr>
              <w:fldChar w:fldCharType="begin"/>
            </w:r>
            <w:r>
              <w:rPr>
                <w:noProof/>
                <w:webHidden/>
              </w:rPr>
              <w:instrText xml:space="preserve"> PAGEREF _Toc74651340 \h </w:instrText>
            </w:r>
            <w:r>
              <w:rPr>
                <w:noProof/>
                <w:webHidden/>
              </w:rPr>
            </w:r>
            <w:r>
              <w:rPr>
                <w:noProof/>
                <w:webHidden/>
              </w:rPr>
              <w:fldChar w:fldCharType="separate"/>
            </w:r>
            <w:r>
              <w:rPr>
                <w:noProof/>
                <w:webHidden/>
              </w:rPr>
              <w:t>45</w:t>
            </w:r>
            <w:r>
              <w:rPr>
                <w:noProof/>
                <w:webHidden/>
              </w:rPr>
              <w:fldChar w:fldCharType="end"/>
            </w:r>
          </w:hyperlink>
        </w:p>
        <w:p w14:paraId="3D8CF74F" w14:textId="14C040F9" w:rsidR="008D47A6" w:rsidRDefault="008D47A6">
          <w:pPr>
            <w:pStyle w:val="TM3"/>
            <w:tabs>
              <w:tab w:val="right" w:leader="dot" w:pos="9062"/>
            </w:tabs>
            <w:rPr>
              <w:noProof/>
            </w:rPr>
          </w:pPr>
          <w:hyperlink w:anchor="_Toc74651341" w:history="1">
            <w:r w:rsidRPr="00AB0939">
              <w:rPr>
                <w:rStyle w:val="Lienhypertexte"/>
                <w:noProof/>
              </w:rPr>
              <w:t>Réduction d’impôt « Madelin »</w:t>
            </w:r>
            <w:r>
              <w:rPr>
                <w:noProof/>
                <w:webHidden/>
              </w:rPr>
              <w:tab/>
            </w:r>
            <w:r>
              <w:rPr>
                <w:noProof/>
                <w:webHidden/>
              </w:rPr>
              <w:fldChar w:fldCharType="begin"/>
            </w:r>
            <w:r>
              <w:rPr>
                <w:noProof/>
                <w:webHidden/>
              </w:rPr>
              <w:instrText xml:space="preserve"> PAGEREF _Toc74651341 \h </w:instrText>
            </w:r>
            <w:r>
              <w:rPr>
                <w:noProof/>
                <w:webHidden/>
              </w:rPr>
            </w:r>
            <w:r>
              <w:rPr>
                <w:noProof/>
                <w:webHidden/>
              </w:rPr>
              <w:fldChar w:fldCharType="separate"/>
            </w:r>
            <w:r>
              <w:rPr>
                <w:noProof/>
                <w:webHidden/>
              </w:rPr>
              <w:t>46</w:t>
            </w:r>
            <w:r>
              <w:rPr>
                <w:noProof/>
                <w:webHidden/>
              </w:rPr>
              <w:fldChar w:fldCharType="end"/>
            </w:r>
          </w:hyperlink>
        </w:p>
        <w:p w14:paraId="63F859A1" w14:textId="61FF0202" w:rsidR="008D47A6" w:rsidRDefault="008D47A6">
          <w:pPr>
            <w:pStyle w:val="TM3"/>
            <w:tabs>
              <w:tab w:val="right" w:leader="dot" w:pos="9062"/>
            </w:tabs>
            <w:rPr>
              <w:noProof/>
            </w:rPr>
          </w:pPr>
          <w:hyperlink w:anchor="_Toc74651342" w:history="1">
            <w:r w:rsidRPr="00AB0939">
              <w:rPr>
                <w:rStyle w:val="Lienhypertexte"/>
                <w:noProof/>
              </w:rPr>
              <w:t>Système du quotient et notion de « revenu exceptionnel »</w:t>
            </w:r>
            <w:r>
              <w:rPr>
                <w:noProof/>
                <w:webHidden/>
              </w:rPr>
              <w:tab/>
            </w:r>
            <w:r>
              <w:rPr>
                <w:noProof/>
                <w:webHidden/>
              </w:rPr>
              <w:fldChar w:fldCharType="begin"/>
            </w:r>
            <w:r>
              <w:rPr>
                <w:noProof/>
                <w:webHidden/>
              </w:rPr>
              <w:instrText xml:space="preserve"> PAGEREF _Toc74651342 \h </w:instrText>
            </w:r>
            <w:r>
              <w:rPr>
                <w:noProof/>
                <w:webHidden/>
              </w:rPr>
            </w:r>
            <w:r>
              <w:rPr>
                <w:noProof/>
                <w:webHidden/>
              </w:rPr>
              <w:fldChar w:fldCharType="separate"/>
            </w:r>
            <w:r>
              <w:rPr>
                <w:noProof/>
                <w:webHidden/>
              </w:rPr>
              <w:t>47</w:t>
            </w:r>
            <w:r>
              <w:rPr>
                <w:noProof/>
                <w:webHidden/>
              </w:rPr>
              <w:fldChar w:fldCharType="end"/>
            </w:r>
          </w:hyperlink>
        </w:p>
        <w:p w14:paraId="49935DB7" w14:textId="0185D92B" w:rsidR="008D47A6" w:rsidRDefault="008D47A6">
          <w:pPr>
            <w:pStyle w:val="TM3"/>
            <w:tabs>
              <w:tab w:val="right" w:leader="dot" w:pos="9062"/>
            </w:tabs>
            <w:rPr>
              <w:noProof/>
            </w:rPr>
          </w:pPr>
          <w:hyperlink w:anchor="_Toc74651343" w:history="1">
            <w:r w:rsidRPr="00AB0939">
              <w:rPr>
                <w:rStyle w:val="Lienhypertexte"/>
                <w:noProof/>
              </w:rPr>
              <w:t>Résidence alternée et avantages fiscaux</w:t>
            </w:r>
            <w:r>
              <w:rPr>
                <w:noProof/>
                <w:webHidden/>
              </w:rPr>
              <w:tab/>
            </w:r>
            <w:r>
              <w:rPr>
                <w:noProof/>
                <w:webHidden/>
              </w:rPr>
              <w:fldChar w:fldCharType="begin"/>
            </w:r>
            <w:r>
              <w:rPr>
                <w:noProof/>
                <w:webHidden/>
              </w:rPr>
              <w:instrText xml:space="preserve"> PAGEREF _Toc74651343 \h </w:instrText>
            </w:r>
            <w:r>
              <w:rPr>
                <w:noProof/>
                <w:webHidden/>
              </w:rPr>
            </w:r>
            <w:r>
              <w:rPr>
                <w:noProof/>
                <w:webHidden/>
              </w:rPr>
              <w:fldChar w:fldCharType="separate"/>
            </w:r>
            <w:r>
              <w:rPr>
                <w:noProof/>
                <w:webHidden/>
              </w:rPr>
              <w:t>48</w:t>
            </w:r>
            <w:r>
              <w:rPr>
                <w:noProof/>
                <w:webHidden/>
              </w:rPr>
              <w:fldChar w:fldCharType="end"/>
            </w:r>
          </w:hyperlink>
        </w:p>
        <w:p w14:paraId="357F025C" w14:textId="60506ECA" w:rsidR="008D47A6" w:rsidRDefault="008D47A6">
          <w:pPr>
            <w:pStyle w:val="TM2"/>
            <w:tabs>
              <w:tab w:val="right" w:leader="dot" w:pos="9062"/>
            </w:tabs>
            <w:rPr>
              <w:noProof/>
              <w:sz w:val="22"/>
              <w:szCs w:val="22"/>
              <w:lang w:eastAsia="fr-FR"/>
            </w:rPr>
          </w:pPr>
          <w:hyperlink w:anchor="_Toc74651344" w:history="1">
            <w:r w:rsidRPr="00AB0939">
              <w:rPr>
                <w:rStyle w:val="Lienhypertexte"/>
                <w:noProof/>
              </w:rPr>
              <w:t>Ce qu’il faut savoir en matière de relations dirigeant / entreprise</w:t>
            </w:r>
            <w:r>
              <w:rPr>
                <w:noProof/>
                <w:webHidden/>
              </w:rPr>
              <w:tab/>
            </w:r>
            <w:r>
              <w:rPr>
                <w:noProof/>
                <w:webHidden/>
              </w:rPr>
              <w:fldChar w:fldCharType="begin"/>
            </w:r>
            <w:r>
              <w:rPr>
                <w:noProof/>
                <w:webHidden/>
              </w:rPr>
              <w:instrText xml:space="preserve"> PAGEREF _Toc74651344 \h </w:instrText>
            </w:r>
            <w:r>
              <w:rPr>
                <w:noProof/>
                <w:webHidden/>
              </w:rPr>
            </w:r>
            <w:r>
              <w:rPr>
                <w:noProof/>
                <w:webHidden/>
              </w:rPr>
              <w:fldChar w:fldCharType="separate"/>
            </w:r>
            <w:r>
              <w:rPr>
                <w:noProof/>
                <w:webHidden/>
              </w:rPr>
              <w:t>49</w:t>
            </w:r>
            <w:r>
              <w:rPr>
                <w:noProof/>
                <w:webHidden/>
              </w:rPr>
              <w:fldChar w:fldCharType="end"/>
            </w:r>
          </w:hyperlink>
        </w:p>
        <w:p w14:paraId="648A44D5" w14:textId="35E6C275" w:rsidR="008D47A6" w:rsidRDefault="008D47A6">
          <w:pPr>
            <w:pStyle w:val="TM3"/>
            <w:tabs>
              <w:tab w:val="right" w:leader="dot" w:pos="9062"/>
            </w:tabs>
            <w:rPr>
              <w:noProof/>
            </w:rPr>
          </w:pPr>
          <w:hyperlink w:anchor="_Toc74651345" w:history="1">
            <w:r w:rsidRPr="00AB0939">
              <w:rPr>
                <w:rStyle w:val="Lienhypertexte"/>
                <w:noProof/>
              </w:rPr>
              <w:t>Action en comblement de passif et notion de « dirigeant »</w:t>
            </w:r>
            <w:r>
              <w:rPr>
                <w:noProof/>
                <w:webHidden/>
              </w:rPr>
              <w:tab/>
            </w:r>
            <w:r>
              <w:rPr>
                <w:noProof/>
                <w:webHidden/>
              </w:rPr>
              <w:fldChar w:fldCharType="begin"/>
            </w:r>
            <w:r>
              <w:rPr>
                <w:noProof/>
                <w:webHidden/>
              </w:rPr>
              <w:instrText xml:space="preserve"> PAGEREF _Toc74651345 \h </w:instrText>
            </w:r>
            <w:r>
              <w:rPr>
                <w:noProof/>
                <w:webHidden/>
              </w:rPr>
            </w:r>
            <w:r>
              <w:rPr>
                <w:noProof/>
                <w:webHidden/>
              </w:rPr>
              <w:fldChar w:fldCharType="separate"/>
            </w:r>
            <w:r>
              <w:rPr>
                <w:noProof/>
                <w:webHidden/>
              </w:rPr>
              <w:t>49</w:t>
            </w:r>
            <w:r>
              <w:rPr>
                <w:noProof/>
                <w:webHidden/>
              </w:rPr>
              <w:fldChar w:fldCharType="end"/>
            </w:r>
          </w:hyperlink>
        </w:p>
        <w:p w14:paraId="277F8F2C" w14:textId="6A84205B" w:rsidR="008D47A6" w:rsidRDefault="008D47A6">
          <w:pPr>
            <w:pStyle w:val="TM3"/>
            <w:tabs>
              <w:tab w:val="right" w:leader="dot" w:pos="9062"/>
            </w:tabs>
            <w:rPr>
              <w:noProof/>
            </w:rPr>
          </w:pPr>
          <w:hyperlink w:anchor="_Toc74651346" w:history="1">
            <w:r w:rsidRPr="00AB0939">
              <w:rPr>
                <w:rStyle w:val="Lienhypertexte"/>
                <w:noProof/>
              </w:rPr>
              <w:t>Action en comblement de passif et dirigeant de fait</w:t>
            </w:r>
            <w:r>
              <w:rPr>
                <w:noProof/>
                <w:webHidden/>
              </w:rPr>
              <w:tab/>
            </w:r>
            <w:r>
              <w:rPr>
                <w:noProof/>
                <w:webHidden/>
              </w:rPr>
              <w:fldChar w:fldCharType="begin"/>
            </w:r>
            <w:r>
              <w:rPr>
                <w:noProof/>
                <w:webHidden/>
              </w:rPr>
              <w:instrText xml:space="preserve"> PAGEREF _Toc74651346 \h </w:instrText>
            </w:r>
            <w:r>
              <w:rPr>
                <w:noProof/>
                <w:webHidden/>
              </w:rPr>
            </w:r>
            <w:r>
              <w:rPr>
                <w:noProof/>
                <w:webHidden/>
              </w:rPr>
              <w:fldChar w:fldCharType="separate"/>
            </w:r>
            <w:r>
              <w:rPr>
                <w:noProof/>
                <w:webHidden/>
              </w:rPr>
              <w:t>49</w:t>
            </w:r>
            <w:r>
              <w:rPr>
                <w:noProof/>
                <w:webHidden/>
              </w:rPr>
              <w:fldChar w:fldCharType="end"/>
            </w:r>
          </w:hyperlink>
        </w:p>
        <w:p w14:paraId="63A4651F" w14:textId="09CA9D57" w:rsidR="008D47A6" w:rsidRDefault="008D47A6">
          <w:pPr>
            <w:pStyle w:val="TM3"/>
            <w:tabs>
              <w:tab w:val="right" w:leader="dot" w:pos="9062"/>
            </w:tabs>
            <w:rPr>
              <w:noProof/>
            </w:rPr>
          </w:pPr>
          <w:hyperlink w:anchor="_Toc74651347" w:history="1">
            <w:r w:rsidRPr="00AB0939">
              <w:rPr>
                <w:rStyle w:val="Lienhypertexte"/>
                <w:noProof/>
              </w:rPr>
              <w:t>Travailleurs indépendants et congé paternité</w:t>
            </w:r>
            <w:r>
              <w:rPr>
                <w:noProof/>
                <w:webHidden/>
              </w:rPr>
              <w:tab/>
            </w:r>
            <w:r>
              <w:rPr>
                <w:noProof/>
                <w:webHidden/>
              </w:rPr>
              <w:fldChar w:fldCharType="begin"/>
            </w:r>
            <w:r>
              <w:rPr>
                <w:noProof/>
                <w:webHidden/>
              </w:rPr>
              <w:instrText xml:space="preserve"> PAGEREF _Toc74651347 \h </w:instrText>
            </w:r>
            <w:r>
              <w:rPr>
                <w:noProof/>
                <w:webHidden/>
              </w:rPr>
            </w:r>
            <w:r>
              <w:rPr>
                <w:noProof/>
                <w:webHidden/>
              </w:rPr>
              <w:fldChar w:fldCharType="separate"/>
            </w:r>
            <w:r>
              <w:rPr>
                <w:noProof/>
                <w:webHidden/>
              </w:rPr>
              <w:t>50</w:t>
            </w:r>
            <w:r>
              <w:rPr>
                <w:noProof/>
                <w:webHidden/>
              </w:rPr>
              <w:fldChar w:fldCharType="end"/>
            </w:r>
          </w:hyperlink>
        </w:p>
        <w:p w14:paraId="34C843CF" w14:textId="1256082A" w:rsidR="008D47A6" w:rsidRDefault="008D47A6">
          <w:pPr>
            <w:pStyle w:val="TM3"/>
            <w:tabs>
              <w:tab w:val="right" w:leader="dot" w:pos="9062"/>
            </w:tabs>
            <w:rPr>
              <w:noProof/>
            </w:rPr>
          </w:pPr>
          <w:hyperlink w:anchor="_Toc74651348" w:history="1">
            <w:r w:rsidRPr="00AB0939">
              <w:rPr>
                <w:rStyle w:val="Lienhypertexte"/>
                <w:noProof/>
              </w:rPr>
              <w:t>Formalisme de l’engagement de caution</w:t>
            </w:r>
            <w:r>
              <w:rPr>
                <w:noProof/>
                <w:webHidden/>
              </w:rPr>
              <w:tab/>
            </w:r>
            <w:r>
              <w:rPr>
                <w:noProof/>
                <w:webHidden/>
              </w:rPr>
              <w:fldChar w:fldCharType="begin"/>
            </w:r>
            <w:r>
              <w:rPr>
                <w:noProof/>
                <w:webHidden/>
              </w:rPr>
              <w:instrText xml:space="preserve"> PAGEREF _Toc74651348 \h </w:instrText>
            </w:r>
            <w:r>
              <w:rPr>
                <w:noProof/>
                <w:webHidden/>
              </w:rPr>
            </w:r>
            <w:r>
              <w:rPr>
                <w:noProof/>
                <w:webHidden/>
              </w:rPr>
              <w:fldChar w:fldCharType="separate"/>
            </w:r>
            <w:r>
              <w:rPr>
                <w:noProof/>
                <w:webHidden/>
              </w:rPr>
              <w:t>51</w:t>
            </w:r>
            <w:r>
              <w:rPr>
                <w:noProof/>
                <w:webHidden/>
              </w:rPr>
              <w:fldChar w:fldCharType="end"/>
            </w:r>
          </w:hyperlink>
        </w:p>
        <w:p w14:paraId="01DE251C" w14:textId="16242A0C" w:rsidR="008D47A6" w:rsidRDefault="008D47A6">
          <w:pPr>
            <w:pStyle w:val="TM3"/>
            <w:tabs>
              <w:tab w:val="right" w:leader="dot" w:pos="9062"/>
            </w:tabs>
            <w:rPr>
              <w:noProof/>
            </w:rPr>
          </w:pPr>
          <w:hyperlink w:anchor="_Toc74651349" w:history="1">
            <w:r w:rsidRPr="00AB0939">
              <w:rPr>
                <w:rStyle w:val="Lienhypertexte"/>
                <w:noProof/>
              </w:rPr>
              <w:t>Procès-verbal d’assemblée générale et secret des votes</w:t>
            </w:r>
            <w:r>
              <w:rPr>
                <w:noProof/>
                <w:webHidden/>
              </w:rPr>
              <w:tab/>
            </w:r>
            <w:r>
              <w:rPr>
                <w:noProof/>
                <w:webHidden/>
              </w:rPr>
              <w:fldChar w:fldCharType="begin"/>
            </w:r>
            <w:r>
              <w:rPr>
                <w:noProof/>
                <w:webHidden/>
              </w:rPr>
              <w:instrText xml:space="preserve"> PAGEREF _Toc74651349 \h </w:instrText>
            </w:r>
            <w:r>
              <w:rPr>
                <w:noProof/>
                <w:webHidden/>
              </w:rPr>
            </w:r>
            <w:r>
              <w:rPr>
                <w:noProof/>
                <w:webHidden/>
              </w:rPr>
              <w:fldChar w:fldCharType="separate"/>
            </w:r>
            <w:r>
              <w:rPr>
                <w:noProof/>
                <w:webHidden/>
              </w:rPr>
              <w:t>54</w:t>
            </w:r>
            <w:r>
              <w:rPr>
                <w:noProof/>
                <w:webHidden/>
              </w:rPr>
              <w:fldChar w:fldCharType="end"/>
            </w:r>
          </w:hyperlink>
        </w:p>
        <w:p w14:paraId="42424C88" w14:textId="41A40EDA" w:rsidR="008D47A6" w:rsidRDefault="008D47A6">
          <w:pPr>
            <w:pStyle w:val="TM2"/>
            <w:tabs>
              <w:tab w:val="right" w:leader="dot" w:pos="9062"/>
            </w:tabs>
            <w:rPr>
              <w:noProof/>
              <w:sz w:val="22"/>
              <w:szCs w:val="22"/>
              <w:lang w:eastAsia="fr-FR"/>
            </w:rPr>
          </w:pPr>
          <w:hyperlink w:anchor="_Toc74651350" w:history="1">
            <w:r w:rsidRPr="00AB0939">
              <w:rPr>
                <w:rStyle w:val="Lienhypertexte"/>
                <w:noProof/>
              </w:rPr>
              <w:t>Ce qu’il faut savoir en matière de relations avec l’administration</w:t>
            </w:r>
            <w:r>
              <w:rPr>
                <w:noProof/>
                <w:webHidden/>
              </w:rPr>
              <w:tab/>
            </w:r>
            <w:r>
              <w:rPr>
                <w:noProof/>
                <w:webHidden/>
              </w:rPr>
              <w:fldChar w:fldCharType="begin"/>
            </w:r>
            <w:r>
              <w:rPr>
                <w:noProof/>
                <w:webHidden/>
              </w:rPr>
              <w:instrText xml:space="preserve"> PAGEREF _Toc74651350 \h </w:instrText>
            </w:r>
            <w:r>
              <w:rPr>
                <w:noProof/>
                <w:webHidden/>
              </w:rPr>
            </w:r>
            <w:r>
              <w:rPr>
                <w:noProof/>
                <w:webHidden/>
              </w:rPr>
              <w:fldChar w:fldCharType="separate"/>
            </w:r>
            <w:r>
              <w:rPr>
                <w:noProof/>
                <w:webHidden/>
              </w:rPr>
              <w:t>55</w:t>
            </w:r>
            <w:r>
              <w:rPr>
                <w:noProof/>
                <w:webHidden/>
              </w:rPr>
              <w:fldChar w:fldCharType="end"/>
            </w:r>
          </w:hyperlink>
        </w:p>
        <w:p w14:paraId="047EE171" w14:textId="66AB29CE" w:rsidR="008D47A6" w:rsidRDefault="008D47A6">
          <w:pPr>
            <w:pStyle w:val="TM3"/>
            <w:tabs>
              <w:tab w:val="right" w:leader="dot" w:pos="9062"/>
            </w:tabs>
            <w:rPr>
              <w:noProof/>
            </w:rPr>
          </w:pPr>
          <w:hyperlink w:anchor="_Toc74651351" w:history="1">
            <w:r w:rsidRPr="00AB0939">
              <w:rPr>
                <w:rStyle w:val="Lienhypertexte"/>
                <w:noProof/>
              </w:rPr>
              <w:t>Prêt d’argent ou donation ?</w:t>
            </w:r>
            <w:r>
              <w:rPr>
                <w:noProof/>
                <w:webHidden/>
              </w:rPr>
              <w:tab/>
            </w:r>
            <w:r>
              <w:rPr>
                <w:noProof/>
                <w:webHidden/>
              </w:rPr>
              <w:fldChar w:fldCharType="begin"/>
            </w:r>
            <w:r>
              <w:rPr>
                <w:noProof/>
                <w:webHidden/>
              </w:rPr>
              <w:instrText xml:space="preserve"> PAGEREF _Toc74651351 \h </w:instrText>
            </w:r>
            <w:r>
              <w:rPr>
                <w:noProof/>
                <w:webHidden/>
              </w:rPr>
            </w:r>
            <w:r>
              <w:rPr>
                <w:noProof/>
                <w:webHidden/>
              </w:rPr>
              <w:fldChar w:fldCharType="separate"/>
            </w:r>
            <w:r>
              <w:rPr>
                <w:noProof/>
                <w:webHidden/>
              </w:rPr>
              <w:t>55</w:t>
            </w:r>
            <w:r>
              <w:rPr>
                <w:noProof/>
                <w:webHidden/>
              </w:rPr>
              <w:fldChar w:fldCharType="end"/>
            </w:r>
          </w:hyperlink>
        </w:p>
        <w:p w14:paraId="129B62FA" w14:textId="13B6DE41" w:rsidR="008D47A6" w:rsidRDefault="008D47A6">
          <w:pPr>
            <w:pStyle w:val="TM3"/>
            <w:tabs>
              <w:tab w:val="right" w:leader="dot" w:pos="9062"/>
            </w:tabs>
            <w:rPr>
              <w:noProof/>
            </w:rPr>
          </w:pPr>
          <w:hyperlink w:anchor="_Toc74651352" w:history="1">
            <w:r w:rsidRPr="00AB0939">
              <w:rPr>
                <w:rStyle w:val="Lienhypertexte"/>
                <w:noProof/>
              </w:rPr>
              <w:t>Déclaration des comptes bancaires ouverts à l’étranger</w:t>
            </w:r>
            <w:r>
              <w:rPr>
                <w:noProof/>
                <w:webHidden/>
              </w:rPr>
              <w:tab/>
            </w:r>
            <w:r>
              <w:rPr>
                <w:noProof/>
                <w:webHidden/>
              </w:rPr>
              <w:fldChar w:fldCharType="begin"/>
            </w:r>
            <w:r>
              <w:rPr>
                <w:noProof/>
                <w:webHidden/>
              </w:rPr>
              <w:instrText xml:space="preserve"> PAGEREF _Toc74651352 \h </w:instrText>
            </w:r>
            <w:r>
              <w:rPr>
                <w:noProof/>
                <w:webHidden/>
              </w:rPr>
            </w:r>
            <w:r>
              <w:rPr>
                <w:noProof/>
                <w:webHidden/>
              </w:rPr>
              <w:fldChar w:fldCharType="separate"/>
            </w:r>
            <w:r>
              <w:rPr>
                <w:noProof/>
                <w:webHidden/>
              </w:rPr>
              <w:t>55</w:t>
            </w:r>
            <w:r>
              <w:rPr>
                <w:noProof/>
                <w:webHidden/>
              </w:rPr>
              <w:fldChar w:fldCharType="end"/>
            </w:r>
          </w:hyperlink>
        </w:p>
        <w:p w14:paraId="6E30C9C3" w14:textId="46F2C733" w:rsidR="008D47A6" w:rsidRDefault="008D47A6">
          <w:pPr>
            <w:pStyle w:val="TM2"/>
            <w:tabs>
              <w:tab w:val="right" w:leader="dot" w:pos="9062"/>
            </w:tabs>
            <w:rPr>
              <w:noProof/>
              <w:sz w:val="22"/>
              <w:szCs w:val="22"/>
              <w:lang w:eastAsia="fr-FR"/>
            </w:rPr>
          </w:pPr>
          <w:hyperlink w:anchor="_Toc74651353" w:history="1">
            <w:r w:rsidRPr="00AB0939">
              <w:rPr>
                <w:rStyle w:val="Lienhypertexte"/>
                <w:noProof/>
              </w:rPr>
              <w:t>Ce qu’il faut savoir en matière de gestion du patrimoine immobilier</w:t>
            </w:r>
            <w:r>
              <w:rPr>
                <w:noProof/>
                <w:webHidden/>
              </w:rPr>
              <w:tab/>
            </w:r>
            <w:r>
              <w:rPr>
                <w:noProof/>
                <w:webHidden/>
              </w:rPr>
              <w:fldChar w:fldCharType="begin"/>
            </w:r>
            <w:r>
              <w:rPr>
                <w:noProof/>
                <w:webHidden/>
              </w:rPr>
              <w:instrText xml:space="preserve"> PAGEREF _Toc74651353 \h </w:instrText>
            </w:r>
            <w:r>
              <w:rPr>
                <w:noProof/>
                <w:webHidden/>
              </w:rPr>
            </w:r>
            <w:r>
              <w:rPr>
                <w:noProof/>
                <w:webHidden/>
              </w:rPr>
              <w:fldChar w:fldCharType="separate"/>
            </w:r>
            <w:r>
              <w:rPr>
                <w:noProof/>
                <w:webHidden/>
              </w:rPr>
              <w:t>57</w:t>
            </w:r>
            <w:r>
              <w:rPr>
                <w:noProof/>
                <w:webHidden/>
              </w:rPr>
              <w:fldChar w:fldCharType="end"/>
            </w:r>
          </w:hyperlink>
        </w:p>
        <w:p w14:paraId="60B93FD7" w14:textId="4E864947" w:rsidR="008D47A6" w:rsidRDefault="008D47A6">
          <w:pPr>
            <w:pStyle w:val="TM3"/>
            <w:tabs>
              <w:tab w:val="right" w:leader="dot" w:pos="9062"/>
            </w:tabs>
            <w:rPr>
              <w:noProof/>
            </w:rPr>
          </w:pPr>
          <w:hyperlink w:anchor="_Toc74651354" w:history="1">
            <w:r w:rsidRPr="00AB0939">
              <w:rPr>
                <w:rStyle w:val="Lienhypertexte"/>
                <w:noProof/>
              </w:rPr>
              <w:t>Revenus fonciers et déduction des intérêts d’emprunt</w:t>
            </w:r>
            <w:r>
              <w:rPr>
                <w:noProof/>
                <w:webHidden/>
              </w:rPr>
              <w:tab/>
            </w:r>
            <w:r>
              <w:rPr>
                <w:noProof/>
                <w:webHidden/>
              </w:rPr>
              <w:fldChar w:fldCharType="begin"/>
            </w:r>
            <w:r>
              <w:rPr>
                <w:noProof/>
                <w:webHidden/>
              </w:rPr>
              <w:instrText xml:space="preserve"> PAGEREF _Toc74651354 \h </w:instrText>
            </w:r>
            <w:r>
              <w:rPr>
                <w:noProof/>
                <w:webHidden/>
              </w:rPr>
            </w:r>
            <w:r>
              <w:rPr>
                <w:noProof/>
                <w:webHidden/>
              </w:rPr>
              <w:fldChar w:fldCharType="separate"/>
            </w:r>
            <w:r>
              <w:rPr>
                <w:noProof/>
                <w:webHidden/>
              </w:rPr>
              <w:t>57</w:t>
            </w:r>
            <w:r>
              <w:rPr>
                <w:noProof/>
                <w:webHidden/>
              </w:rPr>
              <w:fldChar w:fldCharType="end"/>
            </w:r>
          </w:hyperlink>
        </w:p>
        <w:p w14:paraId="3DD2FAA4" w14:textId="582D3DBF" w:rsidR="008D47A6" w:rsidRDefault="008D47A6">
          <w:pPr>
            <w:pStyle w:val="TM3"/>
            <w:tabs>
              <w:tab w:val="right" w:leader="dot" w:pos="9062"/>
            </w:tabs>
            <w:rPr>
              <w:noProof/>
            </w:rPr>
          </w:pPr>
          <w:hyperlink w:anchor="_Toc74651355" w:history="1">
            <w:r w:rsidRPr="00AB0939">
              <w:rPr>
                <w:rStyle w:val="Lienhypertexte"/>
                <w:noProof/>
              </w:rPr>
              <w:t>Dispositif Robien et perte d’emploi</w:t>
            </w:r>
            <w:r>
              <w:rPr>
                <w:noProof/>
                <w:webHidden/>
              </w:rPr>
              <w:tab/>
            </w:r>
            <w:r>
              <w:rPr>
                <w:noProof/>
                <w:webHidden/>
              </w:rPr>
              <w:fldChar w:fldCharType="begin"/>
            </w:r>
            <w:r>
              <w:rPr>
                <w:noProof/>
                <w:webHidden/>
              </w:rPr>
              <w:instrText xml:space="preserve"> PAGEREF _Toc74651355 \h </w:instrText>
            </w:r>
            <w:r>
              <w:rPr>
                <w:noProof/>
                <w:webHidden/>
              </w:rPr>
            </w:r>
            <w:r>
              <w:rPr>
                <w:noProof/>
                <w:webHidden/>
              </w:rPr>
              <w:fldChar w:fldCharType="separate"/>
            </w:r>
            <w:r>
              <w:rPr>
                <w:noProof/>
                <w:webHidden/>
              </w:rPr>
              <w:t>57</w:t>
            </w:r>
            <w:r>
              <w:rPr>
                <w:noProof/>
                <w:webHidden/>
              </w:rPr>
              <w:fldChar w:fldCharType="end"/>
            </w:r>
          </w:hyperlink>
        </w:p>
        <w:p w14:paraId="61E62FC1" w14:textId="274C47E5" w:rsidR="008D47A6" w:rsidRDefault="008D47A6">
          <w:pPr>
            <w:pStyle w:val="TM3"/>
            <w:tabs>
              <w:tab w:val="right" w:leader="dot" w:pos="9062"/>
            </w:tabs>
            <w:rPr>
              <w:noProof/>
            </w:rPr>
          </w:pPr>
          <w:hyperlink w:anchor="_Toc74651356" w:history="1">
            <w:r w:rsidRPr="00AB0939">
              <w:rPr>
                <w:rStyle w:val="Lienhypertexte"/>
                <w:noProof/>
              </w:rPr>
              <w:t>Vente de bien immobilier et exonération fiscale</w:t>
            </w:r>
            <w:r>
              <w:rPr>
                <w:noProof/>
                <w:webHidden/>
              </w:rPr>
              <w:tab/>
            </w:r>
            <w:r>
              <w:rPr>
                <w:noProof/>
                <w:webHidden/>
              </w:rPr>
              <w:fldChar w:fldCharType="begin"/>
            </w:r>
            <w:r>
              <w:rPr>
                <w:noProof/>
                <w:webHidden/>
              </w:rPr>
              <w:instrText xml:space="preserve"> PAGEREF _Toc74651356 \h </w:instrText>
            </w:r>
            <w:r>
              <w:rPr>
                <w:noProof/>
                <w:webHidden/>
              </w:rPr>
            </w:r>
            <w:r>
              <w:rPr>
                <w:noProof/>
                <w:webHidden/>
              </w:rPr>
              <w:fldChar w:fldCharType="separate"/>
            </w:r>
            <w:r>
              <w:rPr>
                <w:noProof/>
                <w:webHidden/>
              </w:rPr>
              <w:t>58</w:t>
            </w:r>
            <w:r>
              <w:rPr>
                <w:noProof/>
                <w:webHidden/>
              </w:rPr>
              <w:fldChar w:fldCharType="end"/>
            </w:r>
          </w:hyperlink>
        </w:p>
        <w:p w14:paraId="56C2F892" w14:textId="18C46E36" w:rsidR="008D47A6" w:rsidRDefault="008D47A6">
          <w:pPr>
            <w:pStyle w:val="TM2"/>
            <w:tabs>
              <w:tab w:val="right" w:leader="dot" w:pos="9062"/>
            </w:tabs>
            <w:rPr>
              <w:noProof/>
              <w:sz w:val="22"/>
              <w:szCs w:val="22"/>
              <w:lang w:eastAsia="fr-FR"/>
            </w:rPr>
          </w:pPr>
          <w:hyperlink w:anchor="_Toc74651357" w:history="1">
            <w:r w:rsidRPr="00AB0939">
              <w:rPr>
                <w:rStyle w:val="Lienhypertexte"/>
                <w:noProof/>
              </w:rPr>
              <w:t>Ce qu’il faut savoir en matière de gestion du patrimoine privé</w:t>
            </w:r>
            <w:r>
              <w:rPr>
                <w:noProof/>
                <w:webHidden/>
              </w:rPr>
              <w:tab/>
            </w:r>
            <w:r>
              <w:rPr>
                <w:noProof/>
                <w:webHidden/>
              </w:rPr>
              <w:fldChar w:fldCharType="begin"/>
            </w:r>
            <w:r>
              <w:rPr>
                <w:noProof/>
                <w:webHidden/>
              </w:rPr>
              <w:instrText xml:space="preserve"> PAGEREF _Toc74651357 \h </w:instrText>
            </w:r>
            <w:r>
              <w:rPr>
                <w:noProof/>
                <w:webHidden/>
              </w:rPr>
            </w:r>
            <w:r>
              <w:rPr>
                <w:noProof/>
                <w:webHidden/>
              </w:rPr>
              <w:fldChar w:fldCharType="separate"/>
            </w:r>
            <w:r>
              <w:rPr>
                <w:noProof/>
                <w:webHidden/>
              </w:rPr>
              <w:t>60</w:t>
            </w:r>
            <w:r>
              <w:rPr>
                <w:noProof/>
                <w:webHidden/>
              </w:rPr>
              <w:fldChar w:fldCharType="end"/>
            </w:r>
          </w:hyperlink>
        </w:p>
        <w:p w14:paraId="10C6E3BD" w14:textId="426B67AE" w:rsidR="008D47A6" w:rsidRDefault="008D47A6">
          <w:pPr>
            <w:pStyle w:val="TM3"/>
            <w:tabs>
              <w:tab w:val="right" w:leader="dot" w:pos="9062"/>
            </w:tabs>
            <w:rPr>
              <w:noProof/>
            </w:rPr>
          </w:pPr>
          <w:hyperlink w:anchor="_Toc74651358" w:history="1">
            <w:r w:rsidRPr="00AB0939">
              <w:rPr>
                <w:rStyle w:val="Lienhypertexte"/>
                <w:noProof/>
              </w:rPr>
              <w:t>Dons familiaux de sommes d’argent et droits d’enregistrement</w:t>
            </w:r>
            <w:r>
              <w:rPr>
                <w:noProof/>
                <w:webHidden/>
              </w:rPr>
              <w:tab/>
            </w:r>
            <w:r>
              <w:rPr>
                <w:noProof/>
                <w:webHidden/>
              </w:rPr>
              <w:fldChar w:fldCharType="begin"/>
            </w:r>
            <w:r>
              <w:rPr>
                <w:noProof/>
                <w:webHidden/>
              </w:rPr>
              <w:instrText xml:space="preserve"> PAGEREF _Toc74651358 \h </w:instrText>
            </w:r>
            <w:r>
              <w:rPr>
                <w:noProof/>
                <w:webHidden/>
              </w:rPr>
            </w:r>
            <w:r>
              <w:rPr>
                <w:noProof/>
                <w:webHidden/>
              </w:rPr>
              <w:fldChar w:fldCharType="separate"/>
            </w:r>
            <w:r>
              <w:rPr>
                <w:noProof/>
                <w:webHidden/>
              </w:rPr>
              <w:t>60</w:t>
            </w:r>
            <w:r>
              <w:rPr>
                <w:noProof/>
                <w:webHidden/>
              </w:rPr>
              <w:fldChar w:fldCharType="end"/>
            </w:r>
          </w:hyperlink>
        </w:p>
        <w:p w14:paraId="391B9650" w14:textId="7D0878C5" w:rsidR="008D47A6" w:rsidRDefault="008D47A6">
          <w:pPr>
            <w:pStyle w:val="TM2"/>
            <w:tabs>
              <w:tab w:val="right" w:leader="dot" w:pos="9062"/>
            </w:tabs>
            <w:rPr>
              <w:noProof/>
              <w:sz w:val="22"/>
              <w:szCs w:val="22"/>
              <w:lang w:eastAsia="fr-FR"/>
            </w:rPr>
          </w:pPr>
          <w:hyperlink w:anchor="_Toc74651359" w:history="1">
            <w:r w:rsidRPr="00AB0939">
              <w:rPr>
                <w:rStyle w:val="Lienhypertexte"/>
                <w:noProof/>
              </w:rPr>
              <w:t>Les informations diverses à connaître</w:t>
            </w:r>
            <w:r>
              <w:rPr>
                <w:noProof/>
                <w:webHidden/>
              </w:rPr>
              <w:tab/>
            </w:r>
            <w:r>
              <w:rPr>
                <w:noProof/>
                <w:webHidden/>
              </w:rPr>
              <w:fldChar w:fldCharType="begin"/>
            </w:r>
            <w:r>
              <w:rPr>
                <w:noProof/>
                <w:webHidden/>
              </w:rPr>
              <w:instrText xml:space="preserve"> PAGEREF _Toc74651359 \h </w:instrText>
            </w:r>
            <w:r>
              <w:rPr>
                <w:noProof/>
                <w:webHidden/>
              </w:rPr>
            </w:r>
            <w:r>
              <w:rPr>
                <w:noProof/>
                <w:webHidden/>
              </w:rPr>
              <w:fldChar w:fldCharType="separate"/>
            </w:r>
            <w:r>
              <w:rPr>
                <w:noProof/>
                <w:webHidden/>
              </w:rPr>
              <w:t>61</w:t>
            </w:r>
            <w:r>
              <w:rPr>
                <w:noProof/>
                <w:webHidden/>
              </w:rPr>
              <w:fldChar w:fldCharType="end"/>
            </w:r>
          </w:hyperlink>
        </w:p>
        <w:p w14:paraId="72624DEE" w14:textId="718B7807" w:rsidR="008D47A6" w:rsidRDefault="008D47A6">
          <w:pPr>
            <w:pStyle w:val="TM3"/>
            <w:tabs>
              <w:tab w:val="right" w:leader="dot" w:pos="9062"/>
            </w:tabs>
            <w:rPr>
              <w:noProof/>
            </w:rPr>
          </w:pPr>
          <w:hyperlink w:anchor="_Toc74651360" w:history="1">
            <w:r w:rsidRPr="00AB0939">
              <w:rPr>
                <w:rStyle w:val="Lienhypertexte"/>
                <w:noProof/>
              </w:rPr>
              <w:t>Formation professionnelle et rémunération des stagiaires</w:t>
            </w:r>
            <w:r>
              <w:rPr>
                <w:noProof/>
                <w:webHidden/>
              </w:rPr>
              <w:tab/>
            </w:r>
            <w:r>
              <w:rPr>
                <w:noProof/>
                <w:webHidden/>
              </w:rPr>
              <w:fldChar w:fldCharType="begin"/>
            </w:r>
            <w:r>
              <w:rPr>
                <w:noProof/>
                <w:webHidden/>
              </w:rPr>
              <w:instrText xml:space="preserve"> PAGEREF _Toc74651360 \h </w:instrText>
            </w:r>
            <w:r>
              <w:rPr>
                <w:noProof/>
                <w:webHidden/>
              </w:rPr>
            </w:r>
            <w:r>
              <w:rPr>
                <w:noProof/>
                <w:webHidden/>
              </w:rPr>
              <w:fldChar w:fldCharType="separate"/>
            </w:r>
            <w:r>
              <w:rPr>
                <w:noProof/>
                <w:webHidden/>
              </w:rPr>
              <w:t>61</w:t>
            </w:r>
            <w:r>
              <w:rPr>
                <w:noProof/>
                <w:webHidden/>
              </w:rPr>
              <w:fldChar w:fldCharType="end"/>
            </w:r>
          </w:hyperlink>
        </w:p>
        <w:p w14:paraId="40549F9E" w14:textId="0E1B852F" w:rsidR="008D47A6" w:rsidRDefault="008D47A6">
          <w:pPr>
            <w:pStyle w:val="TM3"/>
            <w:tabs>
              <w:tab w:val="right" w:leader="dot" w:pos="9062"/>
            </w:tabs>
            <w:rPr>
              <w:noProof/>
            </w:rPr>
          </w:pPr>
          <w:hyperlink w:anchor="_Toc74651361" w:history="1">
            <w:r w:rsidRPr="00AB0939">
              <w:rPr>
                <w:rStyle w:val="Lienhypertexte"/>
                <w:noProof/>
              </w:rPr>
              <w:t>Nouvelle carte d’identité</w:t>
            </w:r>
            <w:r>
              <w:rPr>
                <w:noProof/>
                <w:webHidden/>
              </w:rPr>
              <w:tab/>
            </w:r>
            <w:r>
              <w:rPr>
                <w:noProof/>
                <w:webHidden/>
              </w:rPr>
              <w:fldChar w:fldCharType="begin"/>
            </w:r>
            <w:r>
              <w:rPr>
                <w:noProof/>
                <w:webHidden/>
              </w:rPr>
              <w:instrText xml:space="preserve"> PAGEREF _Toc74651361 \h </w:instrText>
            </w:r>
            <w:r>
              <w:rPr>
                <w:noProof/>
                <w:webHidden/>
              </w:rPr>
            </w:r>
            <w:r>
              <w:rPr>
                <w:noProof/>
                <w:webHidden/>
              </w:rPr>
              <w:fldChar w:fldCharType="separate"/>
            </w:r>
            <w:r>
              <w:rPr>
                <w:noProof/>
                <w:webHidden/>
              </w:rPr>
              <w:t>64</w:t>
            </w:r>
            <w:r>
              <w:rPr>
                <w:noProof/>
                <w:webHidden/>
              </w:rPr>
              <w:fldChar w:fldCharType="end"/>
            </w:r>
          </w:hyperlink>
        </w:p>
        <w:p w14:paraId="097C497E" w14:textId="4B2A0930" w:rsidR="008D47A6" w:rsidRDefault="008D47A6">
          <w:pPr>
            <w:pStyle w:val="TM1"/>
            <w:tabs>
              <w:tab w:val="right" w:leader="dot" w:pos="9062"/>
            </w:tabs>
            <w:rPr>
              <w:noProof/>
              <w:sz w:val="22"/>
              <w:szCs w:val="22"/>
              <w:lang w:eastAsia="fr-FR"/>
            </w:rPr>
          </w:pPr>
          <w:hyperlink w:anchor="_Toc74651362" w:history="1">
            <w:r w:rsidRPr="00AB0939">
              <w:rPr>
                <w:rStyle w:val="Lienhypertexte"/>
                <w:noProof/>
              </w:rPr>
              <w:t>LES PROJETS DE REFORMES EN COURS</w:t>
            </w:r>
            <w:r>
              <w:rPr>
                <w:noProof/>
                <w:webHidden/>
              </w:rPr>
              <w:tab/>
            </w:r>
            <w:r>
              <w:rPr>
                <w:noProof/>
                <w:webHidden/>
              </w:rPr>
              <w:fldChar w:fldCharType="begin"/>
            </w:r>
            <w:r>
              <w:rPr>
                <w:noProof/>
                <w:webHidden/>
              </w:rPr>
              <w:instrText xml:space="preserve"> PAGEREF _Toc74651362 \h </w:instrText>
            </w:r>
            <w:r>
              <w:rPr>
                <w:noProof/>
                <w:webHidden/>
              </w:rPr>
            </w:r>
            <w:r>
              <w:rPr>
                <w:noProof/>
                <w:webHidden/>
              </w:rPr>
              <w:fldChar w:fldCharType="separate"/>
            </w:r>
            <w:r>
              <w:rPr>
                <w:noProof/>
                <w:webHidden/>
              </w:rPr>
              <w:t>65</w:t>
            </w:r>
            <w:r>
              <w:rPr>
                <w:noProof/>
                <w:webHidden/>
              </w:rPr>
              <w:fldChar w:fldCharType="end"/>
            </w:r>
          </w:hyperlink>
        </w:p>
        <w:p w14:paraId="001C1921" w14:textId="2CE7255B" w:rsidR="008D47A6" w:rsidRDefault="008D47A6">
          <w:pPr>
            <w:pStyle w:val="TM3"/>
            <w:tabs>
              <w:tab w:val="right" w:leader="dot" w:pos="9062"/>
            </w:tabs>
            <w:rPr>
              <w:noProof/>
            </w:rPr>
          </w:pPr>
          <w:hyperlink w:anchor="_Toc74651363" w:history="1">
            <w:r w:rsidRPr="00AB0939">
              <w:rPr>
                <w:rStyle w:val="Lienhypertexte"/>
                <w:noProof/>
              </w:rPr>
              <w:t>Projet de Loi relatif à la bioéthique</w:t>
            </w:r>
            <w:r>
              <w:rPr>
                <w:noProof/>
                <w:webHidden/>
              </w:rPr>
              <w:tab/>
            </w:r>
            <w:r>
              <w:rPr>
                <w:noProof/>
                <w:webHidden/>
              </w:rPr>
              <w:fldChar w:fldCharType="begin"/>
            </w:r>
            <w:r>
              <w:rPr>
                <w:noProof/>
                <w:webHidden/>
              </w:rPr>
              <w:instrText xml:space="preserve"> PAGEREF _Toc74651363 \h </w:instrText>
            </w:r>
            <w:r>
              <w:rPr>
                <w:noProof/>
                <w:webHidden/>
              </w:rPr>
            </w:r>
            <w:r>
              <w:rPr>
                <w:noProof/>
                <w:webHidden/>
              </w:rPr>
              <w:fldChar w:fldCharType="separate"/>
            </w:r>
            <w:r>
              <w:rPr>
                <w:noProof/>
                <w:webHidden/>
              </w:rPr>
              <w:t>66</w:t>
            </w:r>
            <w:r>
              <w:rPr>
                <w:noProof/>
                <w:webHidden/>
              </w:rPr>
              <w:fldChar w:fldCharType="end"/>
            </w:r>
          </w:hyperlink>
        </w:p>
        <w:p w14:paraId="50FCBCDC" w14:textId="38D40900" w:rsidR="008D47A6" w:rsidRDefault="008D47A6">
          <w:pPr>
            <w:pStyle w:val="TM3"/>
            <w:tabs>
              <w:tab w:val="right" w:leader="dot" w:pos="9062"/>
            </w:tabs>
            <w:rPr>
              <w:noProof/>
            </w:rPr>
          </w:pPr>
          <w:hyperlink w:anchor="_Toc74651364" w:history="1">
            <w:r w:rsidRPr="00AB0939">
              <w:rPr>
                <w:rStyle w:val="Lienhypertexte"/>
                <w:noProof/>
              </w:rPr>
              <w:t>Projet de Loi confortant le respect des principes de la République</w:t>
            </w:r>
            <w:r>
              <w:rPr>
                <w:noProof/>
                <w:webHidden/>
              </w:rPr>
              <w:tab/>
            </w:r>
            <w:r>
              <w:rPr>
                <w:noProof/>
                <w:webHidden/>
              </w:rPr>
              <w:fldChar w:fldCharType="begin"/>
            </w:r>
            <w:r>
              <w:rPr>
                <w:noProof/>
                <w:webHidden/>
              </w:rPr>
              <w:instrText xml:space="preserve"> PAGEREF _Toc74651364 \h </w:instrText>
            </w:r>
            <w:r>
              <w:rPr>
                <w:noProof/>
                <w:webHidden/>
              </w:rPr>
            </w:r>
            <w:r>
              <w:rPr>
                <w:noProof/>
                <w:webHidden/>
              </w:rPr>
              <w:fldChar w:fldCharType="separate"/>
            </w:r>
            <w:r>
              <w:rPr>
                <w:noProof/>
                <w:webHidden/>
              </w:rPr>
              <w:t>70</w:t>
            </w:r>
            <w:r>
              <w:rPr>
                <w:noProof/>
                <w:webHidden/>
              </w:rPr>
              <w:fldChar w:fldCharType="end"/>
            </w:r>
          </w:hyperlink>
        </w:p>
        <w:p w14:paraId="0AE634C5" w14:textId="62979B83" w:rsidR="008D47A6" w:rsidRDefault="008D47A6">
          <w:pPr>
            <w:pStyle w:val="TM3"/>
            <w:tabs>
              <w:tab w:val="right" w:leader="dot" w:pos="9062"/>
            </w:tabs>
            <w:rPr>
              <w:noProof/>
            </w:rPr>
          </w:pPr>
          <w:hyperlink w:anchor="_Toc74651365" w:history="1">
            <w:r w:rsidRPr="00AB0939">
              <w:rPr>
                <w:rStyle w:val="Lienhypertexte"/>
                <w:noProof/>
              </w:rPr>
              <w:t>Projet de Loi portant lutte contre le dérèglement climatique et renforcement de la résilience face à ses effets</w:t>
            </w:r>
            <w:r>
              <w:rPr>
                <w:noProof/>
                <w:webHidden/>
              </w:rPr>
              <w:tab/>
            </w:r>
            <w:r>
              <w:rPr>
                <w:noProof/>
                <w:webHidden/>
              </w:rPr>
              <w:fldChar w:fldCharType="begin"/>
            </w:r>
            <w:r>
              <w:rPr>
                <w:noProof/>
                <w:webHidden/>
              </w:rPr>
              <w:instrText xml:space="preserve"> PAGEREF _Toc74651365 \h </w:instrText>
            </w:r>
            <w:r>
              <w:rPr>
                <w:noProof/>
                <w:webHidden/>
              </w:rPr>
            </w:r>
            <w:r>
              <w:rPr>
                <w:noProof/>
                <w:webHidden/>
              </w:rPr>
              <w:fldChar w:fldCharType="separate"/>
            </w:r>
            <w:r>
              <w:rPr>
                <w:noProof/>
                <w:webHidden/>
              </w:rPr>
              <w:t>77</w:t>
            </w:r>
            <w:r>
              <w:rPr>
                <w:noProof/>
                <w:webHidden/>
              </w:rPr>
              <w:fldChar w:fldCharType="end"/>
            </w:r>
          </w:hyperlink>
        </w:p>
        <w:p w14:paraId="7F2ECBFF" w14:textId="3D419F7A" w:rsidR="008066C8" w:rsidRDefault="00B202FF">
          <w:r>
            <w:rPr>
              <w:b/>
              <w:bCs/>
            </w:rPr>
            <w:fldChar w:fldCharType="end"/>
          </w:r>
        </w:p>
      </w:sdtContent>
    </w:sdt>
    <w:p w14:paraId="4154F2D8" w14:textId="77777777" w:rsidR="00162CCC" w:rsidRDefault="00162CCC"/>
    <w:p w14:paraId="72F51006" w14:textId="77777777" w:rsidR="00162CCC" w:rsidRDefault="00162CCC"/>
    <w:p w14:paraId="3E74A1ED" w14:textId="77777777" w:rsidR="00162CCC" w:rsidRDefault="00162CCC"/>
    <w:p w14:paraId="1B74E2BB" w14:textId="77777777" w:rsidR="00162CCC" w:rsidRDefault="00162CCC"/>
    <w:p w14:paraId="6E2AED68" w14:textId="77777777" w:rsidR="00162CCC" w:rsidRDefault="00162CCC"/>
    <w:p w14:paraId="7FE2A7F0" w14:textId="77777777" w:rsidR="00837EDF" w:rsidRDefault="00837EDF"/>
    <w:p w14:paraId="35519774" w14:textId="77777777" w:rsidR="001148C9" w:rsidRDefault="001148C9"/>
    <w:p w14:paraId="162BFAF6" w14:textId="33B90EA9" w:rsidR="004F3D77" w:rsidRDefault="004F3D77">
      <w:r>
        <w:br w:type="page"/>
      </w:r>
    </w:p>
    <w:p w14:paraId="5D743166" w14:textId="77777777" w:rsidR="001148C9" w:rsidRDefault="001148C9"/>
    <w:p w14:paraId="30475D39" w14:textId="277ADB84" w:rsidR="001148C9" w:rsidRDefault="001148C9"/>
    <w:p w14:paraId="2F441CDD" w14:textId="63140FD1" w:rsidR="004F3D77" w:rsidRDefault="004F3D77"/>
    <w:p w14:paraId="13AFB459" w14:textId="2E0AAFD4" w:rsidR="004F3D77" w:rsidRDefault="004F3D77"/>
    <w:p w14:paraId="6B0812FB" w14:textId="60FEF914" w:rsidR="004F3D77" w:rsidRDefault="004F3D77"/>
    <w:p w14:paraId="30A65766" w14:textId="73A9B358" w:rsidR="004F3D77" w:rsidRDefault="004F3D77"/>
    <w:p w14:paraId="5052215E" w14:textId="6C67849A" w:rsidR="004F3D77" w:rsidRDefault="004F3D77"/>
    <w:p w14:paraId="5A56FCFB" w14:textId="08B239EA" w:rsidR="004F3D77" w:rsidRDefault="004F3D77"/>
    <w:p w14:paraId="38648626" w14:textId="77777777" w:rsidR="004F3D77" w:rsidRDefault="004F3D77"/>
    <w:p w14:paraId="3CD033D7" w14:textId="77777777" w:rsidR="001B6B86" w:rsidRPr="00BA1E49" w:rsidRDefault="00183DA0" w:rsidP="008066C8">
      <w:pPr>
        <w:pStyle w:val="Titre1"/>
      </w:pPr>
      <w:bookmarkStart w:id="0" w:name="_Toc74651290"/>
      <w:r w:rsidRPr="00BA1E49">
        <w:t>ACTUALITES FISCALES</w:t>
      </w:r>
      <w:bookmarkEnd w:id="0"/>
    </w:p>
    <w:p w14:paraId="1A619AAC" w14:textId="77777777" w:rsidR="001B6B86" w:rsidRDefault="001B6B86"/>
    <w:p w14:paraId="2D776A9D" w14:textId="77777777" w:rsidR="001B6B86" w:rsidRDefault="001B6B86">
      <w:r>
        <w:br w:type="page"/>
      </w:r>
    </w:p>
    <w:p w14:paraId="5941D05E" w14:textId="77777777" w:rsidR="00FA283A" w:rsidRPr="00FA283A" w:rsidRDefault="00FA283A" w:rsidP="004F398D">
      <w:pPr>
        <w:jc w:val="center"/>
        <w:rPr>
          <w:b/>
        </w:rPr>
      </w:pPr>
    </w:p>
    <w:p w14:paraId="4CE37CFD" w14:textId="77777777" w:rsidR="000A07A8" w:rsidRPr="00BA1E49" w:rsidRDefault="009C54D2" w:rsidP="00CB57AF">
      <w:pPr>
        <w:pStyle w:val="Titre2"/>
      </w:pPr>
      <w:bookmarkStart w:id="1" w:name="_Toc74651291"/>
      <w:r w:rsidRPr="00BA1E49">
        <w:t>Ce qu</w:t>
      </w:r>
      <w:r w:rsidR="00FF3AF0" w:rsidRPr="00BA1E49">
        <w:t xml:space="preserve">’il faut savoir </w:t>
      </w:r>
      <w:r w:rsidRPr="00BA1E49">
        <w:t>en matière d</w:t>
      </w:r>
      <w:r w:rsidR="006C5D06" w:rsidRPr="00BA1E49">
        <w:t>’impôt sur les bénéfices</w:t>
      </w:r>
      <w:bookmarkEnd w:id="1"/>
    </w:p>
    <w:p w14:paraId="4E3EE3C1" w14:textId="6672B6E4" w:rsidR="000A07A8" w:rsidRDefault="000A07A8"/>
    <w:p w14:paraId="62CB1B85" w14:textId="6D366955" w:rsidR="00F16920" w:rsidRPr="00BA1E49" w:rsidRDefault="006F794A" w:rsidP="00F16920">
      <w:pPr>
        <w:pStyle w:val="Titre3"/>
      </w:pPr>
      <w:bookmarkStart w:id="2" w:name="_Toc74651292"/>
      <w:r>
        <w:t>Réduction d’impôt pour investissement dans une société de presse</w:t>
      </w:r>
      <w:bookmarkEnd w:id="2"/>
    </w:p>
    <w:p w14:paraId="01821820" w14:textId="5989FD75" w:rsidR="00F16920" w:rsidRDefault="00F16920" w:rsidP="00DA3827">
      <w:pPr>
        <w:spacing w:before="0" w:after="0"/>
        <w:rPr>
          <w:rFonts w:cstheme="minorHAnsi"/>
        </w:rPr>
      </w:pPr>
      <w:r w:rsidRPr="00E45B66">
        <w:rPr>
          <w:rFonts w:cstheme="minorHAnsi"/>
          <w:b/>
          <w:color w:val="0070C0"/>
        </w:rPr>
        <w:t>Slide</w:t>
      </w:r>
      <w:r>
        <w:rPr>
          <w:rFonts w:cstheme="minorHAnsi"/>
          <w:b/>
          <w:color w:val="0070C0"/>
        </w:rPr>
        <w:t xml:space="preserve"> </w:t>
      </w:r>
      <w:r w:rsidR="00DA3827">
        <w:rPr>
          <w:rFonts w:cstheme="minorHAnsi"/>
          <w:b/>
          <w:color w:val="0070C0"/>
        </w:rPr>
        <w:t>4</w:t>
      </w:r>
    </w:p>
    <w:p w14:paraId="29962F7A" w14:textId="075AF6D7" w:rsidR="00F16920" w:rsidRPr="00446ED2" w:rsidRDefault="00F16920" w:rsidP="00F16920">
      <w:pPr>
        <w:rPr>
          <w:rFonts w:cstheme="minorHAnsi"/>
        </w:rPr>
      </w:pPr>
      <w:r w:rsidRPr="00451FF7">
        <w:rPr>
          <w:rFonts w:cstheme="minorHAnsi"/>
        </w:rPr>
        <w:t>Source </w:t>
      </w:r>
      <w:r w:rsidRPr="002545F5">
        <w:rPr>
          <w:rFonts w:cstheme="minorHAnsi"/>
        </w:rPr>
        <w:t xml:space="preserve">: </w:t>
      </w:r>
      <w:r w:rsidR="00446ED2" w:rsidRPr="00446ED2">
        <w:rPr>
          <w:rFonts w:cstheme="minorHAnsi"/>
        </w:rPr>
        <w:t>Décret n° 2021-499 du 23 avril 2021 aménageant les obligations déclaratives relatives à la réduction d'impôt prévue à l'article 220 undecies du code général des impôts</w:t>
      </w:r>
    </w:p>
    <w:p w14:paraId="01A828BA" w14:textId="77777777" w:rsidR="00F16920" w:rsidRPr="005B73D2" w:rsidRDefault="00F16920" w:rsidP="00F16920">
      <w:pPr>
        <w:pStyle w:val="Titre4"/>
        <w:rPr>
          <w:rStyle w:val="txt"/>
        </w:rPr>
      </w:pPr>
      <w:r w:rsidRPr="004858FF">
        <w:rPr>
          <w:rStyle w:val="txt"/>
        </w:rPr>
        <w:t>ce qu’il faut savoir…</w:t>
      </w:r>
    </w:p>
    <w:p w14:paraId="70159A1B" w14:textId="77777777" w:rsidR="001C2EB3" w:rsidRPr="001C2EB3" w:rsidRDefault="001C2EB3" w:rsidP="001C2EB3">
      <w:pPr>
        <w:rPr>
          <w:rFonts w:cstheme="minorHAnsi"/>
        </w:rPr>
      </w:pPr>
      <w:r w:rsidRPr="001C2EB3">
        <w:rPr>
          <w:rFonts w:cstheme="minorHAnsi"/>
        </w:rPr>
        <w:t>Les entreprises soumises à l’impôt sur les sociétés (IS) qui investissent dans certaines sociétés de presse avant le 31 décembre 2024 peuvent bénéficier, toutes conditions par ailleurs remplies, d’une réduction d’impôt égale à 25 % du montant des sommes versées : il s’agit de la réduction d’impôt pour souscription au capital de sociétés de presse.</w:t>
      </w:r>
    </w:p>
    <w:p w14:paraId="07C5E810" w14:textId="20F780C9" w:rsidR="001C2EB3" w:rsidRPr="001C2EB3" w:rsidRDefault="001C2EB3" w:rsidP="001C2EB3">
      <w:pPr>
        <w:pStyle w:val="Paragraphedeliste"/>
        <w:numPr>
          <w:ilvl w:val="0"/>
          <w:numId w:val="9"/>
        </w:numPr>
        <w:rPr>
          <w:rFonts w:cstheme="minorHAnsi"/>
          <w:b/>
          <w:bCs/>
          <w:i/>
          <w:iCs/>
          <w:u w:val="single"/>
        </w:rPr>
      </w:pPr>
      <w:r w:rsidRPr="001C2EB3">
        <w:rPr>
          <w:rFonts w:cstheme="minorHAnsi"/>
          <w:b/>
          <w:bCs/>
          <w:i/>
          <w:iCs/>
          <w:u w:val="single"/>
        </w:rPr>
        <w:t>Un état individuel</w:t>
      </w:r>
    </w:p>
    <w:p w14:paraId="4E6450CE" w14:textId="77777777" w:rsidR="001C2EB3" w:rsidRPr="001C2EB3" w:rsidRDefault="001C2EB3" w:rsidP="001C2EB3">
      <w:pPr>
        <w:rPr>
          <w:rFonts w:cstheme="minorHAnsi"/>
        </w:rPr>
      </w:pPr>
      <w:r w:rsidRPr="001C2EB3">
        <w:rPr>
          <w:rFonts w:cstheme="minorHAnsi"/>
        </w:rPr>
        <w:t>Depuis le 26 avril 2021, la société de presse bénéficiaire de la souscription doit délivrer à l’investisseur un état individuel qui mentionne :</w:t>
      </w:r>
    </w:p>
    <w:p w14:paraId="797CC201" w14:textId="188BD9D7" w:rsidR="001C2EB3" w:rsidRPr="001C2EB3" w:rsidRDefault="001C2EB3" w:rsidP="00D54DDF">
      <w:pPr>
        <w:pStyle w:val="Paragraphedeliste"/>
        <w:numPr>
          <w:ilvl w:val="0"/>
          <w:numId w:val="10"/>
        </w:numPr>
        <w:rPr>
          <w:rFonts w:cstheme="minorHAnsi"/>
        </w:rPr>
      </w:pPr>
      <w:r w:rsidRPr="001C2EB3">
        <w:rPr>
          <w:rFonts w:cstheme="minorHAnsi"/>
        </w:rPr>
        <w:t>l’objet pour lequel il est établi ;</w:t>
      </w:r>
    </w:p>
    <w:p w14:paraId="422B9208" w14:textId="72036748" w:rsidR="001C2EB3" w:rsidRPr="001C2EB3" w:rsidRDefault="001C2EB3" w:rsidP="00D54DDF">
      <w:pPr>
        <w:pStyle w:val="Paragraphedeliste"/>
        <w:numPr>
          <w:ilvl w:val="0"/>
          <w:numId w:val="10"/>
        </w:numPr>
        <w:rPr>
          <w:rFonts w:cstheme="minorHAnsi"/>
        </w:rPr>
      </w:pPr>
      <w:r w:rsidRPr="001C2EB3">
        <w:rPr>
          <w:rFonts w:cstheme="minorHAnsi"/>
        </w:rPr>
        <w:t>la raison sociale, l’objet social, le siège social et le régime fiscal de la société ;</w:t>
      </w:r>
    </w:p>
    <w:p w14:paraId="1C8E0584" w14:textId="3CA32E8D" w:rsidR="001C2EB3" w:rsidRPr="001C2EB3" w:rsidRDefault="001C2EB3" w:rsidP="00D54DDF">
      <w:pPr>
        <w:pStyle w:val="Paragraphedeliste"/>
        <w:numPr>
          <w:ilvl w:val="0"/>
          <w:numId w:val="10"/>
        </w:numPr>
        <w:rPr>
          <w:rFonts w:cstheme="minorHAnsi"/>
        </w:rPr>
      </w:pPr>
      <w:r w:rsidRPr="001C2EB3">
        <w:rPr>
          <w:rFonts w:cstheme="minorHAnsi"/>
        </w:rPr>
        <w:t>l’identité et l’adresse de l’entreprise souscriptrice ;</w:t>
      </w:r>
    </w:p>
    <w:p w14:paraId="0F764CCF" w14:textId="02E08A09" w:rsidR="001C2EB3" w:rsidRPr="001C2EB3" w:rsidRDefault="001C2EB3" w:rsidP="00D54DDF">
      <w:pPr>
        <w:pStyle w:val="Paragraphedeliste"/>
        <w:numPr>
          <w:ilvl w:val="0"/>
          <w:numId w:val="10"/>
        </w:numPr>
        <w:rPr>
          <w:rFonts w:cstheme="minorHAnsi"/>
        </w:rPr>
      </w:pPr>
      <w:r w:rsidRPr="001C2EB3">
        <w:rPr>
          <w:rFonts w:cstheme="minorHAnsi"/>
        </w:rPr>
        <w:t xml:space="preserve">le nombre des titres souscrits, le montant et la date de leur souscription ; </w:t>
      </w:r>
    </w:p>
    <w:p w14:paraId="486D48FC" w14:textId="1E28A6BE" w:rsidR="001C2EB3" w:rsidRPr="001C2EB3" w:rsidRDefault="001C2EB3" w:rsidP="00D54DDF">
      <w:pPr>
        <w:pStyle w:val="Paragraphedeliste"/>
        <w:numPr>
          <w:ilvl w:val="0"/>
          <w:numId w:val="10"/>
        </w:numPr>
        <w:rPr>
          <w:rFonts w:cstheme="minorHAnsi"/>
        </w:rPr>
      </w:pPr>
      <w:r w:rsidRPr="001C2EB3">
        <w:rPr>
          <w:rFonts w:cstheme="minorHAnsi"/>
        </w:rPr>
        <w:t>la date et le montant des versements effectués.</w:t>
      </w:r>
    </w:p>
    <w:p w14:paraId="2395D6B2" w14:textId="77777777" w:rsidR="001C2EB3" w:rsidRPr="001C2EB3" w:rsidRDefault="001C2EB3" w:rsidP="001C2EB3">
      <w:pPr>
        <w:rPr>
          <w:rFonts w:cstheme="minorHAnsi"/>
        </w:rPr>
      </w:pPr>
      <w:r w:rsidRPr="001C2EB3">
        <w:rPr>
          <w:rFonts w:cstheme="minorHAnsi"/>
        </w:rPr>
        <w:t>Elle doit également attester dans le même document qu’elle-même remplit toutes les conditions requises dans le cadre de cette réduction d’impôt.</w:t>
      </w:r>
    </w:p>
    <w:p w14:paraId="465A3AC3" w14:textId="2FAF25F6" w:rsidR="001C2EB3" w:rsidRPr="001C2EB3" w:rsidRDefault="001C2EB3" w:rsidP="001C2EB3">
      <w:pPr>
        <w:pStyle w:val="Paragraphedeliste"/>
        <w:numPr>
          <w:ilvl w:val="0"/>
          <w:numId w:val="9"/>
        </w:numPr>
        <w:rPr>
          <w:rFonts w:cstheme="minorHAnsi"/>
        </w:rPr>
      </w:pPr>
      <w:r w:rsidRPr="001C2EB3">
        <w:rPr>
          <w:rFonts w:cstheme="minorHAnsi"/>
          <w:b/>
          <w:bCs/>
          <w:i/>
          <w:iCs/>
          <w:u w:val="single"/>
        </w:rPr>
        <w:t>Une déclaration</w:t>
      </w:r>
    </w:p>
    <w:p w14:paraId="0E8D2B5A" w14:textId="77777777" w:rsidR="001C2EB3" w:rsidRPr="001C2EB3" w:rsidRDefault="001C2EB3" w:rsidP="001C2EB3">
      <w:pPr>
        <w:rPr>
          <w:rFonts w:cstheme="minorHAnsi"/>
        </w:rPr>
      </w:pPr>
      <w:r w:rsidRPr="001C2EB3">
        <w:rPr>
          <w:rFonts w:cstheme="minorHAnsi"/>
        </w:rPr>
        <w:t>L’entreprise doit déclarer la réduction d’impôt dont elle peut bénéficier selon le format établi par l’administration, dans les mêmes délais que sa déclaration annuelle de résultats.</w:t>
      </w:r>
    </w:p>
    <w:p w14:paraId="4713E537" w14:textId="58C4CD5F" w:rsidR="00F16920" w:rsidRPr="00451FF7" w:rsidRDefault="001C2EB3" w:rsidP="001C2EB3">
      <w:pPr>
        <w:rPr>
          <w:rFonts w:cstheme="minorHAnsi"/>
        </w:rPr>
      </w:pPr>
      <w:r w:rsidRPr="001C2EB3">
        <w:rPr>
          <w:rFonts w:cstheme="minorHAnsi"/>
        </w:rPr>
        <w:t>Dans le cadre d’un groupe de sociétés, c’est à la société mère du groupe de déclarer les réductions d’impôt pour le compte des sociétés du groupe, y compris celles la concernant, lors du dépôt de la déclaration relative au résultat d’ensemble du groupe.</w:t>
      </w:r>
    </w:p>
    <w:p w14:paraId="614D573E" w14:textId="77777777" w:rsidR="00F16920" w:rsidRPr="005B73D2" w:rsidRDefault="00F16920" w:rsidP="00F16920">
      <w:pPr>
        <w:pStyle w:val="Titre4"/>
        <w:rPr>
          <w:rStyle w:val="txt"/>
        </w:rPr>
      </w:pPr>
      <w:r w:rsidRPr="004858FF">
        <w:rPr>
          <w:rStyle w:val="txt"/>
        </w:rPr>
        <w:t>POUR ALLER PLUS LOIN</w:t>
      </w:r>
    </w:p>
    <w:p w14:paraId="453ED31C" w14:textId="77777777" w:rsidR="00D855F5" w:rsidRDefault="00D855F5" w:rsidP="00D855F5">
      <w:r>
        <w:t>La réduction d’impôt pour souscription au capital de sociétés de presse est ouverte aux entreprises soumises à l’impôt sur les sociétés (IS) qui souscrivent en numéraire au capital de certaines sociétés de presse.</w:t>
      </w:r>
    </w:p>
    <w:p w14:paraId="1635C1A0" w14:textId="77777777" w:rsidR="00D855F5" w:rsidRDefault="00D855F5" w:rsidP="00D855F5">
      <w:r>
        <w:lastRenderedPageBreak/>
        <w:t>Quelles sociétés de presse. Ouvrent droit à l’avantage fiscal les versements réalisés entre le 1</w:t>
      </w:r>
      <w:r w:rsidRPr="00367AB1">
        <w:rPr>
          <w:vertAlign w:val="superscript"/>
        </w:rPr>
        <w:t xml:space="preserve">er </w:t>
      </w:r>
      <w:r>
        <w:t>janvier 2021 et le 31 décembre 2024 au profit de sociétés de presse qui éditent :</w:t>
      </w:r>
    </w:p>
    <w:p w14:paraId="2751D28C" w14:textId="2B7A49E2" w:rsidR="00D855F5" w:rsidRDefault="00D855F5" w:rsidP="00D54DDF">
      <w:pPr>
        <w:pStyle w:val="Paragraphedeliste"/>
        <w:numPr>
          <w:ilvl w:val="0"/>
          <w:numId w:val="11"/>
        </w:numPr>
      </w:pPr>
      <w:r>
        <w:t>une ou plusieurs publication</w:t>
      </w:r>
      <w:r w:rsidR="00650F95">
        <w:t>(</w:t>
      </w:r>
      <w:r>
        <w:t>s</w:t>
      </w:r>
      <w:r w:rsidR="00650F95">
        <w:t>)</w:t>
      </w:r>
      <w:r>
        <w:t xml:space="preserve"> de presse d’information politique et générale ;</w:t>
      </w:r>
    </w:p>
    <w:p w14:paraId="0906F9EA" w14:textId="27D67EBE" w:rsidR="00D855F5" w:rsidRDefault="00D855F5" w:rsidP="00D54DDF">
      <w:pPr>
        <w:pStyle w:val="Paragraphedeliste"/>
        <w:numPr>
          <w:ilvl w:val="0"/>
          <w:numId w:val="11"/>
        </w:numPr>
      </w:pPr>
      <w:r>
        <w:t>un ou plusieurs service</w:t>
      </w:r>
      <w:r w:rsidR="00650F95">
        <w:t>(</w:t>
      </w:r>
      <w:r>
        <w:t>s</w:t>
      </w:r>
      <w:r w:rsidR="00650F95">
        <w:t>)</w:t>
      </w:r>
      <w:r>
        <w:t xml:space="preserve"> de presse en ligne d’information politique et générale reconnu</w:t>
      </w:r>
      <w:r w:rsidR="00650F95">
        <w:t>(</w:t>
      </w:r>
      <w:r>
        <w:t>s</w:t>
      </w:r>
      <w:r w:rsidR="00650F95">
        <w:t>)</w:t>
      </w:r>
      <w:r>
        <w:t xml:space="preserve"> ;</w:t>
      </w:r>
    </w:p>
    <w:p w14:paraId="6BAE2A32" w14:textId="3C2E119A" w:rsidR="00D855F5" w:rsidRDefault="00D855F5" w:rsidP="00D54DDF">
      <w:pPr>
        <w:pStyle w:val="Paragraphedeliste"/>
        <w:numPr>
          <w:ilvl w:val="0"/>
          <w:numId w:val="11"/>
        </w:numPr>
      </w:pPr>
      <w:r>
        <w:t>une ou plusieurs publication</w:t>
      </w:r>
      <w:r w:rsidR="00650F95">
        <w:t>(</w:t>
      </w:r>
      <w:r>
        <w:t>s</w:t>
      </w:r>
      <w:r w:rsidR="00650F95">
        <w:t>)</w:t>
      </w:r>
      <w:r>
        <w:t xml:space="preserve"> de presse ou services de presse en ligne consacrés pour une large part à l’information politique et générale.</w:t>
      </w:r>
    </w:p>
    <w:p w14:paraId="1395B61B" w14:textId="504BCF1E" w:rsidR="00D855F5" w:rsidRDefault="00D855F5" w:rsidP="00D855F5">
      <w:r>
        <w:t>La réduction d’impôt est égale à 25 % du montant des sommes versées.</w:t>
      </w:r>
    </w:p>
    <w:p w14:paraId="1DE71167" w14:textId="77777777" w:rsidR="00D855F5" w:rsidRDefault="00D855F5" w:rsidP="00D855F5">
      <w:r>
        <w:t>Cette réduction d’impôt est soumise au plafonnement applicable en matière de réglementation européenne sur les aides de minimis qui prévoit que le total des avantages fiscaux dont peut bénéficier une entreprise est limité à 200 000 € sur une période glissante de 3 ans.</w:t>
      </w:r>
    </w:p>
    <w:p w14:paraId="44935597" w14:textId="5BBE737B" w:rsidR="00D855F5" w:rsidRDefault="00D855F5" w:rsidP="00D855F5">
      <w:r>
        <w:t>L’entreprise qui investit doit conserver pendant 5 ans les titres ayant ouvert droit au bénéfice de l’avantage fiscal remis en contrepartie de sa souscription.</w:t>
      </w:r>
    </w:p>
    <w:p w14:paraId="63474C08" w14:textId="346115F8" w:rsidR="00D855F5" w:rsidRDefault="00D855F5" w:rsidP="00D855F5">
      <w:r>
        <w:t xml:space="preserve">De plus, il ne doit exister aucun lien de dépendance entre l’entreprise souscriptrice et la société de presse bénéficiaire de l’investissement. </w:t>
      </w:r>
    </w:p>
    <w:p w14:paraId="24E4F3C7" w14:textId="57D4BC6C" w:rsidR="00F16920" w:rsidRDefault="00D855F5" w:rsidP="00D855F5">
      <w:r>
        <w:t>La réduction d’impôt est réservée aux entreprises qui ne sont pas elles-mêmes bénéficiaires de souscriptions ayant ouvert droit, pour les investisseurs concernés, à ce même avantage fiscal.</w:t>
      </w:r>
    </w:p>
    <w:p w14:paraId="44194186" w14:textId="77777777" w:rsidR="00133B46" w:rsidRDefault="00133B46" w:rsidP="00133B46">
      <w:r>
        <w:t>L’entreprise doit déclarer la réduction d’impôt dont elle peut bénéficier selon le format établi par l’administration, dans les mêmes délais que sa déclaration annuelle de résultats.</w:t>
      </w:r>
    </w:p>
    <w:p w14:paraId="17F39CE8" w14:textId="77777777" w:rsidR="00133B46" w:rsidRDefault="00133B46" w:rsidP="00133B46">
      <w:r>
        <w:t>Dans le cadre d’un groupe de sociétés, c’est à la société mère du groupe de déclarer les réductions d’impôt pour le compte des sociétés du groupe, y compris celles la concernant, lors du dépôt de la déclaration relative au résultat d’ensemble du groupe.</w:t>
      </w:r>
    </w:p>
    <w:p w14:paraId="77D720FB" w14:textId="14A205B4" w:rsidR="00133B46" w:rsidRDefault="00133B46" w:rsidP="00133B46">
      <w:r>
        <w:t>La réduction d’impôt s’impute sur l’IS dû par l’entreprise au titre de l’exercice au cours duquel la ou les souscription</w:t>
      </w:r>
      <w:r w:rsidR="00650F95">
        <w:t>(</w:t>
      </w:r>
      <w:r>
        <w:t>s</w:t>
      </w:r>
      <w:r w:rsidR="00650F95">
        <w:t>) a/</w:t>
      </w:r>
      <w:r>
        <w:t>ont été effectué</w:t>
      </w:r>
      <w:r w:rsidR="006E1DF3">
        <w:t>(</w:t>
      </w:r>
      <w:r>
        <w:t>e</w:t>
      </w:r>
      <w:r w:rsidR="006E1DF3">
        <w:t>)</w:t>
      </w:r>
      <w:r>
        <w:t>s.</w:t>
      </w:r>
    </w:p>
    <w:p w14:paraId="174D53F4" w14:textId="5D213DAE" w:rsidR="00D855F5" w:rsidRDefault="00133B46" w:rsidP="00133B46">
      <w:r>
        <w:t>Si le montant de la réduction d’impôt excède le montant de l’IS effectivement dû, le solde non imputé n’est ni restituable, ni reportable.</w:t>
      </w:r>
    </w:p>
    <w:p w14:paraId="5424C9AC" w14:textId="77777777" w:rsidR="00D855F5" w:rsidRDefault="00D855F5" w:rsidP="00D855F5"/>
    <w:p w14:paraId="1E1A0F80" w14:textId="29A4B5FC" w:rsidR="006F794A" w:rsidRPr="00BA1E49" w:rsidRDefault="00AB70DC" w:rsidP="006F794A">
      <w:pPr>
        <w:pStyle w:val="Titre3"/>
      </w:pPr>
      <w:bookmarkStart w:id="3" w:name="_Toc74651293"/>
      <w:r>
        <w:t>Amortissements et problème informatique</w:t>
      </w:r>
      <w:bookmarkEnd w:id="3"/>
    </w:p>
    <w:p w14:paraId="463C3860" w14:textId="6BE369B5" w:rsidR="006F794A" w:rsidRDefault="006F794A" w:rsidP="006F794A">
      <w:pPr>
        <w:rPr>
          <w:rFonts w:cstheme="minorHAnsi"/>
        </w:rPr>
      </w:pPr>
      <w:r w:rsidRPr="00E45B66">
        <w:rPr>
          <w:rFonts w:cstheme="minorHAnsi"/>
          <w:b/>
          <w:color w:val="0070C0"/>
        </w:rPr>
        <w:t>Slide</w:t>
      </w:r>
      <w:r>
        <w:rPr>
          <w:rFonts w:cstheme="minorHAnsi"/>
          <w:b/>
          <w:color w:val="0070C0"/>
        </w:rPr>
        <w:t xml:space="preserve">s </w:t>
      </w:r>
      <w:r w:rsidR="00DA3827">
        <w:rPr>
          <w:rFonts w:cstheme="minorHAnsi"/>
          <w:b/>
          <w:color w:val="0070C0"/>
        </w:rPr>
        <w:t>5 et 6</w:t>
      </w:r>
    </w:p>
    <w:p w14:paraId="5FD77632" w14:textId="716D59F2" w:rsidR="006F794A" w:rsidRPr="00C632A6" w:rsidRDefault="006F794A" w:rsidP="006F794A">
      <w:pPr>
        <w:rPr>
          <w:rFonts w:cstheme="minorHAnsi"/>
        </w:rPr>
      </w:pPr>
      <w:r w:rsidRPr="00451FF7">
        <w:rPr>
          <w:rFonts w:cstheme="minorHAnsi"/>
        </w:rPr>
        <w:t>Source </w:t>
      </w:r>
      <w:r w:rsidRPr="002545F5">
        <w:rPr>
          <w:rFonts w:cstheme="minorHAnsi"/>
        </w:rPr>
        <w:t xml:space="preserve">: </w:t>
      </w:r>
      <w:r w:rsidR="00C632A6" w:rsidRPr="00C632A6">
        <w:rPr>
          <w:rFonts w:cstheme="minorHAnsi"/>
        </w:rPr>
        <w:t>Arrêt de la Cour administrative d’appel de Nantes du 15 avril 2021, n°19NT04977</w:t>
      </w:r>
    </w:p>
    <w:p w14:paraId="67DE4E81" w14:textId="77777777" w:rsidR="006F794A" w:rsidRPr="005B73D2" w:rsidRDefault="006F794A" w:rsidP="006F794A">
      <w:pPr>
        <w:pStyle w:val="Titre4"/>
        <w:rPr>
          <w:rStyle w:val="txt"/>
        </w:rPr>
      </w:pPr>
      <w:r w:rsidRPr="004858FF">
        <w:rPr>
          <w:rStyle w:val="txt"/>
        </w:rPr>
        <w:t>ce qu’il faut savoir…</w:t>
      </w:r>
    </w:p>
    <w:p w14:paraId="2F3C9D92" w14:textId="77777777" w:rsidR="00F85019" w:rsidRPr="00F85019" w:rsidRDefault="00F85019" w:rsidP="00F85019">
      <w:pPr>
        <w:rPr>
          <w:rFonts w:cstheme="minorHAnsi"/>
        </w:rPr>
      </w:pPr>
      <w:r w:rsidRPr="00F85019">
        <w:rPr>
          <w:rFonts w:cstheme="minorHAnsi"/>
        </w:rPr>
        <w:t>Une société investit dans des équipements et, pour déduire cet investissement, constate normalement des amortissements qu’elle porte en déduction dans sa déclaration de résultat qu’elle envoie à l’administration. Sauf que son logiciel comptable a dysfonctionné : les amortissements n’ont pas été comptabilisés…</w:t>
      </w:r>
    </w:p>
    <w:p w14:paraId="4375B38B" w14:textId="77777777" w:rsidR="00F85019" w:rsidRPr="00F85019" w:rsidRDefault="00F85019" w:rsidP="00F85019">
      <w:pPr>
        <w:rPr>
          <w:rFonts w:cstheme="minorHAnsi"/>
        </w:rPr>
      </w:pPr>
      <w:r w:rsidRPr="00F85019">
        <w:rPr>
          <w:rFonts w:cstheme="minorHAnsi"/>
        </w:rPr>
        <w:t xml:space="preserve">Qu’à cela ne tienne, réagit-elle : elle rectifie le problème, corrige l’erreur et dépose une déclaration de résultat rectificative. Déclaration rectificative que l’administration refuse de prendre en compte : pour elle, seuls les amortissements réellement effectués par la société, c’est-à-dire ceux régulièrement comptabilisés avant </w:t>
      </w:r>
      <w:r w:rsidRPr="00F85019">
        <w:rPr>
          <w:rFonts w:cstheme="minorHAnsi"/>
        </w:rPr>
        <w:lastRenderedPageBreak/>
        <w:t>l’expiration du délai de déclaration des résultats, sont déductibles. Ce qui n’est pas le cas ici, selon l’administration…</w:t>
      </w:r>
    </w:p>
    <w:p w14:paraId="1CDBF2E9" w14:textId="1575BC9B" w:rsidR="006F794A" w:rsidRPr="00451FF7" w:rsidRDefault="00F85019" w:rsidP="00F85019">
      <w:pPr>
        <w:rPr>
          <w:rFonts w:cstheme="minorHAnsi"/>
        </w:rPr>
      </w:pPr>
      <w:r w:rsidRPr="00F85019">
        <w:rPr>
          <w:rFonts w:cstheme="minorHAnsi"/>
        </w:rPr>
        <w:t>… et selon le juge pour qui le dysfonctionnement du logiciel ne change rien à cette règle : les amortissements non comptabilisés du fait d’une erreur informatique ne sont pas « rattrapables »… et ne peuvent donc pas être déduits !</w:t>
      </w:r>
    </w:p>
    <w:p w14:paraId="260A2657" w14:textId="77777777" w:rsidR="006F794A" w:rsidRDefault="006F794A" w:rsidP="006F794A"/>
    <w:p w14:paraId="6E6D90D9" w14:textId="338FC463" w:rsidR="006F794A" w:rsidRPr="00BA1E49" w:rsidRDefault="00C431B6" w:rsidP="006F794A">
      <w:pPr>
        <w:pStyle w:val="Titre3"/>
      </w:pPr>
      <w:bookmarkStart w:id="4" w:name="_Toc74651294"/>
      <w:r>
        <w:t xml:space="preserve">Calcul de la pénalité pour défaut d’adhésion à un </w:t>
      </w:r>
      <w:r w:rsidR="00CF1CB5">
        <w:t>OGA</w:t>
      </w:r>
      <w:bookmarkEnd w:id="4"/>
    </w:p>
    <w:p w14:paraId="425E1B05" w14:textId="7E7ADF43" w:rsidR="006F794A" w:rsidRDefault="006F794A" w:rsidP="001F069C">
      <w:pPr>
        <w:spacing w:before="0" w:after="0"/>
        <w:rPr>
          <w:rFonts w:cstheme="minorHAnsi"/>
        </w:rPr>
      </w:pPr>
      <w:r w:rsidRPr="00E45B66">
        <w:rPr>
          <w:rFonts w:cstheme="minorHAnsi"/>
          <w:b/>
          <w:color w:val="0070C0"/>
        </w:rPr>
        <w:t>Slide</w:t>
      </w:r>
      <w:r>
        <w:rPr>
          <w:rFonts w:cstheme="minorHAnsi"/>
          <w:b/>
          <w:color w:val="0070C0"/>
        </w:rPr>
        <w:t xml:space="preserve"> </w:t>
      </w:r>
      <w:r w:rsidR="001F069C">
        <w:rPr>
          <w:rFonts w:cstheme="minorHAnsi"/>
          <w:b/>
          <w:color w:val="0070C0"/>
        </w:rPr>
        <w:t>7</w:t>
      </w:r>
    </w:p>
    <w:p w14:paraId="2C825F05" w14:textId="0E7F18DC" w:rsidR="006F794A" w:rsidRPr="008E3DBD" w:rsidRDefault="006F794A" w:rsidP="006F794A">
      <w:pPr>
        <w:rPr>
          <w:rFonts w:cstheme="minorHAnsi"/>
        </w:rPr>
      </w:pPr>
      <w:r w:rsidRPr="00451FF7">
        <w:rPr>
          <w:rFonts w:cstheme="minorHAnsi"/>
        </w:rPr>
        <w:t>Source </w:t>
      </w:r>
      <w:r w:rsidRPr="002545F5">
        <w:rPr>
          <w:rFonts w:cstheme="minorHAnsi"/>
        </w:rPr>
        <w:t xml:space="preserve">: </w:t>
      </w:r>
      <w:r w:rsidR="008E3DBD" w:rsidRPr="008E3DBD">
        <w:rPr>
          <w:rFonts w:cstheme="minorHAnsi"/>
        </w:rPr>
        <w:t>Arrêt de la Cour administrative d’appel de Paris du 20 avril 2021, n°19PA04072</w:t>
      </w:r>
    </w:p>
    <w:p w14:paraId="2083FD56" w14:textId="77777777" w:rsidR="006F794A" w:rsidRPr="005B73D2" w:rsidRDefault="006F794A" w:rsidP="006F794A">
      <w:pPr>
        <w:pStyle w:val="Titre4"/>
        <w:rPr>
          <w:rStyle w:val="txt"/>
        </w:rPr>
      </w:pPr>
      <w:r w:rsidRPr="004858FF">
        <w:rPr>
          <w:rStyle w:val="txt"/>
        </w:rPr>
        <w:t>ce qu’il faut savoir…</w:t>
      </w:r>
    </w:p>
    <w:p w14:paraId="7468CA19" w14:textId="77777777" w:rsidR="00916C0D" w:rsidRPr="00916C0D" w:rsidRDefault="00916C0D" w:rsidP="00916C0D">
      <w:pPr>
        <w:rPr>
          <w:rFonts w:cstheme="minorHAnsi"/>
        </w:rPr>
      </w:pPr>
      <w:r w:rsidRPr="00916C0D">
        <w:rPr>
          <w:rFonts w:cstheme="minorHAnsi"/>
        </w:rPr>
        <w:t>Pour rappel, les entreprises relevant de l’impôt sur le revenu, et soumises à un régime réel d’imposition (régime simplifié ou normal pour les commerçants, artisans, industriels, et régime de la déclaration contrôlée pour les professions libérales), qui n’adhèrent pas à un organisme de gestion agréé (OGA) ou qui ne font pas appel à un expert-comptable pour l’établissement de leur résultat fiscal sont pénalisées.</w:t>
      </w:r>
    </w:p>
    <w:p w14:paraId="731E03E9" w14:textId="77777777" w:rsidR="00916C0D" w:rsidRPr="00916C0D" w:rsidRDefault="00916C0D" w:rsidP="00916C0D">
      <w:pPr>
        <w:rPr>
          <w:rFonts w:cstheme="minorHAnsi"/>
        </w:rPr>
      </w:pPr>
      <w:r w:rsidRPr="00916C0D">
        <w:rPr>
          <w:rFonts w:cstheme="minorHAnsi"/>
        </w:rPr>
        <w:t xml:space="preserve">Initialement, leur base d’imposition était majorée de 25 % (application d’un coefficient de 1,25). </w:t>
      </w:r>
    </w:p>
    <w:p w14:paraId="6188F1F6" w14:textId="77777777" w:rsidR="00916C0D" w:rsidRPr="00916C0D" w:rsidRDefault="00916C0D" w:rsidP="00916C0D">
      <w:pPr>
        <w:rPr>
          <w:rFonts w:cstheme="minorHAnsi"/>
        </w:rPr>
      </w:pPr>
      <w:r w:rsidRPr="00916C0D">
        <w:rPr>
          <w:rFonts w:cstheme="minorHAnsi"/>
        </w:rPr>
        <w:t>Toutefois, cette majoration va être progressivement supprimée. Il est donc prévu que le coefficient appliqué au résultat fiscal pour déterminer le montant imposable soit fixé à :</w:t>
      </w:r>
    </w:p>
    <w:p w14:paraId="5DB74EFF" w14:textId="2CC6A72D" w:rsidR="00916C0D" w:rsidRPr="00916C0D" w:rsidRDefault="00916C0D" w:rsidP="00AA66AF">
      <w:pPr>
        <w:pStyle w:val="Paragraphedeliste"/>
        <w:numPr>
          <w:ilvl w:val="0"/>
          <w:numId w:val="78"/>
        </w:numPr>
        <w:rPr>
          <w:rFonts w:cstheme="minorHAnsi"/>
        </w:rPr>
      </w:pPr>
      <w:r w:rsidRPr="00916C0D">
        <w:rPr>
          <w:rFonts w:cstheme="minorHAnsi"/>
        </w:rPr>
        <w:t>1,2 pour l’imposition du résultat 2020,</w:t>
      </w:r>
    </w:p>
    <w:p w14:paraId="5C5E644D" w14:textId="3F0A1388" w:rsidR="00916C0D" w:rsidRPr="00916C0D" w:rsidRDefault="00916C0D" w:rsidP="00AA66AF">
      <w:pPr>
        <w:pStyle w:val="Paragraphedeliste"/>
        <w:numPr>
          <w:ilvl w:val="0"/>
          <w:numId w:val="78"/>
        </w:numPr>
        <w:rPr>
          <w:rFonts w:cstheme="minorHAnsi"/>
        </w:rPr>
      </w:pPr>
      <w:r w:rsidRPr="00916C0D">
        <w:rPr>
          <w:rFonts w:cstheme="minorHAnsi"/>
        </w:rPr>
        <w:t>1,15 pour l’imposition du résultat 2021,</w:t>
      </w:r>
    </w:p>
    <w:p w14:paraId="2C3ACBBE" w14:textId="7F08F181" w:rsidR="00916C0D" w:rsidRPr="00916C0D" w:rsidRDefault="00916C0D" w:rsidP="00AA66AF">
      <w:pPr>
        <w:pStyle w:val="Paragraphedeliste"/>
        <w:numPr>
          <w:ilvl w:val="0"/>
          <w:numId w:val="78"/>
        </w:numPr>
        <w:rPr>
          <w:rFonts w:cstheme="minorHAnsi"/>
        </w:rPr>
      </w:pPr>
      <w:r w:rsidRPr="00916C0D">
        <w:rPr>
          <w:rFonts w:cstheme="minorHAnsi"/>
        </w:rPr>
        <w:t>1,1 pour l’imposition du résultat 2022,</w:t>
      </w:r>
    </w:p>
    <w:p w14:paraId="66A715D5" w14:textId="6B9D6998" w:rsidR="00916C0D" w:rsidRPr="00916C0D" w:rsidRDefault="00916C0D" w:rsidP="00AA66AF">
      <w:pPr>
        <w:pStyle w:val="Paragraphedeliste"/>
        <w:numPr>
          <w:ilvl w:val="0"/>
          <w:numId w:val="78"/>
        </w:numPr>
        <w:rPr>
          <w:rFonts w:cstheme="minorHAnsi"/>
        </w:rPr>
      </w:pPr>
      <w:r w:rsidRPr="00916C0D">
        <w:rPr>
          <w:rFonts w:cstheme="minorHAnsi"/>
        </w:rPr>
        <w:t>1 pour l’imposition du résultat 2023.</w:t>
      </w:r>
    </w:p>
    <w:p w14:paraId="32FD761B" w14:textId="77777777" w:rsidR="00916C0D" w:rsidRPr="00916C0D" w:rsidRDefault="00916C0D" w:rsidP="00916C0D">
      <w:pPr>
        <w:rPr>
          <w:rFonts w:cstheme="minorHAnsi"/>
        </w:rPr>
      </w:pPr>
      <w:r w:rsidRPr="00916C0D">
        <w:rPr>
          <w:rFonts w:cstheme="minorHAnsi"/>
        </w:rPr>
        <w:t>Dans le cadre d’un litige opposant une entreprise à l’administration fiscale sur le calcul de cette majoration, le juge de l’impôt vient de rappeler qu’elle s’applique au montant du revenu catégoriel de l’année d’imposition résultant de l’activité qui ne relève pas d’un OGA.</w:t>
      </w:r>
    </w:p>
    <w:p w14:paraId="01162E7D" w14:textId="40A8A899" w:rsidR="006F794A" w:rsidRPr="00451FF7" w:rsidRDefault="00916C0D" w:rsidP="00916C0D">
      <w:pPr>
        <w:rPr>
          <w:rFonts w:cstheme="minorHAnsi"/>
        </w:rPr>
      </w:pPr>
      <w:r w:rsidRPr="00916C0D">
        <w:rPr>
          <w:rFonts w:cstheme="minorHAnsi"/>
        </w:rPr>
        <w:t>Elle ne s’applique donc pas au bénéfice déterminé après imputation des déficits catégoriels reportables des années antérieures, dès lors que ces déficits peuvent provenir d’activités non professionnelles différentes ou d’activités relevant d’un OGA.</w:t>
      </w:r>
    </w:p>
    <w:p w14:paraId="6B5EDC78" w14:textId="77777777" w:rsidR="006F794A" w:rsidRDefault="006F794A" w:rsidP="006F794A"/>
    <w:p w14:paraId="100C5EC0" w14:textId="7218817C" w:rsidR="00C431B6" w:rsidRPr="00BA1E49" w:rsidRDefault="00687E6B" w:rsidP="00C431B6">
      <w:pPr>
        <w:pStyle w:val="Titre3"/>
      </w:pPr>
      <w:bookmarkStart w:id="5" w:name="_Toc74651295"/>
      <w:r>
        <w:t>Crédit d’impôt recherche et intérêts moratoires</w:t>
      </w:r>
      <w:bookmarkEnd w:id="5"/>
    </w:p>
    <w:p w14:paraId="01600168" w14:textId="34F10AEF" w:rsidR="00C431B6" w:rsidRDefault="00C431B6" w:rsidP="00C431B6">
      <w:pPr>
        <w:rPr>
          <w:rFonts w:cstheme="minorHAnsi"/>
        </w:rPr>
      </w:pPr>
      <w:r w:rsidRPr="00E45B66">
        <w:rPr>
          <w:rFonts w:cstheme="minorHAnsi"/>
          <w:b/>
          <w:color w:val="0070C0"/>
        </w:rPr>
        <w:t>Slide</w:t>
      </w:r>
      <w:r>
        <w:rPr>
          <w:rFonts w:cstheme="minorHAnsi"/>
          <w:b/>
          <w:color w:val="0070C0"/>
        </w:rPr>
        <w:t xml:space="preserve">s </w:t>
      </w:r>
      <w:r w:rsidR="001F069C">
        <w:rPr>
          <w:rFonts w:cstheme="minorHAnsi"/>
          <w:b/>
          <w:color w:val="0070C0"/>
        </w:rPr>
        <w:t>8 et 9</w:t>
      </w:r>
    </w:p>
    <w:p w14:paraId="5A2EB0B6" w14:textId="3105DCD1" w:rsidR="00C431B6" w:rsidRPr="004C6AEB" w:rsidRDefault="00C431B6" w:rsidP="00C431B6">
      <w:pPr>
        <w:rPr>
          <w:rFonts w:cstheme="minorHAnsi"/>
        </w:rPr>
      </w:pPr>
      <w:r w:rsidRPr="00451FF7">
        <w:rPr>
          <w:rFonts w:cstheme="minorHAnsi"/>
        </w:rPr>
        <w:t>Source </w:t>
      </w:r>
      <w:r w:rsidRPr="002545F5">
        <w:rPr>
          <w:rFonts w:cstheme="minorHAnsi"/>
        </w:rPr>
        <w:t xml:space="preserve">: </w:t>
      </w:r>
      <w:r w:rsidR="004C6AEB" w:rsidRPr="004C6AEB">
        <w:rPr>
          <w:rFonts w:cstheme="minorHAnsi"/>
        </w:rPr>
        <w:t>Arrêt du Conseil d’Etat du 11 mai 2021, n°442936</w:t>
      </w:r>
    </w:p>
    <w:p w14:paraId="4C3E1533" w14:textId="77777777" w:rsidR="00C431B6" w:rsidRPr="005B73D2" w:rsidRDefault="00C431B6" w:rsidP="00C431B6">
      <w:pPr>
        <w:pStyle w:val="Titre4"/>
        <w:rPr>
          <w:rStyle w:val="txt"/>
        </w:rPr>
      </w:pPr>
      <w:r w:rsidRPr="004858FF">
        <w:rPr>
          <w:rStyle w:val="txt"/>
        </w:rPr>
        <w:t>ce qu’il faut savoir…</w:t>
      </w:r>
    </w:p>
    <w:p w14:paraId="2C137579" w14:textId="77777777" w:rsidR="003C3FA3" w:rsidRPr="003C3FA3" w:rsidRDefault="003C3FA3" w:rsidP="003C3FA3">
      <w:pPr>
        <w:rPr>
          <w:rFonts w:cstheme="minorHAnsi"/>
        </w:rPr>
      </w:pPr>
      <w:r w:rsidRPr="003C3FA3">
        <w:rPr>
          <w:rFonts w:cstheme="minorHAnsi"/>
        </w:rPr>
        <w:t>Après avoir réclamé à l’administration fiscale, à 3 reprises, le paiement d’une créance de crédit d’impôt recherche, une entreprise obtient finalement gain de cause… près de 4 ans plus tard ! Bien trop tard, conteste l’entreprise qui réclame des intérêts moratoires pour le temps perdu…</w:t>
      </w:r>
    </w:p>
    <w:p w14:paraId="018E748F" w14:textId="2563853C" w:rsidR="003C3FA3" w:rsidRPr="003C3FA3" w:rsidRDefault="003C3FA3" w:rsidP="003C3FA3">
      <w:pPr>
        <w:rPr>
          <w:rFonts w:cstheme="minorHAnsi"/>
        </w:rPr>
      </w:pPr>
      <w:r w:rsidRPr="003C3FA3">
        <w:rPr>
          <w:rFonts w:cstheme="minorHAnsi"/>
        </w:rPr>
        <w:lastRenderedPageBreak/>
        <w:t>Selon elle, le délai de réponse de l’administration est inacceptable et justifie ces intérêts moratoires… que l’administration refuse de payer puisqu’elle a bien donné suite à la réclamation : tout juste consent-elle à indemniser l’entreprise pour compenser le retard du remboursement. Sauf que l’administration a gardé le silence pendant plus de 6 mois après la 1</w:t>
      </w:r>
      <w:r w:rsidR="00250FAF" w:rsidRPr="00C751FC">
        <w:rPr>
          <w:rFonts w:cstheme="minorHAnsi"/>
          <w:vertAlign w:val="superscript"/>
        </w:rPr>
        <w:t>ère</w:t>
      </w:r>
      <w:r w:rsidRPr="003C3FA3">
        <w:rPr>
          <w:rFonts w:cstheme="minorHAnsi"/>
        </w:rPr>
        <w:t xml:space="preserve"> réclamation, maintient l’entreprise, ce qui pouvait légitimement lui laisser croire que sa demande était rejetée…</w:t>
      </w:r>
    </w:p>
    <w:p w14:paraId="5C62E995" w14:textId="511A3E02" w:rsidR="00C431B6" w:rsidRPr="00451FF7" w:rsidRDefault="003C3FA3" w:rsidP="003C3FA3">
      <w:pPr>
        <w:rPr>
          <w:rFonts w:cstheme="minorHAnsi"/>
        </w:rPr>
      </w:pPr>
      <w:r w:rsidRPr="003C3FA3">
        <w:rPr>
          <w:rFonts w:cstheme="minorHAnsi"/>
        </w:rPr>
        <w:t>A raison, confirme le juge : parce qu’elle a finalement, plusieurs années après ce rejet, changé d’avis et remboursé les sommes réclamées, il condamne l’administration à verser des intérêts moratoires pour les 4 années d’attente !</w:t>
      </w:r>
    </w:p>
    <w:p w14:paraId="59A7E194" w14:textId="77777777" w:rsidR="00C431B6" w:rsidRPr="005B73D2" w:rsidRDefault="00C431B6" w:rsidP="00C431B6">
      <w:pPr>
        <w:pStyle w:val="Titre4"/>
        <w:rPr>
          <w:rStyle w:val="txt"/>
        </w:rPr>
      </w:pPr>
      <w:r w:rsidRPr="004858FF">
        <w:rPr>
          <w:rStyle w:val="txt"/>
        </w:rPr>
        <w:t>POUR ALLER PLUS LOIN</w:t>
      </w:r>
    </w:p>
    <w:p w14:paraId="4955CBFE" w14:textId="58319568" w:rsidR="00D43DC3" w:rsidRDefault="00630624" w:rsidP="00C431B6">
      <w:r w:rsidRPr="00630624">
        <w:t>Par principe, ce crédit d’impôt s’impute sur le montant de l’impôt dû par l’entreprise ; l’excédent éventuellement non imputé constitue une créance fiscale qui pourra servir au paiement de l’impôt dû au titre des 3 années suivantes (le reliquat non utilisé est alors remboursé). Mais vous pouvez obtenir le remboursement immédiat de cette créance, sans attendre le délai de 3 ans, si votre société, qui répond à la définition des PME, remplit les critères suivants : employer moins de 250 salariés, réaliser un chiffre d’affaires inférieur à 50 M€ (ou avoir un total de bilan inférieur à 43 M€).</w:t>
      </w:r>
    </w:p>
    <w:p w14:paraId="28D90EAF" w14:textId="77777777" w:rsidR="00647C15" w:rsidRDefault="00647C15" w:rsidP="00647C15">
      <w:r>
        <w:t>Cette demande de remboursement immédiat constitue une réclamation fiscale (elle ne peut pas faire l’objet d’une acceptation tacite de la part de l’administration à défaut de réponse dans les 3 mois). Ce qui entraîne 2 conséquences à connaître :</w:t>
      </w:r>
    </w:p>
    <w:p w14:paraId="2A150EE4" w14:textId="458C1681" w:rsidR="00647C15" w:rsidRDefault="00647C15" w:rsidP="00C6288B">
      <w:pPr>
        <w:pStyle w:val="Paragraphedeliste"/>
        <w:numPr>
          <w:ilvl w:val="0"/>
          <w:numId w:val="103"/>
        </w:numPr>
      </w:pPr>
      <w:r>
        <w:t>d’une part, elle peut demander des informations complémentaires pour instruire la demande de remboursement, ce qui implique, en substance, que le remboursement n’est pas automatique ;</w:t>
      </w:r>
    </w:p>
    <w:p w14:paraId="04E906F7" w14:textId="50376227" w:rsidR="00647C15" w:rsidRDefault="00647C15" w:rsidP="00C6288B">
      <w:pPr>
        <w:pStyle w:val="Paragraphedeliste"/>
        <w:numPr>
          <w:ilvl w:val="0"/>
          <w:numId w:val="103"/>
        </w:numPr>
      </w:pPr>
      <w:r>
        <w:t>d’autre part, si l’administration ne répond pas à votre demande dans les 6 mois, cette dernière est considérée comme rejetée ce qui vous autorise à saisir le juge de l’impôt (faites en sorte d’envoyer votre demande de remboursement en recommandé avec AR pour lui donner une date certaine et non contestable).</w:t>
      </w:r>
    </w:p>
    <w:p w14:paraId="7ABCE5CD" w14:textId="78421706" w:rsidR="00647C15" w:rsidRDefault="00647C15" w:rsidP="00647C15">
      <w:r>
        <w:t>Comme indiqué plus haut, l’administration est tenue d’assurer l’instruction des demandes de remboursement de CIR dans les 6 mois de la demande. Notez que toute décision de remboursement prise au-delà de ce délai donne lieu au versement d’intérêts légaux au profit de l’entreprise.</w:t>
      </w:r>
    </w:p>
    <w:p w14:paraId="3BC8F2E4" w14:textId="04CEB6F6" w:rsidR="00647C15" w:rsidRDefault="00647C15" w:rsidP="00647C15">
      <w:r>
        <w:t>Sachez que l’administration a mis en place un processus de sécurisation de la restitution des créances de CIR, non imputées sur l’impôt sur les bénéfices : dans ce cadre, elle envoie souvent des demandes de renseignement</w:t>
      </w:r>
      <w:r w:rsidR="00C75256">
        <w:t>s</w:t>
      </w:r>
      <w:r>
        <w:t xml:space="preserve"> avant de procéder au remboursement du crédit d’impôt non imputé.</w:t>
      </w:r>
    </w:p>
    <w:p w14:paraId="271AF3C4" w14:textId="60A68D47" w:rsidR="00647C15" w:rsidRDefault="00647C15" w:rsidP="00647C15">
      <w:r>
        <w:t>Pour l’obtention du crédit d’impôt, vous devez compléter une déclaration spéciale n°2069-A, à joindre à votre relevé de solde d’IS pour les sociétés soumises à cet impôt. Les entreprises relevant de l’IR doivent joindre cette déclaration spéciale à leur déclaration de résultat.</w:t>
      </w:r>
    </w:p>
    <w:p w14:paraId="50065F00" w14:textId="7086B641" w:rsidR="00647C15" w:rsidRDefault="00647C15" w:rsidP="00647C15">
      <w:r>
        <w:t>Depuis le 1</w:t>
      </w:r>
      <w:r w:rsidRPr="00C6288B">
        <w:rPr>
          <w:vertAlign w:val="superscript"/>
        </w:rPr>
        <w:t>er</w:t>
      </w:r>
      <w:r>
        <w:t xml:space="preserve"> janvier 2020, la déclaration de crédit d’impôt recherche n°2069-A et, le cas échéant, les déclarations annexes n°2069-A-1-SD et n° 2069-A-2-SD, doit/doivent être adressée(s) à l’administration par voie de télétransmission. </w:t>
      </w:r>
    </w:p>
    <w:p w14:paraId="60E0BF59" w14:textId="67E97857" w:rsidR="00FF3AF0" w:rsidRDefault="00647C15">
      <w:r>
        <w:t>Le non-respect de l’obligation de souscrire par voie électronique une déclaration et ses annexes est sanctionné par l’application d’une majoration de 0,2 % calculée sur le montant des droits dus.</w:t>
      </w:r>
      <w:r w:rsidR="00FF3AF0">
        <w:br w:type="page"/>
      </w:r>
    </w:p>
    <w:p w14:paraId="2919AB4D" w14:textId="77777777" w:rsidR="00FF3AF0" w:rsidRDefault="00FF3AF0" w:rsidP="00CB57AF">
      <w:pPr>
        <w:jc w:val="center"/>
      </w:pPr>
    </w:p>
    <w:p w14:paraId="58CD6703" w14:textId="77777777" w:rsidR="00FF3AF0" w:rsidRPr="00B36683" w:rsidRDefault="00FF3AF0" w:rsidP="00CB57AF">
      <w:pPr>
        <w:pStyle w:val="Titre2"/>
      </w:pPr>
      <w:bookmarkStart w:id="6" w:name="_Toc74651296"/>
      <w:r>
        <w:t>Ce qu’il faut savoir en matière de TVA et autres impôts et taxes</w:t>
      </w:r>
      <w:bookmarkEnd w:id="6"/>
    </w:p>
    <w:p w14:paraId="4443CC47" w14:textId="77777777" w:rsidR="008B0D27" w:rsidRDefault="008B0D27" w:rsidP="008B0D27"/>
    <w:p w14:paraId="2371F19D" w14:textId="0A822474" w:rsidR="000057F1" w:rsidRPr="00BA1E49" w:rsidRDefault="00D03EDB" w:rsidP="000057F1">
      <w:pPr>
        <w:pStyle w:val="Titre3"/>
      </w:pPr>
      <w:bookmarkStart w:id="7" w:name="_Toc74651297"/>
      <w:r>
        <w:t>Date limite de paiement de l’acompte de CFE</w:t>
      </w:r>
      <w:bookmarkEnd w:id="7"/>
    </w:p>
    <w:p w14:paraId="1C20290E" w14:textId="55EDB766" w:rsidR="000057F1" w:rsidRDefault="000057F1" w:rsidP="00564742">
      <w:pPr>
        <w:spacing w:before="0" w:after="0"/>
        <w:rPr>
          <w:rFonts w:cstheme="minorHAnsi"/>
        </w:rPr>
      </w:pPr>
      <w:r w:rsidRPr="00E45B66">
        <w:rPr>
          <w:rFonts w:cstheme="minorHAnsi"/>
          <w:b/>
          <w:color w:val="0070C0"/>
        </w:rPr>
        <w:t>Slide</w:t>
      </w:r>
      <w:r>
        <w:rPr>
          <w:rFonts w:cstheme="minorHAnsi"/>
          <w:b/>
          <w:color w:val="0070C0"/>
        </w:rPr>
        <w:t xml:space="preserve"> </w:t>
      </w:r>
      <w:r w:rsidR="00564742">
        <w:rPr>
          <w:rFonts w:cstheme="minorHAnsi"/>
          <w:b/>
          <w:color w:val="0070C0"/>
        </w:rPr>
        <w:t>10</w:t>
      </w:r>
    </w:p>
    <w:p w14:paraId="0E71DA6A" w14:textId="75A83C59" w:rsidR="000057F1" w:rsidRPr="00D03EDB" w:rsidRDefault="000057F1" w:rsidP="000057F1">
      <w:pPr>
        <w:rPr>
          <w:rFonts w:cstheme="minorHAnsi"/>
        </w:rPr>
      </w:pPr>
      <w:r w:rsidRPr="00451FF7">
        <w:rPr>
          <w:rFonts w:cstheme="minorHAnsi"/>
        </w:rPr>
        <w:t>Source </w:t>
      </w:r>
      <w:r w:rsidRPr="002545F5">
        <w:rPr>
          <w:rFonts w:cstheme="minorHAnsi"/>
        </w:rPr>
        <w:t xml:space="preserve">: </w:t>
      </w:r>
      <w:r w:rsidR="00D03EDB" w:rsidRPr="00D03EDB">
        <w:rPr>
          <w:rFonts w:cstheme="minorHAnsi"/>
        </w:rPr>
        <w:t>Communiqué de presse du Ministère de l’économie, des finances et de la relance du 27 mai 2021, n°1047</w:t>
      </w:r>
    </w:p>
    <w:p w14:paraId="40D4DE2A" w14:textId="77777777" w:rsidR="000057F1" w:rsidRPr="005B73D2" w:rsidRDefault="000057F1" w:rsidP="000057F1">
      <w:pPr>
        <w:pStyle w:val="Titre4"/>
        <w:rPr>
          <w:rStyle w:val="txt"/>
        </w:rPr>
      </w:pPr>
      <w:r w:rsidRPr="004858FF">
        <w:rPr>
          <w:rStyle w:val="txt"/>
        </w:rPr>
        <w:t>ce qu’il faut savoir…</w:t>
      </w:r>
    </w:p>
    <w:p w14:paraId="00CC04F0" w14:textId="77777777" w:rsidR="00D03EDB" w:rsidRPr="00D03EDB" w:rsidRDefault="00D03EDB" w:rsidP="00D03EDB">
      <w:pPr>
        <w:rPr>
          <w:rFonts w:cstheme="minorHAnsi"/>
        </w:rPr>
      </w:pPr>
      <w:r w:rsidRPr="00D03EDB">
        <w:rPr>
          <w:rFonts w:cstheme="minorHAnsi"/>
        </w:rPr>
        <w:t>Les avis d’acompte de cotisation foncière des entreprises (CFE) et/ou d’imposition forfaitaire sur les entreprises de réseaux (IFER) 2021 sont disponibles en ligne, dans votre espace professionnel sur le site Internet des impôts (impots.gouv.fr).</w:t>
      </w:r>
    </w:p>
    <w:p w14:paraId="2DE60CFB" w14:textId="77777777" w:rsidR="00D03EDB" w:rsidRPr="00D03EDB" w:rsidRDefault="00D03EDB" w:rsidP="00D03EDB">
      <w:pPr>
        <w:rPr>
          <w:rFonts w:cstheme="minorHAnsi"/>
        </w:rPr>
      </w:pPr>
      <w:r w:rsidRPr="00D03EDB">
        <w:rPr>
          <w:rFonts w:cstheme="minorHAnsi"/>
        </w:rPr>
        <w:t>Notez que la création d’un espace professionnel sur le site Internet des impôts est un préalable obligatoire pour consulter et payer l’avis de CFE.</w:t>
      </w:r>
    </w:p>
    <w:p w14:paraId="6D8CCFF3" w14:textId="77777777" w:rsidR="00D03EDB" w:rsidRPr="00D03EDB" w:rsidRDefault="00D03EDB" w:rsidP="00D03EDB">
      <w:pPr>
        <w:rPr>
          <w:rFonts w:cstheme="minorHAnsi"/>
        </w:rPr>
      </w:pPr>
      <w:r w:rsidRPr="00D03EDB">
        <w:rPr>
          <w:rFonts w:cstheme="minorHAnsi"/>
        </w:rPr>
        <w:t>Les entreprises concernées, c’est-à-dire celles dont la cotisation 2020 était de 3 000 € au minimum, devront régler le montant indiqué au plus tard le 15 juin 2021 à minuit.</w:t>
      </w:r>
    </w:p>
    <w:p w14:paraId="4E128FA8" w14:textId="77777777" w:rsidR="00D03EDB" w:rsidRPr="00D03EDB" w:rsidRDefault="00D03EDB" w:rsidP="00D03EDB">
      <w:pPr>
        <w:rPr>
          <w:rFonts w:cstheme="minorHAnsi"/>
        </w:rPr>
      </w:pPr>
      <w:r w:rsidRPr="00D03EDB">
        <w:rPr>
          <w:rFonts w:cstheme="minorHAnsi"/>
        </w:rPr>
        <w:t>Pour les professionnels déjà titulaires d’un contrat de prélèvement automatique pour le paiement de la CFE, les montants à payer seront automatiquement prélevés dans les jours suivant la date limite de paiement, sans autre démarche.</w:t>
      </w:r>
    </w:p>
    <w:p w14:paraId="391DF154" w14:textId="77777777" w:rsidR="00D03EDB" w:rsidRPr="00D03EDB" w:rsidRDefault="00D03EDB" w:rsidP="00D03EDB">
      <w:pPr>
        <w:rPr>
          <w:rFonts w:cstheme="minorHAnsi"/>
        </w:rPr>
      </w:pPr>
      <w:r w:rsidRPr="00D03EDB">
        <w:rPr>
          <w:rFonts w:cstheme="minorHAnsi"/>
        </w:rPr>
        <w:t>Pour les autres, plusieurs options de paiement existent :</w:t>
      </w:r>
    </w:p>
    <w:p w14:paraId="4CC0006D" w14:textId="32A05548" w:rsidR="00D03EDB" w:rsidRPr="003E1FA8" w:rsidRDefault="00D03EDB" w:rsidP="00EA763A">
      <w:pPr>
        <w:pStyle w:val="Paragraphedeliste"/>
        <w:numPr>
          <w:ilvl w:val="0"/>
          <w:numId w:val="165"/>
        </w:numPr>
        <w:rPr>
          <w:rFonts w:cstheme="minorHAnsi"/>
        </w:rPr>
      </w:pPr>
      <w:r w:rsidRPr="003E1FA8">
        <w:rPr>
          <w:rFonts w:cstheme="minorHAnsi"/>
        </w:rPr>
        <w:t>l’adhésion au prélèvement à l’échéance, au plus tard le 31 mai 2021 à minuit sur le site impots.gouv.fr ou en contactant le 0 809 401 401 (service gratuit + coût de l’appel) ;</w:t>
      </w:r>
    </w:p>
    <w:p w14:paraId="7CDD386D" w14:textId="4D09E4F5" w:rsidR="00D03EDB" w:rsidRPr="003E1FA8" w:rsidRDefault="00D03EDB" w:rsidP="00EA763A">
      <w:pPr>
        <w:pStyle w:val="Paragraphedeliste"/>
        <w:numPr>
          <w:ilvl w:val="0"/>
          <w:numId w:val="165"/>
        </w:numPr>
        <w:rPr>
          <w:rFonts w:cstheme="minorHAnsi"/>
        </w:rPr>
      </w:pPr>
      <w:r w:rsidRPr="003E1FA8">
        <w:rPr>
          <w:rFonts w:cstheme="minorHAnsi"/>
        </w:rPr>
        <w:t>l’adhésion au prélèvement mensuel, jusqu’au 15 juin 2021 à minuit, sur le site impots.gouv.fr ou en contactant le 0 809 401 401 (service gratuit + coût de l’appel) ;</w:t>
      </w:r>
    </w:p>
    <w:p w14:paraId="4DCA9DD7" w14:textId="12A38E0A" w:rsidR="00D03EDB" w:rsidRPr="003E1FA8" w:rsidRDefault="00D03EDB" w:rsidP="00EA763A">
      <w:pPr>
        <w:pStyle w:val="Paragraphedeliste"/>
        <w:numPr>
          <w:ilvl w:val="0"/>
          <w:numId w:val="165"/>
        </w:numPr>
        <w:rPr>
          <w:rFonts w:cstheme="minorHAnsi"/>
        </w:rPr>
      </w:pPr>
      <w:r w:rsidRPr="003E1FA8">
        <w:rPr>
          <w:rFonts w:cstheme="minorHAnsi"/>
        </w:rPr>
        <w:t>l’adhésion au paiement direct en ligne, au plus tard le 15 juin 2021 à minuit, en cliquant sur le bouton « Payer » situé au-dessus de l’avis d’imposition, et sous réserve, bien sûr, de l’enregistrement préalable du compte bancaire dans l’espace professionnel.</w:t>
      </w:r>
    </w:p>
    <w:p w14:paraId="71161ED7" w14:textId="77777777" w:rsidR="00D03EDB" w:rsidRPr="00D03EDB" w:rsidRDefault="00D03EDB" w:rsidP="00D03EDB">
      <w:pPr>
        <w:rPr>
          <w:rFonts w:cstheme="minorHAnsi"/>
        </w:rPr>
      </w:pPr>
      <w:r w:rsidRPr="00D03EDB">
        <w:rPr>
          <w:rFonts w:cstheme="minorHAnsi"/>
        </w:rPr>
        <w:t>A toutes fins utiles, notez que les locaux industriels bénéficient, dès 2021, d’une diminution de 50 % de leur base imposable à la CFE.</w:t>
      </w:r>
    </w:p>
    <w:p w14:paraId="78AA00DC" w14:textId="77777777" w:rsidR="00D03EDB" w:rsidRPr="00D03EDB" w:rsidRDefault="00D03EDB" w:rsidP="00D03EDB">
      <w:pPr>
        <w:rPr>
          <w:rFonts w:cstheme="minorHAnsi"/>
        </w:rPr>
      </w:pPr>
      <w:r w:rsidRPr="00D03EDB">
        <w:rPr>
          <w:rFonts w:cstheme="minorHAnsi"/>
        </w:rPr>
        <w:t>Les entreprises industrielles concernées peuvent donc moduler en conséquence le montant de leur acompte de CFE, l’administration fiscale tolérant exceptionnellement une marge d’erreur de 20 %.</w:t>
      </w:r>
    </w:p>
    <w:p w14:paraId="6CCE5FBC" w14:textId="09859F2F" w:rsidR="0075540E" w:rsidRPr="00DA3827" w:rsidRDefault="00D03EDB">
      <w:pPr>
        <w:rPr>
          <w:rFonts w:cstheme="minorHAnsi"/>
        </w:rPr>
      </w:pPr>
      <w:r w:rsidRPr="00D03EDB">
        <w:rPr>
          <w:rFonts w:cstheme="minorHAnsi"/>
        </w:rPr>
        <w:t>Pour celles qui ont choisi d’adhérer au prélèvement à l’échéance, cette modulation devra intervenir avant le 31 mai 2021.</w:t>
      </w:r>
      <w:r w:rsidR="0075540E">
        <w:rPr>
          <w:rFonts w:eastAsia="Times New Roman" w:cstheme="minorHAnsi"/>
          <w:lang w:eastAsia="fr-FR"/>
        </w:rPr>
        <w:br w:type="page"/>
      </w:r>
    </w:p>
    <w:p w14:paraId="01ADA310" w14:textId="77777777" w:rsidR="0075540E" w:rsidRDefault="0075540E" w:rsidP="00CB57AF">
      <w:pPr>
        <w:jc w:val="center"/>
        <w:rPr>
          <w:rFonts w:eastAsia="Times New Roman" w:cstheme="minorHAnsi"/>
          <w:lang w:eastAsia="fr-FR"/>
        </w:rPr>
      </w:pPr>
    </w:p>
    <w:p w14:paraId="389C2E5D" w14:textId="77777777" w:rsidR="0050590F" w:rsidRDefault="0050590F" w:rsidP="004001E1">
      <w:pPr>
        <w:pStyle w:val="Titre1"/>
      </w:pPr>
      <w:bookmarkStart w:id="8" w:name="_Toc512502291"/>
      <w:bookmarkStart w:id="9" w:name="_Toc74651298"/>
      <w:r>
        <w:t>ACTUALITES SOCIALES</w:t>
      </w:r>
      <w:bookmarkEnd w:id="8"/>
      <w:bookmarkEnd w:id="9"/>
    </w:p>
    <w:p w14:paraId="5AAB86AB" w14:textId="77777777" w:rsidR="0050590F" w:rsidRDefault="0050590F" w:rsidP="0050590F"/>
    <w:p w14:paraId="015A22A5" w14:textId="77777777" w:rsidR="0050590F" w:rsidRDefault="0050590F" w:rsidP="0050590F">
      <w:pPr>
        <w:jc w:val="center"/>
        <w:rPr>
          <w:b/>
          <w:color w:val="002060"/>
        </w:rPr>
      </w:pPr>
    </w:p>
    <w:p w14:paraId="79EFC338" w14:textId="77777777" w:rsidR="0050590F" w:rsidRDefault="0050590F" w:rsidP="0050590F">
      <w:pPr>
        <w:rPr>
          <w:b/>
          <w:color w:val="002060"/>
        </w:rPr>
      </w:pPr>
      <w:r>
        <w:rPr>
          <w:b/>
          <w:color w:val="002060"/>
        </w:rPr>
        <w:br w:type="page"/>
      </w:r>
    </w:p>
    <w:p w14:paraId="7E212CC8" w14:textId="77777777" w:rsidR="0050590F" w:rsidRDefault="0050590F" w:rsidP="0050590F">
      <w:pPr>
        <w:jc w:val="center"/>
        <w:rPr>
          <w:b/>
          <w:color w:val="002060"/>
        </w:rPr>
      </w:pPr>
    </w:p>
    <w:p w14:paraId="59C0008C" w14:textId="77777777" w:rsidR="0050590F" w:rsidRDefault="0050590F" w:rsidP="00CB57AF">
      <w:pPr>
        <w:pStyle w:val="Titre2"/>
      </w:pPr>
      <w:bookmarkStart w:id="10" w:name="_Toc74651299"/>
      <w:r>
        <w:t>Ce qu’il faut savoir en matière d’embauche</w:t>
      </w:r>
      <w:bookmarkEnd w:id="10"/>
    </w:p>
    <w:p w14:paraId="6084850A" w14:textId="77777777" w:rsidR="008B0D27" w:rsidRDefault="008B0D27" w:rsidP="008B0D27"/>
    <w:p w14:paraId="59AB0F58" w14:textId="043AC9DC" w:rsidR="003F4C2D" w:rsidRPr="00BA1E49" w:rsidRDefault="004831AD" w:rsidP="003F4C2D">
      <w:pPr>
        <w:pStyle w:val="Titre3"/>
      </w:pPr>
      <w:bookmarkStart w:id="11" w:name="_Toc74651300"/>
      <w:r>
        <w:t>Absence de prise de poste</w:t>
      </w:r>
      <w:bookmarkEnd w:id="11"/>
    </w:p>
    <w:p w14:paraId="36C2BB8F" w14:textId="6558D429" w:rsidR="003F4C2D" w:rsidRDefault="003F4C2D" w:rsidP="003F4C2D">
      <w:pPr>
        <w:rPr>
          <w:rFonts w:cstheme="minorHAnsi"/>
        </w:rPr>
      </w:pPr>
      <w:r w:rsidRPr="00E45B66">
        <w:rPr>
          <w:rFonts w:cstheme="minorHAnsi"/>
          <w:b/>
          <w:color w:val="0070C0"/>
        </w:rPr>
        <w:t>Slide</w:t>
      </w:r>
      <w:r>
        <w:rPr>
          <w:rFonts w:cstheme="minorHAnsi"/>
          <w:b/>
          <w:color w:val="0070C0"/>
        </w:rPr>
        <w:t xml:space="preserve">s </w:t>
      </w:r>
      <w:r w:rsidR="00564742">
        <w:rPr>
          <w:rFonts w:cstheme="minorHAnsi"/>
          <w:b/>
          <w:color w:val="0070C0"/>
        </w:rPr>
        <w:t>12 et 13</w:t>
      </w:r>
    </w:p>
    <w:p w14:paraId="5145A149" w14:textId="498A6660" w:rsidR="003F4C2D" w:rsidRPr="004831AD" w:rsidRDefault="004831AD" w:rsidP="003F4C2D">
      <w:pPr>
        <w:rPr>
          <w:rFonts w:cstheme="minorHAnsi"/>
        </w:rPr>
      </w:pPr>
      <w:r w:rsidRPr="00451FF7">
        <w:rPr>
          <w:rFonts w:cstheme="minorHAnsi"/>
        </w:rPr>
        <w:t>Source </w:t>
      </w:r>
      <w:r w:rsidRPr="002545F5">
        <w:rPr>
          <w:rFonts w:cstheme="minorHAnsi"/>
        </w:rPr>
        <w:t xml:space="preserve">: </w:t>
      </w:r>
      <w:r w:rsidR="001653C5" w:rsidRPr="001653C5">
        <w:rPr>
          <w:rFonts w:cstheme="minorHAnsi"/>
        </w:rPr>
        <w:t>Arrêt de la Cour d’Appel de Bordeaux du 10 février 2021, n° 1/00396</w:t>
      </w:r>
    </w:p>
    <w:p w14:paraId="77493CDE" w14:textId="77777777" w:rsidR="003F4C2D" w:rsidRPr="005B73D2" w:rsidRDefault="003F4C2D" w:rsidP="003F4C2D">
      <w:pPr>
        <w:pStyle w:val="Titre4"/>
        <w:rPr>
          <w:rStyle w:val="txt"/>
        </w:rPr>
      </w:pPr>
      <w:r w:rsidRPr="004858FF">
        <w:rPr>
          <w:rStyle w:val="txt"/>
        </w:rPr>
        <w:t>ce qu’il faut savoir…</w:t>
      </w:r>
    </w:p>
    <w:p w14:paraId="25345A7A" w14:textId="77777777" w:rsidR="00082F4E" w:rsidRPr="00082F4E" w:rsidRDefault="00082F4E" w:rsidP="00082F4E">
      <w:pPr>
        <w:rPr>
          <w:rFonts w:cstheme="minorHAnsi"/>
        </w:rPr>
      </w:pPr>
      <w:r w:rsidRPr="00082F4E">
        <w:rPr>
          <w:rFonts w:cstheme="minorHAnsi"/>
        </w:rPr>
        <w:t>Une entreprise valide l’embauche d’un nouveau salarié et un CDI est signé en décembre, le contrat prévoyant une prise de poste différée en février de l’année suivante. Mais le jour de la prise de poste, le salarié ne vient pas…</w:t>
      </w:r>
    </w:p>
    <w:p w14:paraId="647FC4DF" w14:textId="77777777" w:rsidR="00082F4E" w:rsidRPr="00082F4E" w:rsidRDefault="00082F4E" w:rsidP="00082F4E">
      <w:pPr>
        <w:rPr>
          <w:rFonts w:cstheme="minorHAnsi"/>
        </w:rPr>
      </w:pPr>
      <w:r w:rsidRPr="00082F4E">
        <w:rPr>
          <w:rFonts w:cstheme="minorHAnsi"/>
        </w:rPr>
        <w:t>Sans nouvelle du salarié, l’employeur le met alors en demeure de se présenter à son poste, mais il ne reçoit aucune réponse. Pour l’employeur, il s’agit d’une rupture abusive du contrat par le salarié : il lui réclame donc des dommages-intérêts… Que le salarié refuse de payer : selon lui, il peut mettre fin librement à son contrat de travail pendant la période d’essai. Encore faut-il qu’il ait commencé à travailler pour être considéré en période d’essai, rappelle l’employeur qui maintient que l'absence du salarié dès le premier jour constitue une rupture abusive du contrat de travail…</w:t>
      </w:r>
    </w:p>
    <w:p w14:paraId="627A1F30" w14:textId="14B094F4" w:rsidR="00082F4E" w:rsidRPr="00451FF7" w:rsidRDefault="00082F4E" w:rsidP="00082F4E">
      <w:pPr>
        <w:rPr>
          <w:rFonts w:cstheme="minorHAnsi"/>
        </w:rPr>
      </w:pPr>
      <w:r w:rsidRPr="00082F4E">
        <w:rPr>
          <w:rFonts w:cstheme="minorHAnsi"/>
        </w:rPr>
        <w:t>Ce que reconnaît le juge, pour qui, donnant ainsi raison à l’employeur, le salarié a effectivement rompu le contrat de travail sans motif légitime… et doit indemniser l’employeur !</w:t>
      </w:r>
    </w:p>
    <w:p w14:paraId="6A88D6E3" w14:textId="77777777" w:rsidR="003F4C2D" w:rsidRDefault="003F4C2D" w:rsidP="003F4C2D"/>
    <w:p w14:paraId="1EA8AE70" w14:textId="05D72484" w:rsidR="003F4C2D" w:rsidRPr="00BA1E49" w:rsidRDefault="001E56C9" w:rsidP="003F4C2D">
      <w:pPr>
        <w:pStyle w:val="Titre3"/>
      </w:pPr>
      <w:bookmarkStart w:id="12" w:name="_Toc74651301"/>
      <w:r>
        <w:t>CDD successifs et rémunération</w:t>
      </w:r>
      <w:bookmarkEnd w:id="12"/>
    </w:p>
    <w:p w14:paraId="465EF5A8" w14:textId="0B91D136" w:rsidR="003F4C2D" w:rsidRDefault="003F4C2D" w:rsidP="003F4C2D">
      <w:pPr>
        <w:rPr>
          <w:rFonts w:cstheme="minorHAnsi"/>
        </w:rPr>
      </w:pPr>
      <w:r w:rsidRPr="00E45B66">
        <w:rPr>
          <w:rFonts w:cstheme="minorHAnsi"/>
          <w:b/>
          <w:color w:val="0070C0"/>
        </w:rPr>
        <w:t>Slide</w:t>
      </w:r>
      <w:r>
        <w:rPr>
          <w:rFonts w:cstheme="minorHAnsi"/>
          <w:b/>
          <w:color w:val="0070C0"/>
        </w:rPr>
        <w:t xml:space="preserve">s </w:t>
      </w:r>
      <w:r w:rsidR="006D3AAB">
        <w:rPr>
          <w:rFonts w:cstheme="minorHAnsi"/>
          <w:b/>
          <w:color w:val="0070C0"/>
        </w:rPr>
        <w:t>14 et 15</w:t>
      </w:r>
    </w:p>
    <w:p w14:paraId="43AAE3AD" w14:textId="3A2B13E4" w:rsidR="003F4C2D" w:rsidRPr="00411D4F" w:rsidRDefault="003F4C2D" w:rsidP="003F4C2D">
      <w:pPr>
        <w:rPr>
          <w:rFonts w:cstheme="minorHAnsi"/>
        </w:rPr>
      </w:pPr>
      <w:r w:rsidRPr="00451FF7">
        <w:rPr>
          <w:rFonts w:cstheme="minorHAnsi"/>
        </w:rPr>
        <w:t>Source </w:t>
      </w:r>
      <w:r w:rsidRPr="002545F5">
        <w:rPr>
          <w:rFonts w:cstheme="minorHAnsi"/>
        </w:rPr>
        <w:t xml:space="preserve">: </w:t>
      </w:r>
      <w:r w:rsidR="00411D4F" w:rsidRPr="00411D4F">
        <w:rPr>
          <w:rFonts w:cstheme="minorHAnsi"/>
        </w:rPr>
        <w:t xml:space="preserve">Arrêt de la Cour de </w:t>
      </w:r>
      <w:r w:rsidR="002D3E10" w:rsidRPr="00411D4F">
        <w:rPr>
          <w:rFonts w:cstheme="minorHAnsi"/>
        </w:rPr>
        <w:t>cassation</w:t>
      </w:r>
      <w:r w:rsidR="00411D4F" w:rsidRPr="00411D4F">
        <w:rPr>
          <w:rFonts w:cstheme="minorHAnsi"/>
        </w:rPr>
        <w:t>, chambre sociale, du 5 mai 2021, n° 19-16884</w:t>
      </w:r>
    </w:p>
    <w:p w14:paraId="0DED3094" w14:textId="77777777" w:rsidR="003F4C2D" w:rsidRPr="005B73D2" w:rsidRDefault="003F4C2D" w:rsidP="003F4C2D">
      <w:pPr>
        <w:pStyle w:val="Titre4"/>
        <w:rPr>
          <w:rStyle w:val="txt"/>
        </w:rPr>
      </w:pPr>
      <w:r w:rsidRPr="004858FF">
        <w:rPr>
          <w:rStyle w:val="txt"/>
        </w:rPr>
        <w:t>ce qu’il faut savoir…</w:t>
      </w:r>
    </w:p>
    <w:p w14:paraId="4FF0F237" w14:textId="77777777" w:rsidR="002D3E10" w:rsidRPr="002D3E10" w:rsidRDefault="002D3E10" w:rsidP="002D3E10">
      <w:pPr>
        <w:rPr>
          <w:rFonts w:cstheme="minorHAnsi"/>
        </w:rPr>
      </w:pPr>
      <w:r w:rsidRPr="002D3E10">
        <w:rPr>
          <w:rFonts w:cstheme="minorHAnsi"/>
        </w:rPr>
        <w:t>Un salarié est embauché dans le cadre de plusieurs CDD successifs, mais considérant qu’il l’a été pour pourvoir un emploi durable dans l’entreprise, ses CDD sont requalifiés en CDI à temps complet. Il réclame alors des rappels de salaires, incluant les périodes inter-contrats non travaillées…</w:t>
      </w:r>
    </w:p>
    <w:p w14:paraId="69890184" w14:textId="77777777" w:rsidR="002D3E10" w:rsidRPr="002D3E10" w:rsidRDefault="002D3E10" w:rsidP="002D3E10">
      <w:pPr>
        <w:rPr>
          <w:rFonts w:cstheme="minorHAnsi"/>
        </w:rPr>
      </w:pPr>
      <w:r w:rsidRPr="002D3E10">
        <w:rPr>
          <w:rFonts w:cstheme="minorHAnsi"/>
        </w:rPr>
        <w:t xml:space="preserve">… et pour lesquelles l’employeur refuse de verser un salaire : pour lui, ces périodes dites « interstitielles » ne sont rémunérées que si le salarié est contraint de rester à sa disposition ou si, pendant ces périodes, toute autre activité professionnelle lui est interdite afin de pouvoir répondre immédiatement à toutes ses sollicitations. Ce qui est bien le cas, estime le salarié qui rappelle que ces périodes inter-contrats étaient de </w:t>
      </w:r>
      <w:r w:rsidRPr="002D3E10">
        <w:rPr>
          <w:rFonts w:cstheme="minorHAnsi"/>
        </w:rPr>
        <w:lastRenderedPageBreak/>
        <w:t>courte durée et qu'il était prévenu tardivement de ses horaires, ce qui l’empêchait de chercher un autre employeur…</w:t>
      </w:r>
    </w:p>
    <w:p w14:paraId="7FD28931" w14:textId="154C824E" w:rsidR="003F4C2D" w:rsidRDefault="002D3E10" w:rsidP="002D3E10">
      <w:pPr>
        <w:rPr>
          <w:rFonts w:cstheme="minorHAnsi"/>
        </w:rPr>
      </w:pPr>
      <w:r w:rsidRPr="002D3E10">
        <w:rPr>
          <w:rFonts w:cstheme="minorHAnsi"/>
        </w:rPr>
        <w:t>Ce que constate aussi le juge, pour qui le salarié se tenait, en réalité, à la disposition de l’entreprise pendant ces périodes entre deux contrats…</w:t>
      </w:r>
    </w:p>
    <w:p w14:paraId="332FB650" w14:textId="77777777" w:rsidR="002D3E10" w:rsidRPr="00451FF7" w:rsidRDefault="002D3E10" w:rsidP="002D3E10">
      <w:pPr>
        <w:rPr>
          <w:rFonts w:cstheme="minorHAnsi"/>
        </w:rPr>
      </w:pPr>
    </w:p>
    <w:p w14:paraId="2FC7975F" w14:textId="4C74E4AF" w:rsidR="001E56C9" w:rsidRPr="00BA1E49" w:rsidRDefault="004E7DEF" w:rsidP="001E56C9">
      <w:pPr>
        <w:pStyle w:val="Titre3"/>
      </w:pPr>
      <w:bookmarkStart w:id="13" w:name="_Toc74651302"/>
      <w:r>
        <w:t>Calcul de la période d’essai</w:t>
      </w:r>
      <w:bookmarkEnd w:id="13"/>
    </w:p>
    <w:p w14:paraId="00FB54A5" w14:textId="702AB54A" w:rsidR="001E56C9" w:rsidRDefault="001E56C9" w:rsidP="001E56C9">
      <w:pPr>
        <w:rPr>
          <w:rFonts w:cstheme="minorHAnsi"/>
        </w:rPr>
      </w:pPr>
      <w:r w:rsidRPr="00E45B66">
        <w:rPr>
          <w:rFonts w:cstheme="minorHAnsi"/>
          <w:b/>
          <w:color w:val="0070C0"/>
        </w:rPr>
        <w:t>Slide</w:t>
      </w:r>
      <w:r>
        <w:rPr>
          <w:rFonts w:cstheme="minorHAnsi"/>
          <w:b/>
          <w:color w:val="0070C0"/>
        </w:rPr>
        <w:t xml:space="preserve">s </w:t>
      </w:r>
      <w:r w:rsidR="006D3AAB">
        <w:rPr>
          <w:rFonts w:cstheme="minorHAnsi"/>
          <w:b/>
          <w:color w:val="0070C0"/>
        </w:rPr>
        <w:t>16 et 17</w:t>
      </w:r>
    </w:p>
    <w:p w14:paraId="068C8CE8" w14:textId="1FDA09F5" w:rsidR="001E56C9" w:rsidRPr="00932AC4" w:rsidRDefault="001E56C9" w:rsidP="001E56C9">
      <w:pPr>
        <w:rPr>
          <w:rFonts w:cstheme="minorHAnsi"/>
        </w:rPr>
      </w:pPr>
      <w:r w:rsidRPr="00451FF7">
        <w:rPr>
          <w:rFonts w:cstheme="minorHAnsi"/>
        </w:rPr>
        <w:t>Source </w:t>
      </w:r>
      <w:r w:rsidRPr="002545F5">
        <w:rPr>
          <w:rFonts w:cstheme="minorHAnsi"/>
        </w:rPr>
        <w:t xml:space="preserve">: </w:t>
      </w:r>
      <w:r w:rsidR="00932AC4" w:rsidRPr="00932AC4">
        <w:rPr>
          <w:rFonts w:cstheme="minorHAnsi"/>
        </w:rPr>
        <w:t>Arrêt de la Cour de Cassation, chambre sociale, du 19 mai 2021, n° 19-20429</w:t>
      </w:r>
    </w:p>
    <w:p w14:paraId="590659D3" w14:textId="77777777" w:rsidR="001E56C9" w:rsidRPr="005B73D2" w:rsidRDefault="001E56C9" w:rsidP="001E56C9">
      <w:pPr>
        <w:pStyle w:val="Titre4"/>
        <w:rPr>
          <w:rStyle w:val="txt"/>
        </w:rPr>
      </w:pPr>
      <w:r w:rsidRPr="004858FF">
        <w:rPr>
          <w:rStyle w:val="txt"/>
        </w:rPr>
        <w:t>ce qu’il faut savoir…</w:t>
      </w:r>
    </w:p>
    <w:p w14:paraId="3319B8ED" w14:textId="77777777" w:rsidR="00CE31D7" w:rsidRPr="00CE31D7" w:rsidRDefault="00CE31D7" w:rsidP="00CE31D7">
      <w:pPr>
        <w:rPr>
          <w:rFonts w:cstheme="minorHAnsi"/>
        </w:rPr>
      </w:pPr>
      <w:r w:rsidRPr="00CE31D7">
        <w:rPr>
          <w:rFonts w:cstheme="minorHAnsi"/>
        </w:rPr>
        <w:t>Un salarié est embauché en CDD un 13 juin aux termes d’un contrat qui prévoit une période d’essai de 10 jours, à laquelle l’employeur va mettre fin le 23 juin, à effet du 24 juin.</w:t>
      </w:r>
    </w:p>
    <w:p w14:paraId="7CD831BD" w14:textId="77777777" w:rsidR="00CE31D7" w:rsidRPr="00CE31D7" w:rsidRDefault="00CE31D7" w:rsidP="00CE31D7">
      <w:pPr>
        <w:rPr>
          <w:rFonts w:cstheme="minorHAnsi"/>
        </w:rPr>
      </w:pPr>
      <w:r w:rsidRPr="00CE31D7">
        <w:rPr>
          <w:rFonts w:cstheme="minorHAnsi"/>
        </w:rPr>
        <w:t>Une rupture d’essai finalement tardive pour le salarié qui réclame donc que cette rupture s’analyse en un licenciement sans cause réelle et sérieuse. Ce à quoi s’oppose l’employeur qui a relu attentivement le contrat de travail…</w:t>
      </w:r>
    </w:p>
    <w:p w14:paraId="0CF9111B" w14:textId="69AA2C70" w:rsidR="00CE31D7" w:rsidRPr="00CE31D7" w:rsidRDefault="00CE31D7" w:rsidP="00CE31D7">
      <w:pPr>
        <w:rPr>
          <w:rFonts w:cstheme="minorHAnsi"/>
        </w:rPr>
      </w:pPr>
      <w:r w:rsidRPr="00CE31D7">
        <w:rPr>
          <w:rFonts w:cstheme="minorHAnsi"/>
        </w:rPr>
        <w:t>Ce contrat de travail prévoit, en effet, une période d’essai de 10 jours. Mais ce même contrat stipule que «</w:t>
      </w:r>
      <w:r w:rsidR="003E0F12">
        <w:rPr>
          <w:rFonts w:cstheme="minorHAnsi"/>
        </w:rPr>
        <w:t> </w:t>
      </w:r>
      <w:r w:rsidRPr="00CE31D7">
        <w:rPr>
          <w:rFonts w:cstheme="minorHAnsi"/>
        </w:rPr>
        <w:t xml:space="preserve">s’agissant d’une période de travail effectif, toute suspension qui l'affecterait (maladie, fermeture pour congés payés.) la prolongerait d'une durée égale ». </w:t>
      </w:r>
    </w:p>
    <w:p w14:paraId="4A11EC95" w14:textId="77777777" w:rsidR="00CE31D7" w:rsidRPr="00CE31D7" w:rsidRDefault="00CE31D7" w:rsidP="00CE31D7">
      <w:pPr>
        <w:rPr>
          <w:rFonts w:cstheme="minorHAnsi"/>
        </w:rPr>
      </w:pPr>
      <w:r w:rsidRPr="00CE31D7">
        <w:rPr>
          <w:rFonts w:cstheme="minorHAnsi"/>
        </w:rPr>
        <w:t>Il en déduit donc que cette période d’essai se décompte, non en jours calendaires, mais en jours de travail effectif. Il a donc rompu cette période d’essai dans les délais…</w:t>
      </w:r>
    </w:p>
    <w:p w14:paraId="2802EF1B" w14:textId="0215D44D" w:rsidR="004E7DEF" w:rsidRPr="00DA3827" w:rsidRDefault="00CE31D7" w:rsidP="001E56C9">
      <w:pPr>
        <w:rPr>
          <w:rFonts w:cstheme="minorHAnsi"/>
        </w:rPr>
      </w:pPr>
      <w:r w:rsidRPr="00CE31D7">
        <w:rPr>
          <w:rFonts w:cstheme="minorHAnsi"/>
        </w:rPr>
        <w:t>Non, conclut le juge : il n’est pas possible, selon lui, de déduire de la rédaction du contrat que la période d’essai se décompte en jours de travail effectif. Laquelle doit donc se décompter en jours calendaires par principe : elle a donc été rompue trop tard par l’employeur…</w:t>
      </w:r>
    </w:p>
    <w:p w14:paraId="12FC8F8B" w14:textId="05F12308" w:rsidR="001E56C9" w:rsidRDefault="001E56C9">
      <w:r>
        <w:br w:type="page"/>
      </w:r>
    </w:p>
    <w:p w14:paraId="0ED9A2C8" w14:textId="77777777" w:rsidR="008B0D27" w:rsidRDefault="008B0D27" w:rsidP="008B0D27"/>
    <w:p w14:paraId="66A5E035" w14:textId="77777777" w:rsidR="0050590F" w:rsidRDefault="0050590F" w:rsidP="00CB57AF">
      <w:pPr>
        <w:pStyle w:val="Titre2"/>
      </w:pPr>
      <w:bookmarkStart w:id="14" w:name="_Toc74651303"/>
      <w:r>
        <w:t>Ce qu’il faut savoir en matière de rémunération</w:t>
      </w:r>
      <w:bookmarkEnd w:id="14"/>
    </w:p>
    <w:p w14:paraId="5F34C6D6" w14:textId="77777777" w:rsidR="008B0D27" w:rsidRDefault="008B0D27" w:rsidP="008B0D27"/>
    <w:p w14:paraId="5DDE3BD8" w14:textId="29C203FC" w:rsidR="000057F1" w:rsidRPr="00BA1E49" w:rsidRDefault="004C7DFF" w:rsidP="000057F1">
      <w:pPr>
        <w:pStyle w:val="Titre3"/>
      </w:pPr>
      <w:bookmarkStart w:id="15" w:name="_Toc74651304"/>
      <w:r>
        <w:t>Rémunération du salarié inapte</w:t>
      </w:r>
      <w:bookmarkEnd w:id="15"/>
    </w:p>
    <w:p w14:paraId="7BCA28E4" w14:textId="3D3D8ED7" w:rsidR="000057F1" w:rsidRDefault="000057F1" w:rsidP="000057F1">
      <w:pPr>
        <w:rPr>
          <w:rFonts w:cstheme="minorHAnsi"/>
        </w:rPr>
      </w:pPr>
      <w:r w:rsidRPr="00E45B66">
        <w:rPr>
          <w:rFonts w:cstheme="minorHAnsi"/>
          <w:b/>
          <w:color w:val="0070C0"/>
        </w:rPr>
        <w:t>Slide</w:t>
      </w:r>
      <w:r>
        <w:rPr>
          <w:rFonts w:cstheme="minorHAnsi"/>
          <w:b/>
          <w:color w:val="0070C0"/>
        </w:rPr>
        <w:t xml:space="preserve">s </w:t>
      </w:r>
      <w:r w:rsidR="006D3AAB">
        <w:rPr>
          <w:rFonts w:cstheme="minorHAnsi"/>
          <w:b/>
          <w:color w:val="0070C0"/>
        </w:rPr>
        <w:t>18 et 19</w:t>
      </w:r>
    </w:p>
    <w:p w14:paraId="467A98B8" w14:textId="5F5E3D6E" w:rsidR="000057F1" w:rsidRPr="000E150C" w:rsidRDefault="000057F1" w:rsidP="000057F1">
      <w:pPr>
        <w:rPr>
          <w:rFonts w:cstheme="minorHAnsi"/>
        </w:rPr>
      </w:pPr>
      <w:r w:rsidRPr="00451FF7">
        <w:rPr>
          <w:rFonts w:cstheme="minorHAnsi"/>
        </w:rPr>
        <w:t>Source </w:t>
      </w:r>
      <w:r w:rsidRPr="002545F5">
        <w:rPr>
          <w:rFonts w:cstheme="minorHAnsi"/>
        </w:rPr>
        <w:t xml:space="preserve">: </w:t>
      </w:r>
      <w:r w:rsidR="000E150C" w:rsidRPr="000E150C">
        <w:rPr>
          <w:rFonts w:cstheme="minorHAnsi"/>
        </w:rPr>
        <w:t>Arrêt de la Cour de cassation, chambre sociale, du 05 mai 2021, n° 19-22456</w:t>
      </w:r>
    </w:p>
    <w:p w14:paraId="684193D2" w14:textId="77777777" w:rsidR="000057F1" w:rsidRPr="005B73D2" w:rsidRDefault="000057F1" w:rsidP="000057F1">
      <w:pPr>
        <w:pStyle w:val="Titre4"/>
        <w:rPr>
          <w:rStyle w:val="txt"/>
        </w:rPr>
      </w:pPr>
      <w:r w:rsidRPr="004858FF">
        <w:rPr>
          <w:rStyle w:val="txt"/>
        </w:rPr>
        <w:t>ce qu’il faut savoir…</w:t>
      </w:r>
    </w:p>
    <w:p w14:paraId="4FE6397C" w14:textId="4077AA37" w:rsidR="008E0AB4" w:rsidRPr="008E0AB4" w:rsidRDefault="008E0AB4" w:rsidP="008E0AB4">
      <w:pPr>
        <w:rPr>
          <w:rFonts w:cstheme="minorHAnsi"/>
        </w:rPr>
      </w:pPr>
      <w:r w:rsidRPr="008E0AB4">
        <w:rPr>
          <w:rFonts w:cstheme="minorHAnsi"/>
        </w:rPr>
        <w:t>Au retour d’un arrêt maladie, un salarié est déclaré définitivement inapte à la reprise de son poste de travail et à tout poste au sein</w:t>
      </w:r>
      <w:r w:rsidR="00D20324">
        <w:rPr>
          <w:rFonts w:cstheme="minorHAnsi"/>
        </w:rPr>
        <w:t xml:space="preserve"> </w:t>
      </w:r>
      <w:r w:rsidRPr="008E0AB4">
        <w:rPr>
          <w:rFonts w:cstheme="minorHAnsi"/>
        </w:rPr>
        <w:t xml:space="preserve">de l’association qui l’emploie. </w:t>
      </w:r>
    </w:p>
    <w:p w14:paraId="4E3831D2" w14:textId="49C9DE8A" w:rsidR="008E0AB4" w:rsidRPr="008E0AB4" w:rsidRDefault="008E0AB4" w:rsidP="008E0AB4">
      <w:pPr>
        <w:rPr>
          <w:rFonts w:cstheme="minorHAnsi"/>
        </w:rPr>
      </w:pPr>
      <w:r w:rsidRPr="008E0AB4">
        <w:rPr>
          <w:rFonts w:cstheme="minorHAnsi"/>
        </w:rPr>
        <w:t>Près de 3 ans plus tard, il est finalement licencié pour inaptitude et impossibilité de reclassement. Le salarié demande alors à son ex-employeur le paiement de son 13</w:t>
      </w:r>
      <w:r w:rsidR="003E0F12">
        <w:rPr>
          <w:rFonts w:cstheme="minorHAnsi"/>
          <w:vertAlign w:val="superscript"/>
        </w:rPr>
        <w:t>ème</w:t>
      </w:r>
      <w:r w:rsidRPr="008E0AB4">
        <w:rPr>
          <w:rFonts w:cstheme="minorHAnsi"/>
        </w:rPr>
        <w:t xml:space="preserve"> mois au titre de ces 3 années. </w:t>
      </w:r>
    </w:p>
    <w:p w14:paraId="5CDC3515" w14:textId="606B36D0" w:rsidR="008E0AB4" w:rsidRPr="008E0AB4" w:rsidRDefault="008E0AB4" w:rsidP="008E0AB4">
      <w:pPr>
        <w:rPr>
          <w:rFonts w:cstheme="minorHAnsi"/>
        </w:rPr>
      </w:pPr>
      <w:r w:rsidRPr="008E0AB4">
        <w:rPr>
          <w:rFonts w:cstheme="minorHAnsi"/>
        </w:rPr>
        <w:t>Il rappelle, en effet, qu’un salarié inapte qui n’est ni reclassé ni licencié, a droit au paiement du salaire correspondant à l’emploi qu’il occupait avant la suspension de son contrat de travail, 13</w:t>
      </w:r>
      <w:r w:rsidR="003E0F12">
        <w:rPr>
          <w:rFonts w:cstheme="minorHAnsi"/>
          <w:vertAlign w:val="superscript"/>
        </w:rPr>
        <w:t>ème</w:t>
      </w:r>
      <w:r w:rsidRPr="008E0AB4">
        <w:rPr>
          <w:rFonts w:cstheme="minorHAnsi"/>
        </w:rPr>
        <w:t xml:space="preserve"> mois compris…</w:t>
      </w:r>
    </w:p>
    <w:p w14:paraId="06ED40C5" w14:textId="0C22ABDF" w:rsidR="008E0AB4" w:rsidRPr="008E0AB4" w:rsidRDefault="008E0AB4" w:rsidP="008E0AB4">
      <w:pPr>
        <w:rPr>
          <w:rFonts w:cstheme="minorHAnsi"/>
        </w:rPr>
      </w:pPr>
      <w:r w:rsidRPr="008E0AB4">
        <w:rPr>
          <w:rFonts w:cstheme="minorHAnsi"/>
        </w:rPr>
        <w:t>Mais pour l’employeur, le salarié n’étant pas présent au sein de l’association au cours des 3 années en question, il ne peut pas prétendre à une telle prime de 13</w:t>
      </w:r>
      <w:r w:rsidR="003E0F12">
        <w:rPr>
          <w:rFonts w:cstheme="minorHAnsi"/>
          <w:vertAlign w:val="superscript"/>
        </w:rPr>
        <w:t>ème</w:t>
      </w:r>
      <w:r w:rsidRPr="008E0AB4">
        <w:rPr>
          <w:rFonts w:cstheme="minorHAnsi"/>
        </w:rPr>
        <w:t xml:space="preserve"> mois. </w:t>
      </w:r>
    </w:p>
    <w:p w14:paraId="05A1FBE1" w14:textId="2928497A" w:rsidR="000057F1" w:rsidRPr="00451FF7" w:rsidRDefault="008E0AB4" w:rsidP="008E0AB4">
      <w:pPr>
        <w:rPr>
          <w:rFonts w:cstheme="minorHAnsi"/>
        </w:rPr>
      </w:pPr>
      <w:r w:rsidRPr="008E0AB4">
        <w:rPr>
          <w:rFonts w:cstheme="minorHAnsi"/>
        </w:rPr>
        <w:t>« Faux », répond le juge : le salaire correspondant à l’emploi occupé par le salarié avant la suspension de son contrat de travail comprend effectivement l’ensemble des éléments constituant la rémunération qu’il aurait perçue s’il avait travaillé. Le 13</w:t>
      </w:r>
      <w:r w:rsidR="00D20324">
        <w:rPr>
          <w:rFonts w:cstheme="minorHAnsi"/>
          <w:vertAlign w:val="superscript"/>
        </w:rPr>
        <w:t>ème</w:t>
      </w:r>
      <w:r w:rsidRPr="008E0AB4">
        <w:rPr>
          <w:rFonts w:cstheme="minorHAnsi"/>
        </w:rPr>
        <w:t xml:space="preserve"> mois est donc bien dû…</w:t>
      </w:r>
    </w:p>
    <w:p w14:paraId="74248A3F" w14:textId="77777777" w:rsidR="00C669C5" w:rsidRDefault="00C669C5" w:rsidP="00C669C5"/>
    <w:p w14:paraId="5F4316EF" w14:textId="4495859C" w:rsidR="007454C4" w:rsidRDefault="007454C4">
      <w:r>
        <w:br w:type="page"/>
      </w:r>
    </w:p>
    <w:p w14:paraId="3733812C" w14:textId="77777777" w:rsidR="007454C4" w:rsidRDefault="007454C4" w:rsidP="00F670CC"/>
    <w:p w14:paraId="5368C91B" w14:textId="77777777" w:rsidR="0050590F" w:rsidRDefault="0050590F" w:rsidP="00CB57AF">
      <w:pPr>
        <w:pStyle w:val="Titre2"/>
      </w:pPr>
      <w:bookmarkStart w:id="16" w:name="_Toc74651305"/>
      <w:r>
        <w:t>Ce qu’il faut savoir en matière de relations de travail</w:t>
      </w:r>
      <w:bookmarkEnd w:id="16"/>
    </w:p>
    <w:p w14:paraId="031A9011" w14:textId="77777777" w:rsidR="008B0D27" w:rsidRDefault="008B0D27" w:rsidP="008B0D27"/>
    <w:p w14:paraId="7A4B067D" w14:textId="67663DF1" w:rsidR="000057F1" w:rsidRPr="00BA1E49" w:rsidRDefault="001C1653" w:rsidP="000057F1">
      <w:pPr>
        <w:pStyle w:val="Titre3"/>
      </w:pPr>
      <w:bookmarkStart w:id="17" w:name="_Toc74651306"/>
      <w:r>
        <w:t>Mise à disposition d’un véhicule</w:t>
      </w:r>
      <w:bookmarkEnd w:id="17"/>
    </w:p>
    <w:p w14:paraId="0DD15D10" w14:textId="030D6777" w:rsidR="000057F1" w:rsidRDefault="000057F1" w:rsidP="000057F1">
      <w:pPr>
        <w:rPr>
          <w:rFonts w:cstheme="minorHAnsi"/>
        </w:rPr>
      </w:pPr>
      <w:r w:rsidRPr="00E45B66">
        <w:rPr>
          <w:rFonts w:cstheme="minorHAnsi"/>
          <w:b/>
          <w:color w:val="0070C0"/>
        </w:rPr>
        <w:t>Slide</w:t>
      </w:r>
      <w:r>
        <w:rPr>
          <w:rFonts w:cstheme="minorHAnsi"/>
          <w:b/>
          <w:color w:val="0070C0"/>
        </w:rPr>
        <w:t xml:space="preserve">s </w:t>
      </w:r>
      <w:r w:rsidR="006D3AAB">
        <w:rPr>
          <w:rFonts w:cstheme="minorHAnsi"/>
          <w:b/>
          <w:color w:val="0070C0"/>
        </w:rPr>
        <w:t>20 et 21</w:t>
      </w:r>
    </w:p>
    <w:p w14:paraId="7DED04AD" w14:textId="6649DF94" w:rsidR="000057F1" w:rsidRPr="001B0283" w:rsidRDefault="000057F1" w:rsidP="000057F1">
      <w:pPr>
        <w:rPr>
          <w:rFonts w:cstheme="minorHAnsi"/>
        </w:rPr>
      </w:pPr>
      <w:r w:rsidRPr="00451FF7">
        <w:rPr>
          <w:rFonts w:cstheme="minorHAnsi"/>
        </w:rPr>
        <w:t>Source </w:t>
      </w:r>
      <w:r w:rsidRPr="002545F5">
        <w:rPr>
          <w:rFonts w:cstheme="minorHAnsi"/>
        </w:rPr>
        <w:t xml:space="preserve">: </w:t>
      </w:r>
      <w:r w:rsidR="001B0283" w:rsidRPr="001B0283">
        <w:rPr>
          <w:rFonts w:cstheme="minorHAnsi"/>
        </w:rPr>
        <w:t>Arrêt de la Cour de cassation, chambre sociale, du 2 décembre 2020, n° 19-18445</w:t>
      </w:r>
    </w:p>
    <w:p w14:paraId="08D967B9" w14:textId="77777777" w:rsidR="000057F1" w:rsidRPr="005B73D2" w:rsidRDefault="000057F1" w:rsidP="000057F1">
      <w:pPr>
        <w:pStyle w:val="Titre4"/>
        <w:rPr>
          <w:rStyle w:val="txt"/>
        </w:rPr>
      </w:pPr>
      <w:r w:rsidRPr="004858FF">
        <w:rPr>
          <w:rStyle w:val="txt"/>
        </w:rPr>
        <w:t>ce qu’il faut savoir…</w:t>
      </w:r>
    </w:p>
    <w:p w14:paraId="4AC05286" w14:textId="77777777" w:rsidR="00093453" w:rsidRPr="00093453" w:rsidRDefault="00093453" w:rsidP="00093453">
      <w:pPr>
        <w:rPr>
          <w:rFonts w:cstheme="minorHAnsi"/>
        </w:rPr>
      </w:pPr>
      <w:r w:rsidRPr="00093453">
        <w:rPr>
          <w:rFonts w:cstheme="minorHAnsi"/>
        </w:rPr>
        <w:t>Un employeur prend la décision de licencier pour faute grave un salarié, lui reprochant un acte d’insubordination. Plus précisément, alors que l’employeur a pris la décision de lui en retirer l’usage, le salarié a refusé de restituer un véhicule de service…</w:t>
      </w:r>
    </w:p>
    <w:p w14:paraId="4F2AAF27" w14:textId="77777777" w:rsidR="00093453" w:rsidRPr="00093453" w:rsidRDefault="00093453" w:rsidP="00093453">
      <w:pPr>
        <w:rPr>
          <w:rFonts w:cstheme="minorHAnsi"/>
        </w:rPr>
      </w:pPr>
      <w:r w:rsidRPr="00093453">
        <w:rPr>
          <w:rFonts w:cstheme="minorHAnsi"/>
        </w:rPr>
        <w:t>… de fonction plutôt, conteste le salarié. Et parce qu’il s’agit d’un véhicule de « fonction », l’en priver suppose son accord puisqu’il s’agit alors d’une modification de son contrat de travail. Contrat de travail qui ne fait mention que de la « réalisation de prestations à l’aide de véhicules fournis par la société », laquelle met donc à la disposition du salarié, non pas un véhicule de « fonction », mais bien un véhicule de « service ». D’autant, souligne l’employeur, que ce véhicule ne lui était pas nécessaire pour travailler…</w:t>
      </w:r>
    </w:p>
    <w:p w14:paraId="4556295A" w14:textId="338E4828" w:rsidR="000057F1" w:rsidRPr="00451FF7" w:rsidRDefault="00093453" w:rsidP="00093453">
      <w:pPr>
        <w:rPr>
          <w:rFonts w:cstheme="minorHAnsi"/>
        </w:rPr>
      </w:pPr>
      <w:r w:rsidRPr="00093453">
        <w:rPr>
          <w:rFonts w:cstheme="minorHAnsi"/>
        </w:rPr>
        <w:t>… mais pour lequel le salarié bénéficiait d’un avantage en nature, constate le juge : le véhicule ne pouvait être restitué sans l’accord du salarié… qui a donc été licencié sans cause réelle et sérieuse !</w:t>
      </w:r>
    </w:p>
    <w:p w14:paraId="21439CB7" w14:textId="77777777" w:rsidR="000057F1" w:rsidRDefault="000057F1" w:rsidP="000057F1"/>
    <w:p w14:paraId="5726AA55" w14:textId="4F9AE4E9" w:rsidR="001C1653" w:rsidRPr="00BA1E49" w:rsidRDefault="00A56B85" w:rsidP="001C1653">
      <w:pPr>
        <w:pStyle w:val="Titre3"/>
      </w:pPr>
      <w:bookmarkStart w:id="18" w:name="_Toc74651307"/>
      <w:r>
        <w:t>Congés payés et jours de fractionnement</w:t>
      </w:r>
      <w:bookmarkEnd w:id="18"/>
    </w:p>
    <w:p w14:paraId="0E89DD09" w14:textId="6C5049D7" w:rsidR="001C1653" w:rsidRDefault="001C1653" w:rsidP="001C1653">
      <w:pPr>
        <w:rPr>
          <w:rFonts w:cstheme="minorHAnsi"/>
        </w:rPr>
      </w:pPr>
      <w:r w:rsidRPr="00E45B66">
        <w:rPr>
          <w:rFonts w:cstheme="minorHAnsi"/>
          <w:b/>
          <w:color w:val="0070C0"/>
        </w:rPr>
        <w:t>Slide</w:t>
      </w:r>
      <w:r>
        <w:rPr>
          <w:rFonts w:cstheme="minorHAnsi"/>
          <w:b/>
          <w:color w:val="0070C0"/>
        </w:rPr>
        <w:t xml:space="preserve">s </w:t>
      </w:r>
      <w:r w:rsidR="006D3AAB">
        <w:rPr>
          <w:rFonts w:cstheme="minorHAnsi"/>
          <w:b/>
          <w:color w:val="0070C0"/>
        </w:rPr>
        <w:t>22 et 23</w:t>
      </w:r>
    </w:p>
    <w:p w14:paraId="1CDA81E3" w14:textId="375CFD79" w:rsidR="001C1653" w:rsidRPr="006B0BC8" w:rsidRDefault="001C1653" w:rsidP="001C1653">
      <w:pPr>
        <w:rPr>
          <w:rFonts w:cstheme="minorHAnsi"/>
        </w:rPr>
      </w:pPr>
      <w:r w:rsidRPr="00451FF7">
        <w:rPr>
          <w:rFonts w:cstheme="minorHAnsi"/>
        </w:rPr>
        <w:t>Source </w:t>
      </w:r>
      <w:r w:rsidRPr="002545F5">
        <w:rPr>
          <w:rFonts w:cstheme="minorHAnsi"/>
        </w:rPr>
        <w:t xml:space="preserve">: </w:t>
      </w:r>
      <w:r w:rsidR="006B0BC8" w:rsidRPr="006B0BC8">
        <w:rPr>
          <w:rFonts w:cstheme="minorHAnsi"/>
        </w:rPr>
        <w:t>Arrêt de la Cour de cassation, chambre sociale, du 05 mai 2021, n° 20-14390</w:t>
      </w:r>
    </w:p>
    <w:p w14:paraId="05B5A38E" w14:textId="77777777" w:rsidR="001C1653" w:rsidRPr="005B73D2" w:rsidRDefault="001C1653" w:rsidP="001C1653">
      <w:pPr>
        <w:pStyle w:val="Titre4"/>
        <w:rPr>
          <w:rStyle w:val="txt"/>
        </w:rPr>
      </w:pPr>
      <w:r w:rsidRPr="004858FF">
        <w:rPr>
          <w:rStyle w:val="txt"/>
        </w:rPr>
        <w:t>ce qu’il faut savoir…</w:t>
      </w:r>
    </w:p>
    <w:p w14:paraId="116729EA" w14:textId="77777777" w:rsidR="003B029A" w:rsidRPr="003B029A" w:rsidRDefault="003B029A" w:rsidP="003B029A">
      <w:pPr>
        <w:rPr>
          <w:rFonts w:cstheme="minorHAnsi"/>
        </w:rPr>
      </w:pPr>
      <w:r w:rsidRPr="003B029A">
        <w:rPr>
          <w:rFonts w:cstheme="minorHAnsi"/>
        </w:rPr>
        <w:t xml:space="preserve">Par principe, les congés payés peuvent être fractionnés (pris en plusieurs fois) avec l’accord du salarié, lorsque leur durée est supérieure à 12 jours ouvrables. </w:t>
      </w:r>
    </w:p>
    <w:p w14:paraId="3DBFC129" w14:textId="77777777" w:rsidR="003B029A" w:rsidRPr="003B029A" w:rsidRDefault="003B029A" w:rsidP="003B029A">
      <w:pPr>
        <w:rPr>
          <w:rFonts w:cstheme="minorHAnsi"/>
        </w:rPr>
      </w:pPr>
      <w:r w:rsidRPr="003B029A">
        <w:rPr>
          <w:rFonts w:cstheme="minorHAnsi"/>
        </w:rPr>
        <w:t xml:space="preserve">Dans cette situation, une des périodes du congé doit être au moins égale à 12 jours continus. </w:t>
      </w:r>
    </w:p>
    <w:p w14:paraId="006222DB" w14:textId="46A02C77" w:rsidR="003B029A" w:rsidRPr="003B029A" w:rsidRDefault="003B029A" w:rsidP="003B029A">
      <w:pPr>
        <w:rPr>
          <w:rFonts w:cstheme="minorHAnsi"/>
        </w:rPr>
      </w:pPr>
      <w:r w:rsidRPr="003B029A">
        <w:rPr>
          <w:rFonts w:cstheme="minorHAnsi"/>
        </w:rPr>
        <w:t>Ces 12 jours doivent être pris pendant une période précise, le plus souvent fixée par accord collectif. En l’absence d’accord, ils doivent être posés entre le 1</w:t>
      </w:r>
      <w:r w:rsidR="00FF2B85" w:rsidRPr="00C751FC">
        <w:rPr>
          <w:rFonts w:cstheme="minorHAnsi"/>
          <w:vertAlign w:val="superscript"/>
        </w:rPr>
        <w:t>er</w:t>
      </w:r>
      <w:r w:rsidRPr="003B029A">
        <w:rPr>
          <w:rFonts w:cstheme="minorHAnsi"/>
        </w:rPr>
        <w:t xml:space="preserve"> mai et le 31 octobre (période légale de congés payés).</w:t>
      </w:r>
    </w:p>
    <w:p w14:paraId="4FDFE0AF" w14:textId="77777777" w:rsidR="003B029A" w:rsidRPr="003B029A" w:rsidRDefault="003B029A" w:rsidP="003B029A">
      <w:pPr>
        <w:rPr>
          <w:rFonts w:cstheme="minorHAnsi"/>
        </w:rPr>
      </w:pPr>
      <w:r w:rsidRPr="003B029A">
        <w:rPr>
          <w:rFonts w:cstheme="minorHAnsi"/>
        </w:rPr>
        <w:t xml:space="preserve">Sauf accord contraire, les salariés qui prennent ces 12 jours de congés en dehors de la période légale de congés payés peuvent obtenir des jours de fractionnement, c’est-à-dire des jours de congés supplémentaires. </w:t>
      </w:r>
    </w:p>
    <w:p w14:paraId="5ABB6B19" w14:textId="77777777" w:rsidR="003B029A" w:rsidRPr="003B029A" w:rsidRDefault="003B029A" w:rsidP="003B029A">
      <w:pPr>
        <w:rPr>
          <w:rFonts w:cstheme="minorHAnsi"/>
        </w:rPr>
      </w:pPr>
      <w:r w:rsidRPr="003B029A">
        <w:rPr>
          <w:rFonts w:cstheme="minorHAnsi"/>
        </w:rPr>
        <w:lastRenderedPageBreak/>
        <w:t>Si le fractionnement des congés intervient à l’initiative de l’employeur, les jours de fractionnement sont, en principe, automatiquement acquis aux salariés.</w:t>
      </w:r>
    </w:p>
    <w:p w14:paraId="630877EB" w14:textId="77777777" w:rsidR="003B029A" w:rsidRPr="003B029A" w:rsidRDefault="003B029A" w:rsidP="003B029A">
      <w:pPr>
        <w:rPr>
          <w:rFonts w:cstheme="minorHAnsi"/>
        </w:rPr>
      </w:pPr>
      <w:r w:rsidRPr="003B029A">
        <w:rPr>
          <w:rFonts w:cstheme="minorHAnsi"/>
        </w:rPr>
        <w:t>Il est toutefois possible d’y renoncer. Dans ce cas, la renonciation peut être collective (et donc intervenir par accord collectif) ou individuelle (et nécessite dans ce cas l’accord exprès du salarié).</w:t>
      </w:r>
    </w:p>
    <w:p w14:paraId="56ED6A68" w14:textId="77777777" w:rsidR="003B029A" w:rsidRPr="003B029A" w:rsidRDefault="003B029A" w:rsidP="003B029A">
      <w:pPr>
        <w:rPr>
          <w:rFonts w:cstheme="minorHAnsi"/>
        </w:rPr>
      </w:pPr>
      <w:r w:rsidRPr="003B029A">
        <w:rPr>
          <w:rFonts w:cstheme="minorHAnsi"/>
        </w:rPr>
        <w:t>Et c’est précisément ce qui vient d’être rappelé à un employeur…</w:t>
      </w:r>
    </w:p>
    <w:p w14:paraId="6D17F12B" w14:textId="77777777" w:rsidR="003B029A" w:rsidRPr="003B029A" w:rsidRDefault="003B029A" w:rsidP="003B029A">
      <w:pPr>
        <w:rPr>
          <w:rFonts w:cstheme="minorHAnsi"/>
        </w:rPr>
      </w:pPr>
      <w:r w:rsidRPr="003B029A">
        <w:rPr>
          <w:rFonts w:cstheme="minorHAnsi"/>
        </w:rPr>
        <w:t>Dans cette affaire, en effet, l’employeur a conclu des contrats de travail dans lesquels il décompte certains jours de fermeture exceptionnelle de l’entreprise des congés payés de ses salariés.</w:t>
      </w:r>
    </w:p>
    <w:p w14:paraId="4A8BF336" w14:textId="4C00F6B2" w:rsidR="003B029A" w:rsidRPr="003B029A" w:rsidRDefault="003B029A" w:rsidP="003B029A">
      <w:pPr>
        <w:rPr>
          <w:rFonts w:cstheme="minorHAnsi"/>
        </w:rPr>
      </w:pPr>
      <w:r w:rsidRPr="003B029A">
        <w:rPr>
          <w:rFonts w:cstheme="minorHAnsi"/>
        </w:rPr>
        <w:t>Un fractionnement des congés payés qui intervient sans leur accord et surtout, sans qu’ils puissent bénéficier de jours de fractionnement</w:t>
      </w:r>
      <w:r w:rsidR="00FF2B85">
        <w:rPr>
          <w:rFonts w:cstheme="minorHAnsi"/>
        </w:rPr>
        <w:t>.</w:t>
      </w:r>
      <w:r w:rsidRPr="003B029A">
        <w:rPr>
          <w:rFonts w:cstheme="minorHAnsi"/>
        </w:rPr>
        <w:t xml:space="preserve"> Ce qui mérite une indemnisation, selon les salariés.</w:t>
      </w:r>
    </w:p>
    <w:p w14:paraId="75FE2A5E" w14:textId="77777777" w:rsidR="003B029A" w:rsidRPr="003B029A" w:rsidRDefault="003B029A" w:rsidP="003B029A">
      <w:pPr>
        <w:rPr>
          <w:rFonts w:cstheme="minorHAnsi"/>
        </w:rPr>
      </w:pPr>
      <w:r w:rsidRPr="003B029A">
        <w:rPr>
          <w:rFonts w:cstheme="minorHAnsi"/>
        </w:rPr>
        <w:t>A l’appui de cette demande, ils rappellent, en effet, que la renonciation aux jours de fractionnement doit être expresse. Ce qui n’est pas le cas ici !</w:t>
      </w:r>
    </w:p>
    <w:p w14:paraId="32AC4A7D" w14:textId="77777777" w:rsidR="003B029A" w:rsidRPr="003B029A" w:rsidRDefault="003B029A" w:rsidP="003B029A">
      <w:pPr>
        <w:rPr>
          <w:rFonts w:cstheme="minorHAnsi"/>
        </w:rPr>
      </w:pPr>
      <w:r w:rsidRPr="003B029A">
        <w:rPr>
          <w:rFonts w:cstheme="minorHAnsi"/>
        </w:rPr>
        <w:t>« Et alors ? », s’interroge l’employeur, qui ne voit pas où est le problème : la clause instaurant le fractionnement des congés et acceptée par les salariés au moment de la signature de leur contrat de travail vaut renonciation aux jours de fractionnement.</w:t>
      </w:r>
    </w:p>
    <w:p w14:paraId="16B27E72" w14:textId="77777777" w:rsidR="003B029A" w:rsidRPr="003B029A" w:rsidRDefault="003B029A" w:rsidP="003B029A">
      <w:pPr>
        <w:rPr>
          <w:rFonts w:cstheme="minorHAnsi"/>
        </w:rPr>
      </w:pPr>
      <w:r w:rsidRPr="003B029A">
        <w:rPr>
          <w:rFonts w:cstheme="minorHAnsi"/>
        </w:rPr>
        <w:t xml:space="preserve">« Non », tranche le juge, qui rappelle qu’il n’est pas possible de renoncer à un droit avant qu’il ne soit né. </w:t>
      </w:r>
    </w:p>
    <w:p w14:paraId="34CE13C7" w14:textId="58A99781" w:rsidR="001C1653" w:rsidRPr="00451FF7" w:rsidRDefault="003B029A" w:rsidP="003B029A">
      <w:pPr>
        <w:rPr>
          <w:rFonts w:cstheme="minorHAnsi"/>
        </w:rPr>
      </w:pPr>
      <w:r w:rsidRPr="003B029A">
        <w:rPr>
          <w:rFonts w:cstheme="minorHAnsi"/>
        </w:rPr>
        <w:t>Les salariés n’ayant ni donné leur accord pour le fractionnement des congés, ni renoncé à leurs droits à des jours de fractionnement, l’employeur est condamné à les indemniser !</w:t>
      </w:r>
    </w:p>
    <w:p w14:paraId="128ACAE1" w14:textId="77777777" w:rsidR="001C1653" w:rsidRDefault="001C1653" w:rsidP="001C1653"/>
    <w:p w14:paraId="09B5F081" w14:textId="42E4D8CA" w:rsidR="00A56B85" w:rsidRPr="00BA1E49" w:rsidRDefault="000D10ED" w:rsidP="00A56B85">
      <w:pPr>
        <w:pStyle w:val="Titre3"/>
      </w:pPr>
      <w:bookmarkStart w:id="19" w:name="_Toc74651308"/>
      <w:r>
        <w:t>Allongement du congé paternité</w:t>
      </w:r>
      <w:bookmarkEnd w:id="19"/>
    </w:p>
    <w:p w14:paraId="38079E03" w14:textId="2E4AF4B0" w:rsidR="00A56B85" w:rsidRDefault="00A56B85" w:rsidP="006D3AAB">
      <w:pPr>
        <w:spacing w:before="0" w:after="0"/>
        <w:rPr>
          <w:rFonts w:cstheme="minorHAnsi"/>
        </w:rPr>
      </w:pPr>
      <w:r w:rsidRPr="00E45B66">
        <w:rPr>
          <w:rFonts w:cstheme="minorHAnsi"/>
          <w:b/>
          <w:color w:val="0070C0"/>
        </w:rPr>
        <w:t>Slide</w:t>
      </w:r>
      <w:r>
        <w:rPr>
          <w:rFonts w:cstheme="minorHAnsi"/>
          <w:b/>
          <w:color w:val="0070C0"/>
        </w:rPr>
        <w:t xml:space="preserve"> </w:t>
      </w:r>
      <w:r w:rsidR="006D3AAB">
        <w:rPr>
          <w:rFonts w:cstheme="minorHAnsi"/>
          <w:b/>
          <w:color w:val="0070C0"/>
        </w:rPr>
        <w:t>24</w:t>
      </w:r>
    </w:p>
    <w:p w14:paraId="67614C78" w14:textId="1D073590" w:rsidR="00A56B85" w:rsidRPr="009B1599" w:rsidRDefault="00A56B85" w:rsidP="00A56B85">
      <w:pPr>
        <w:rPr>
          <w:rFonts w:cstheme="minorHAnsi"/>
        </w:rPr>
      </w:pPr>
      <w:r w:rsidRPr="00451FF7">
        <w:rPr>
          <w:rFonts w:cstheme="minorHAnsi"/>
        </w:rPr>
        <w:t>Source </w:t>
      </w:r>
      <w:r w:rsidRPr="002545F5">
        <w:rPr>
          <w:rFonts w:cstheme="minorHAnsi"/>
        </w:rPr>
        <w:t xml:space="preserve">: </w:t>
      </w:r>
      <w:r w:rsidR="009B1599" w:rsidRPr="009B1599">
        <w:rPr>
          <w:rFonts w:cstheme="minorHAnsi"/>
        </w:rPr>
        <w:t>Décret n° 2021-574 du 10 mai 2021 relatif à l'allongement et à l'obligation de prise d'une partie du congé de paternité et d'accueil de l'enfant</w:t>
      </w:r>
    </w:p>
    <w:p w14:paraId="1ABF7B1A" w14:textId="77777777" w:rsidR="00A56B85" w:rsidRPr="005B73D2" w:rsidRDefault="00A56B85" w:rsidP="00A56B85">
      <w:pPr>
        <w:pStyle w:val="Titre4"/>
        <w:rPr>
          <w:rStyle w:val="txt"/>
        </w:rPr>
      </w:pPr>
      <w:r w:rsidRPr="004858FF">
        <w:rPr>
          <w:rStyle w:val="txt"/>
        </w:rPr>
        <w:t>ce qu’il faut savoir…</w:t>
      </w:r>
    </w:p>
    <w:p w14:paraId="570723D7" w14:textId="77777777" w:rsidR="00EA60FF" w:rsidRPr="00EA60FF" w:rsidRDefault="00EA60FF" w:rsidP="00EA60FF">
      <w:pPr>
        <w:rPr>
          <w:rFonts w:cstheme="minorHAnsi"/>
        </w:rPr>
      </w:pPr>
      <w:r w:rsidRPr="00EA60FF">
        <w:rPr>
          <w:rFonts w:cstheme="minorHAnsi"/>
        </w:rPr>
        <w:t>A titre préliminaire, rappelons qu’actuellement, le père ainsi que, le cas échéant, le conjoint salarié de la mère ou la personne salariée liée à elle par un pacs ou son concubin, bénéficie d'un congé de paternité et d'accueil de l'enfant de 11 jours consécutifs ou de 18 jours consécutifs en cas de naissances multiples.</w:t>
      </w:r>
    </w:p>
    <w:p w14:paraId="47F6DD7A" w14:textId="77777777" w:rsidR="00EA60FF" w:rsidRPr="00EA60FF" w:rsidRDefault="00EA60FF" w:rsidP="00EA60FF">
      <w:pPr>
        <w:rPr>
          <w:rFonts w:cstheme="minorHAnsi"/>
        </w:rPr>
      </w:pPr>
      <w:r w:rsidRPr="00EA60FF">
        <w:rPr>
          <w:rFonts w:cstheme="minorHAnsi"/>
        </w:rPr>
        <w:t>La durée de ce congé s’ajoute, le cas échéant, au congé naissance de 3 jours (sauf dispositions conventionnelles plus favorables) accordé par l’employeur.</w:t>
      </w:r>
    </w:p>
    <w:p w14:paraId="649B5A26" w14:textId="77777777" w:rsidR="00EA60FF" w:rsidRPr="00EA60FF" w:rsidRDefault="00EA60FF" w:rsidP="00EA60FF">
      <w:pPr>
        <w:rPr>
          <w:rFonts w:cstheme="minorHAnsi"/>
        </w:rPr>
      </w:pPr>
      <w:r w:rsidRPr="00EA60FF">
        <w:rPr>
          <w:rFonts w:cstheme="minorHAnsi"/>
        </w:rPr>
        <w:t>Pour les naissances intervenant à compter du 1</w:t>
      </w:r>
      <w:r w:rsidRPr="00EA60FF">
        <w:rPr>
          <w:rFonts w:cstheme="minorHAnsi"/>
          <w:vertAlign w:val="superscript"/>
        </w:rPr>
        <w:t xml:space="preserve">er </w:t>
      </w:r>
      <w:r w:rsidRPr="00EA60FF">
        <w:rPr>
          <w:rFonts w:cstheme="minorHAnsi"/>
        </w:rPr>
        <w:t>juillet 2021, ou celles qui, intervenant plus tôt, étaient prévues à compter de cette date, ce congé passera à 25 jours calendaires, ou à 32 jours calendaires en cas de naissances multiples.</w:t>
      </w:r>
    </w:p>
    <w:p w14:paraId="36DE52ED" w14:textId="77777777" w:rsidR="00EA60FF" w:rsidRPr="00EA60FF" w:rsidRDefault="00EA60FF" w:rsidP="00EA60FF">
      <w:pPr>
        <w:rPr>
          <w:rFonts w:cstheme="minorHAnsi"/>
        </w:rPr>
      </w:pPr>
      <w:r w:rsidRPr="00EA60FF">
        <w:rPr>
          <w:rFonts w:cstheme="minorHAnsi"/>
        </w:rPr>
        <w:t>Une partie de ce congé de paternité sera désormais obligatoire. Il sera composé :</w:t>
      </w:r>
    </w:p>
    <w:p w14:paraId="0A200FE3" w14:textId="5B9985EB" w:rsidR="00EA60FF" w:rsidRPr="00EA60FF" w:rsidRDefault="00EA60FF" w:rsidP="00AA66AF">
      <w:pPr>
        <w:pStyle w:val="Paragraphedeliste"/>
        <w:numPr>
          <w:ilvl w:val="0"/>
          <w:numId w:val="79"/>
        </w:numPr>
        <w:rPr>
          <w:rFonts w:cstheme="minorHAnsi"/>
        </w:rPr>
      </w:pPr>
      <w:r w:rsidRPr="00EA60FF">
        <w:rPr>
          <w:rFonts w:cstheme="minorHAnsi"/>
        </w:rPr>
        <w:t>d’une période de 4 jours calendaires consécutifs, faisant immédiatement suite au congé de naissance 3 jours ; pendant ces 7 jours, il est interdit d’employer le salarié (et ce, même s’il n’a pas respecté son délai de prévenance quant à la date de l’accouchement et à la durée du congé) ;</w:t>
      </w:r>
    </w:p>
    <w:p w14:paraId="3C555169" w14:textId="090B91B8" w:rsidR="00EA60FF" w:rsidRPr="00EA60FF" w:rsidRDefault="00EA60FF" w:rsidP="00AA66AF">
      <w:pPr>
        <w:pStyle w:val="Paragraphedeliste"/>
        <w:numPr>
          <w:ilvl w:val="0"/>
          <w:numId w:val="79"/>
        </w:numPr>
        <w:rPr>
          <w:rFonts w:cstheme="minorHAnsi"/>
        </w:rPr>
      </w:pPr>
      <w:r w:rsidRPr="00EA60FF">
        <w:rPr>
          <w:rFonts w:cstheme="minorHAnsi"/>
        </w:rPr>
        <w:t>d’une période de 21 jours calendaires, portée à 28 jours calendaires en cas de naissances multiples.</w:t>
      </w:r>
    </w:p>
    <w:p w14:paraId="3020F233" w14:textId="77777777" w:rsidR="00EA60FF" w:rsidRPr="00EA60FF" w:rsidRDefault="00EA60FF" w:rsidP="00EA60FF">
      <w:pPr>
        <w:rPr>
          <w:rFonts w:cstheme="minorHAnsi"/>
        </w:rPr>
      </w:pPr>
      <w:r w:rsidRPr="00EA60FF">
        <w:rPr>
          <w:rFonts w:cstheme="minorHAnsi"/>
        </w:rPr>
        <w:lastRenderedPageBreak/>
        <w:t>A compter du 1</w:t>
      </w:r>
      <w:r w:rsidRPr="00EA60FF">
        <w:rPr>
          <w:rFonts w:cstheme="minorHAnsi"/>
          <w:vertAlign w:val="superscript"/>
        </w:rPr>
        <w:t>er</w:t>
      </w:r>
      <w:r w:rsidRPr="00EA60FF">
        <w:rPr>
          <w:rFonts w:cstheme="minorHAnsi"/>
        </w:rPr>
        <w:t xml:space="preserve"> juillet 2021 toujours, le congé de paternité devra être pris dans les 6 mois suivant la naissance de l’enfant (contre 4 actuellement). </w:t>
      </w:r>
    </w:p>
    <w:p w14:paraId="7AF86C2F" w14:textId="77777777" w:rsidR="00EA60FF" w:rsidRPr="00EA60FF" w:rsidRDefault="00EA60FF" w:rsidP="00EA60FF">
      <w:pPr>
        <w:rPr>
          <w:rFonts w:cstheme="minorHAnsi"/>
        </w:rPr>
      </w:pPr>
      <w:r w:rsidRPr="00EA60FF">
        <w:rPr>
          <w:rFonts w:cstheme="minorHAnsi"/>
        </w:rPr>
        <w:t xml:space="preserve">Concernant le délai de prévenance, le salarié devra informer son employeur de la date prévisionnelle de l’accouchement au moins un mois avant cette date. </w:t>
      </w:r>
    </w:p>
    <w:p w14:paraId="275B493A" w14:textId="19174B87" w:rsidR="00EA60FF" w:rsidRPr="00EA60FF" w:rsidRDefault="00EA60FF" w:rsidP="00EA60FF">
      <w:pPr>
        <w:rPr>
          <w:rFonts w:cstheme="minorHAnsi"/>
        </w:rPr>
      </w:pPr>
      <w:r w:rsidRPr="00EA60FF">
        <w:rPr>
          <w:rFonts w:cstheme="minorHAnsi"/>
        </w:rPr>
        <w:t xml:space="preserve">La période de congé de 21 jours (28 en cas de naissances multiples) pourra être fractionnée en 2 périodes d’une durée minimale de 5 jours chacune. Dans cette situation, le salarié devra alors informer son employeur des dates de prises et des durées de la (ou des) période(s) de congés, au moins un mois avant le début de chacune de ces périodes. </w:t>
      </w:r>
    </w:p>
    <w:p w14:paraId="7414FD2D" w14:textId="77777777" w:rsidR="00EA60FF" w:rsidRPr="00EA60FF" w:rsidRDefault="00EA60FF" w:rsidP="00EA60FF">
      <w:pPr>
        <w:rPr>
          <w:rFonts w:cstheme="minorHAnsi"/>
        </w:rPr>
      </w:pPr>
      <w:r w:rsidRPr="00EA60FF">
        <w:rPr>
          <w:rFonts w:cstheme="minorHAnsi"/>
        </w:rPr>
        <w:t xml:space="preserve">Enfin, en cas de naissance de l’enfant avant la date prévisionnelle de l’accouchement et si le salarié souhaite débuter la ou les périodes de congé au cours du mois suivant la naissance, il devra en informer sans délai son employeur. </w:t>
      </w:r>
    </w:p>
    <w:p w14:paraId="64418FA5" w14:textId="793752D5" w:rsidR="00EA60FF" w:rsidRPr="00EA60FF" w:rsidRDefault="00EA60FF" w:rsidP="00AA66AF">
      <w:pPr>
        <w:pStyle w:val="Paragraphedeliste"/>
        <w:numPr>
          <w:ilvl w:val="0"/>
          <w:numId w:val="80"/>
        </w:numPr>
        <w:rPr>
          <w:rFonts w:cstheme="minorHAnsi"/>
          <w:b/>
          <w:bCs/>
          <w:i/>
          <w:iCs/>
          <w:u w:val="single"/>
        </w:rPr>
      </w:pPr>
      <w:r w:rsidRPr="00EA60FF">
        <w:rPr>
          <w:rFonts w:cstheme="minorHAnsi"/>
          <w:b/>
          <w:bCs/>
          <w:i/>
          <w:iCs/>
          <w:u w:val="single"/>
        </w:rPr>
        <w:t xml:space="preserve">Report du congé de paternité </w:t>
      </w:r>
    </w:p>
    <w:p w14:paraId="4230A726" w14:textId="2DB9377C" w:rsidR="00EA60FF" w:rsidRPr="00EA60FF" w:rsidRDefault="00EA60FF" w:rsidP="00EA60FF">
      <w:pPr>
        <w:rPr>
          <w:rFonts w:cstheme="minorHAnsi"/>
        </w:rPr>
      </w:pPr>
      <w:r w:rsidRPr="00EA60FF">
        <w:rPr>
          <w:rFonts w:cstheme="minorHAnsi"/>
        </w:rPr>
        <w:t xml:space="preserve">Le report du congé paternité est toujours possible et pourra intervenir au-delà des 6 mois suivant la naissance de l’enfant, dans les cas suivants : </w:t>
      </w:r>
    </w:p>
    <w:p w14:paraId="5F894075" w14:textId="57F0DFC6" w:rsidR="00EA60FF" w:rsidRPr="00EA60FF" w:rsidRDefault="00EA60FF" w:rsidP="00AA66AF">
      <w:pPr>
        <w:pStyle w:val="Paragraphedeliste"/>
        <w:numPr>
          <w:ilvl w:val="0"/>
          <w:numId w:val="81"/>
        </w:numPr>
        <w:rPr>
          <w:rFonts w:cstheme="minorHAnsi"/>
        </w:rPr>
      </w:pPr>
      <w:r w:rsidRPr="00EA60FF">
        <w:rPr>
          <w:rFonts w:cstheme="minorHAnsi"/>
        </w:rPr>
        <w:t xml:space="preserve">hospitalisation de l’enfant ; le congé sera alors pris dans les 6 mois suivant la fin de l’hospitalisation ; </w:t>
      </w:r>
    </w:p>
    <w:p w14:paraId="2F7AB8AC" w14:textId="1D1041C5" w:rsidR="00EA60FF" w:rsidRPr="00EA60FF" w:rsidRDefault="00EA60FF" w:rsidP="00AA66AF">
      <w:pPr>
        <w:pStyle w:val="Paragraphedeliste"/>
        <w:numPr>
          <w:ilvl w:val="0"/>
          <w:numId w:val="81"/>
        </w:numPr>
        <w:rPr>
          <w:rFonts w:cstheme="minorHAnsi"/>
        </w:rPr>
      </w:pPr>
      <w:r w:rsidRPr="00EA60FF">
        <w:rPr>
          <w:rFonts w:cstheme="minorHAnsi"/>
        </w:rPr>
        <w:t xml:space="preserve">décès de la mère ; le congé sera alors pris dans les 6 mois suivant la fin du congé dont bénéficie le père suite au décès de la mère. </w:t>
      </w:r>
    </w:p>
    <w:p w14:paraId="120B751B" w14:textId="77777777" w:rsidR="00EA60FF" w:rsidRPr="00EA60FF" w:rsidRDefault="00EA60FF" w:rsidP="00EA60FF">
      <w:pPr>
        <w:rPr>
          <w:rFonts w:cstheme="minorHAnsi"/>
        </w:rPr>
      </w:pPr>
      <w:r w:rsidRPr="00EA60FF">
        <w:rPr>
          <w:rFonts w:cstheme="minorHAnsi"/>
        </w:rPr>
        <w:t xml:space="preserve">Pour rappel dans cette dernière hypothèse, le père bénéficie d’un droit à indemnisation pour la durée restant à courir entre la date du décès et la fin du congé maternité de la mère. </w:t>
      </w:r>
    </w:p>
    <w:p w14:paraId="5C983F62" w14:textId="77777777" w:rsidR="00EA60FF" w:rsidRPr="00EA60FF" w:rsidRDefault="00EA60FF" w:rsidP="00EA60FF">
      <w:pPr>
        <w:rPr>
          <w:rFonts w:cstheme="minorHAnsi"/>
        </w:rPr>
      </w:pPr>
      <w:r w:rsidRPr="00EA60FF">
        <w:rPr>
          <w:rFonts w:cstheme="minorHAnsi"/>
        </w:rPr>
        <w:t xml:space="preserve">Dans l’hypothèse où la naissance de l’enfant intervient alors que le salarié a pris des congés payés ou un congé pour évènements familiaux, l’interdiction d’emploi débute à l’issue de cette période de congés. </w:t>
      </w:r>
    </w:p>
    <w:p w14:paraId="57C483BE" w14:textId="3F6C22BD" w:rsidR="00EA60FF" w:rsidRPr="00EA60FF" w:rsidRDefault="00EA60FF" w:rsidP="00AA66AF">
      <w:pPr>
        <w:pStyle w:val="Paragraphedeliste"/>
        <w:numPr>
          <w:ilvl w:val="0"/>
          <w:numId w:val="80"/>
        </w:numPr>
        <w:rPr>
          <w:rFonts w:cstheme="minorHAnsi"/>
          <w:b/>
          <w:bCs/>
          <w:i/>
          <w:iCs/>
          <w:u w:val="single"/>
        </w:rPr>
      </w:pPr>
      <w:r w:rsidRPr="00EA60FF">
        <w:rPr>
          <w:rFonts w:cstheme="minorHAnsi"/>
          <w:b/>
          <w:bCs/>
          <w:i/>
          <w:iCs/>
          <w:u w:val="single"/>
        </w:rPr>
        <w:t>Prolongation du congé de paternité</w:t>
      </w:r>
    </w:p>
    <w:p w14:paraId="28FEF481" w14:textId="77777777" w:rsidR="00EA60FF" w:rsidRPr="00EA60FF" w:rsidRDefault="00EA60FF" w:rsidP="00EA60FF">
      <w:pPr>
        <w:rPr>
          <w:rFonts w:cstheme="minorHAnsi"/>
        </w:rPr>
      </w:pPr>
      <w:r w:rsidRPr="00EA60FF">
        <w:rPr>
          <w:rFonts w:cstheme="minorHAnsi"/>
        </w:rPr>
        <w:t xml:space="preserve">Lorsque l'état de santé de l'enfant nécessite son hospitalisation immédiate après la naissance dans une unité de soins spécialisée, la période de congé obligatoire de 4 jours est prolongée, à la demande du salarié, pendant la période d'hospitalisation, dans la limite de 30 jours consécutifs. </w:t>
      </w:r>
    </w:p>
    <w:p w14:paraId="57F6C297" w14:textId="15ABE205" w:rsidR="00EA60FF" w:rsidRPr="00EA60FF" w:rsidRDefault="00EA60FF" w:rsidP="00AA66AF">
      <w:pPr>
        <w:pStyle w:val="Paragraphedeliste"/>
        <w:numPr>
          <w:ilvl w:val="0"/>
          <w:numId w:val="80"/>
        </w:numPr>
        <w:rPr>
          <w:rFonts w:cstheme="minorHAnsi"/>
          <w:b/>
          <w:bCs/>
          <w:i/>
          <w:iCs/>
          <w:u w:val="single"/>
        </w:rPr>
      </w:pPr>
      <w:r w:rsidRPr="00EA60FF">
        <w:rPr>
          <w:rFonts w:cstheme="minorHAnsi"/>
          <w:b/>
          <w:bCs/>
          <w:i/>
          <w:iCs/>
          <w:u w:val="single"/>
        </w:rPr>
        <w:t>Indemnisation du congé de paternité</w:t>
      </w:r>
    </w:p>
    <w:p w14:paraId="0B2FEBED" w14:textId="3B57F1B6" w:rsidR="00A56B85" w:rsidRDefault="00EA60FF" w:rsidP="00EA60FF">
      <w:pPr>
        <w:rPr>
          <w:rFonts w:cstheme="minorHAnsi"/>
        </w:rPr>
      </w:pPr>
      <w:r w:rsidRPr="00EA60FF">
        <w:rPr>
          <w:rFonts w:cstheme="minorHAnsi"/>
        </w:rPr>
        <w:t>Le salarié pourra bénéficier des indemnités journalières de sécurité sociale (IJSS) pendant l’ensemble de la période de congé paternité, et ce, même si ce congé est fractionné.</w:t>
      </w:r>
    </w:p>
    <w:p w14:paraId="7BDF33B2" w14:textId="77777777" w:rsidR="00A56B85" w:rsidRDefault="00A56B85" w:rsidP="00A56B85"/>
    <w:p w14:paraId="0ED5A803" w14:textId="299BD4C6" w:rsidR="004F502E" w:rsidRPr="00BA1E49" w:rsidRDefault="00112804" w:rsidP="004F502E">
      <w:pPr>
        <w:pStyle w:val="Titre3"/>
      </w:pPr>
      <w:bookmarkStart w:id="20" w:name="_Toc74651309"/>
      <w:r>
        <w:t>Télétravail et NTIC : remboursement des frais professionnels</w:t>
      </w:r>
      <w:bookmarkEnd w:id="20"/>
    </w:p>
    <w:p w14:paraId="1BF1D263" w14:textId="3F73121F" w:rsidR="004F502E" w:rsidRDefault="004F502E" w:rsidP="006D3AAB">
      <w:pPr>
        <w:spacing w:before="0" w:after="0"/>
        <w:rPr>
          <w:rFonts w:cstheme="minorHAnsi"/>
        </w:rPr>
      </w:pPr>
      <w:r w:rsidRPr="00E45B66">
        <w:rPr>
          <w:rFonts w:cstheme="minorHAnsi"/>
          <w:b/>
          <w:color w:val="0070C0"/>
        </w:rPr>
        <w:t>Slide</w:t>
      </w:r>
      <w:r>
        <w:rPr>
          <w:rFonts w:cstheme="minorHAnsi"/>
          <w:b/>
          <w:color w:val="0070C0"/>
        </w:rPr>
        <w:t xml:space="preserve"> </w:t>
      </w:r>
      <w:r w:rsidR="006D3AAB">
        <w:rPr>
          <w:rFonts w:cstheme="minorHAnsi"/>
          <w:b/>
          <w:color w:val="0070C0"/>
        </w:rPr>
        <w:t>25</w:t>
      </w:r>
    </w:p>
    <w:p w14:paraId="3322934A" w14:textId="70B942F4" w:rsidR="004F502E" w:rsidRPr="001D610B" w:rsidRDefault="004F502E" w:rsidP="004F502E">
      <w:pPr>
        <w:rPr>
          <w:rFonts w:cstheme="minorHAnsi"/>
        </w:rPr>
      </w:pPr>
      <w:r w:rsidRPr="00451FF7">
        <w:rPr>
          <w:rFonts w:cstheme="minorHAnsi"/>
        </w:rPr>
        <w:t>Source </w:t>
      </w:r>
      <w:r w:rsidRPr="002545F5">
        <w:rPr>
          <w:rFonts w:cstheme="minorHAnsi"/>
        </w:rPr>
        <w:t xml:space="preserve">: </w:t>
      </w:r>
      <w:r w:rsidR="001D610B" w:rsidRPr="001D610B">
        <w:rPr>
          <w:rFonts w:cstheme="minorHAnsi"/>
        </w:rPr>
        <w:t>Bulletin Officiel de la Sécurité Sociale (BOSS), Frais professionnels, §§ 1750 à 1810, §§1860 à 1880</w:t>
      </w:r>
    </w:p>
    <w:p w14:paraId="50795852" w14:textId="77777777" w:rsidR="004F502E" w:rsidRPr="005B73D2" w:rsidRDefault="004F502E" w:rsidP="004F502E">
      <w:pPr>
        <w:pStyle w:val="Titre4"/>
        <w:rPr>
          <w:rStyle w:val="txt"/>
        </w:rPr>
      </w:pPr>
      <w:r w:rsidRPr="004858FF">
        <w:rPr>
          <w:rStyle w:val="txt"/>
        </w:rPr>
        <w:t>ce qu’il faut savoir…</w:t>
      </w:r>
    </w:p>
    <w:p w14:paraId="5C45524A" w14:textId="4A5C1E46" w:rsidR="00D01FCC" w:rsidRPr="00D01FCC" w:rsidRDefault="00D01FCC" w:rsidP="00D01FCC">
      <w:pPr>
        <w:pStyle w:val="Paragraphedeliste"/>
        <w:numPr>
          <w:ilvl w:val="0"/>
          <w:numId w:val="93"/>
        </w:numPr>
        <w:rPr>
          <w:rFonts w:cstheme="minorHAnsi"/>
          <w:b/>
          <w:bCs/>
          <w:i/>
          <w:iCs/>
          <w:u w:val="single"/>
        </w:rPr>
      </w:pPr>
      <w:r w:rsidRPr="00D01FCC">
        <w:rPr>
          <w:rFonts w:cstheme="minorHAnsi"/>
          <w:b/>
          <w:bCs/>
          <w:i/>
          <w:iCs/>
          <w:u w:val="single"/>
        </w:rPr>
        <w:t>Frais professionnels engagés par le salarié en situation de télétravail</w:t>
      </w:r>
    </w:p>
    <w:p w14:paraId="6A72CFED" w14:textId="77777777" w:rsidR="00D01FCC" w:rsidRPr="00D01FCC" w:rsidRDefault="00D01FCC" w:rsidP="00D01FCC">
      <w:pPr>
        <w:rPr>
          <w:rFonts w:cstheme="minorHAnsi"/>
        </w:rPr>
      </w:pPr>
      <w:r w:rsidRPr="00D01FCC">
        <w:rPr>
          <w:rFonts w:cstheme="minorHAnsi"/>
        </w:rPr>
        <w:lastRenderedPageBreak/>
        <w:t>Pour rappel, les frais engagés par le salarié en situation de télétravail sont considérés comme des charges de caractère spécial inhérentes à la fonction ou à l’emploi, sous réserve que les remboursements effectués par l’employeur soient justifiés par la réalité des dépenses professionnelles supportées par le salarié.</w:t>
      </w:r>
    </w:p>
    <w:p w14:paraId="519F9847" w14:textId="77777777" w:rsidR="00D01FCC" w:rsidRPr="00D01FCC" w:rsidRDefault="00D01FCC" w:rsidP="00D01FCC">
      <w:pPr>
        <w:rPr>
          <w:rFonts w:cstheme="minorHAnsi"/>
        </w:rPr>
      </w:pPr>
      <w:r w:rsidRPr="00D01FCC">
        <w:rPr>
          <w:rFonts w:cstheme="minorHAnsi"/>
        </w:rPr>
        <w:t>Ainsi, 3 catégories de frais peuvent être identifiées et exonérées de cotisations sociales :</w:t>
      </w:r>
    </w:p>
    <w:p w14:paraId="72A1CC2F" w14:textId="4E243589" w:rsidR="00D01FCC" w:rsidRPr="00D01FCC" w:rsidRDefault="00D01FCC" w:rsidP="00D01FCC">
      <w:pPr>
        <w:pStyle w:val="Paragraphedeliste"/>
        <w:numPr>
          <w:ilvl w:val="0"/>
          <w:numId w:val="94"/>
        </w:numPr>
        <w:rPr>
          <w:rFonts w:cstheme="minorHAnsi"/>
        </w:rPr>
      </w:pPr>
      <w:r w:rsidRPr="00D01FCC">
        <w:rPr>
          <w:rFonts w:cstheme="minorHAnsi"/>
        </w:rPr>
        <w:t>les frais fixes et variables liés à la mise à disposition d’un local privé pour un usage professionnel ;</w:t>
      </w:r>
    </w:p>
    <w:p w14:paraId="44231299" w14:textId="2C8C20C0" w:rsidR="00D01FCC" w:rsidRPr="00D01FCC" w:rsidRDefault="00D01FCC" w:rsidP="00D01FCC">
      <w:pPr>
        <w:pStyle w:val="Paragraphedeliste"/>
        <w:numPr>
          <w:ilvl w:val="0"/>
          <w:numId w:val="94"/>
        </w:numPr>
        <w:rPr>
          <w:rFonts w:cstheme="minorHAnsi"/>
        </w:rPr>
      </w:pPr>
      <w:r w:rsidRPr="00D01FCC">
        <w:rPr>
          <w:rFonts w:cstheme="minorHAnsi"/>
        </w:rPr>
        <w:t>les frais liés à l’adaptation d’un local spécifique ;</w:t>
      </w:r>
    </w:p>
    <w:p w14:paraId="108D443D" w14:textId="58FFD385" w:rsidR="00D01FCC" w:rsidRPr="00D01FCC" w:rsidRDefault="00D01FCC" w:rsidP="00D01FCC">
      <w:pPr>
        <w:pStyle w:val="Paragraphedeliste"/>
        <w:numPr>
          <w:ilvl w:val="0"/>
          <w:numId w:val="94"/>
        </w:numPr>
        <w:rPr>
          <w:rFonts w:cstheme="minorHAnsi"/>
        </w:rPr>
      </w:pPr>
      <w:r w:rsidRPr="00D01FCC">
        <w:rPr>
          <w:rFonts w:cstheme="minorHAnsi"/>
        </w:rPr>
        <w:t>les frais de matériel informatique, de connexion et de fournitures diverses.</w:t>
      </w:r>
    </w:p>
    <w:p w14:paraId="167F84AC" w14:textId="77777777" w:rsidR="00D01FCC" w:rsidRPr="00D01FCC" w:rsidRDefault="00D01FCC" w:rsidP="00D01FCC">
      <w:pPr>
        <w:rPr>
          <w:rFonts w:cstheme="minorHAnsi"/>
        </w:rPr>
      </w:pPr>
      <w:r w:rsidRPr="00D01FCC">
        <w:rPr>
          <w:rFonts w:cstheme="minorHAnsi"/>
        </w:rPr>
        <w:t>D’autres frais professionnels peuvent être admis, à charge pour l’employeur de démontrer qu’il s’agit de frais professionnels liés au télétravail.</w:t>
      </w:r>
    </w:p>
    <w:p w14:paraId="351169EA" w14:textId="77777777" w:rsidR="00D01FCC" w:rsidRPr="00D01FCC" w:rsidRDefault="00D01FCC" w:rsidP="00D01FCC">
      <w:pPr>
        <w:rPr>
          <w:rFonts w:cstheme="minorHAnsi"/>
        </w:rPr>
      </w:pPr>
      <w:r w:rsidRPr="00D01FCC">
        <w:rPr>
          <w:rFonts w:cstheme="minorHAnsi"/>
        </w:rPr>
        <w:t xml:space="preserve">En principe, le remboursement des frais engagés par les salariés au titre du télétravail peut être exonéré de cotisations sociales s’il est effectué sur la base de leur valeur réelle. </w:t>
      </w:r>
    </w:p>
    <w:p w14:paraId="78190F05" w14:textId="77777777" w:rsidR="00D01FCC" w:rsidRPr="00D01FCC" w:rsidRDefault="00D01FCC" w:rsidP="00D01FCC">
      <w:pPr>
        <w:rPr>
          <w:rFonts w:cstheme="minorHAnsi"/>
        </w:rPr>
      </w:pPr>
      <w:r w:rsidRPr="00D01FCC">
        <w:rPr>
          <w:rFonts w:cstheme="minorHAnsi"/>
        </w:rPr>
        <w:t xml:space="preserve">Depuis décembre 2019, l’administration sociale admettait également la possibilité pour les employeurs de rembourser les frais professionnels liés au télétravail via le versement à leurs salariés d’une allocation forfaitaire. </w:t>
      </w:r>
    </w:p>
    <w:p w14:paraId="74622AEC" w14:textId="77777777" w:rsidR="00D01FCC" w:rsidRPr="00D01FCC" w:rsidRDefault="00D01FCC" w:rsidP="00D01FCC">
      <w:pPr>
        <w:rPr>
          <w:rFonts w:cstheme="minorHAnsi"/>
        </w:rPr>
      </w:pPr>
      <w:r w:rsidRPr="00D01FCC">
        <w:rPr>
          <w:rFonts w:cstheme="minorHAnsi"/>
        </w:rPr>
        <w:t>Cette possibilité est officialisée depuis le 1</w:t>
      </w:r>
      <w:r w:rsidRPr="00D01FCC">
        <w:rPr>
          <w:rFonts w:cstheme="minorHAnsi"/>
          <w:vertAlign w:val="superscript"/>
        </w:rPr>
        <w:t>er</w:t>
      </w:r>
      <w:r w:rsidRPr="00D01FCC">
        <w:rPr>
          <w:rFonts w:cstheme="minorHAnsi"/>
        </w:rPr>
        <w:t xml:space="preserve"> avril 2021 et la publication du Bulletin officiel de la sécurité sociale (Boss). </w:t>
      </w:r>
    </w:p>
    <w:p w14:paraId="7515A687" w14:textId="77777777" w:rsidR="00D01FCC" w:rsidRPr="00D01FCC" w:rsidRDefault="00D01FCC" w:rsidP="00D01FCC">
      <w:pPr>
        <w:rPr>
          <w:rFonts w:cstheme="minorHAnsi"/>
        </w:rPr>
      </w:pPr>
      <w:r w:rsidRPr="00D01FCC">
        <w:rPr>
          <w:rFonts w:cstheme="minorHAnsi"/>
        </w:rPr>
        <w:t>Ainsi, cette allocation est exonérée de cotisations et contributions sociales dans la limite globale de :</w:t>
      </w:r>
    </w:p>
    <w:p w14:paraId="5AA2808D" w14:textId="365736BD" w:rsidR="00D01FCC" w:rsidRPr="00D01FCC" w:rsidRDefault="00D01FCC" w:rsidP="00D01FCC">
      <w:pPr>
        <w:pStyle w:val="Paragraphedeliste"/>
        <w:numPr>
          <w:ilvl w:val="0"/>
          <w:numId w:val="95"/>
        </w:numPr>
        <w:rPr>
          <w:rFonts w:cstheme="minorHAnsi"/>
        </w:rPr>
      </w:pPr>
      <w:r w:rsidRPr="00D01FCC">
        <w:rPr>
          <w:rFonts w:cstheme="minorHAnsi"/>
        </w:rPr>
        <w:t>10 € par mois, pour un salarié effectuant 1 jour de télétravail par semaine ;</w:t>
      </w:r>
    </w:p>
    <w:p w14:paraId="272A96A3" w14:textId="4D755F7F" w:rsidR="00D01FCC" w:rsidRPr="00D01FCC" w:rsidRDefault="00D01FCC" w:rsidP="00D01FCC">
      <w:pPr>
        <w:pStyle w:val="Paragraphedeliste"/>
        <w:numPr>
          <w:ilvl w:val="0"/>
          <w:numId w:val="95"/>
        </w:numPr>
        <w:rPr>
          <w:rFonts w:cstheme="minorHAnsi"/>
        </w:rPr>
      </w:pPr>
      <w:r w:rsidRPr="00D01FCC">
        <w:rPr>
          <w:rFonts w:cstheme="minorHAnsi"/>
        </w:rPr>
        <w:t>20 € par mois, pour un salarié effectuant 2 jours de télétravail par semaine ;</w:t>
      </w:r>
    </w:p>
    <w:p w14:paraId="27E1B6E5" w14:textId="56529F5A" w:rsidR="00D01FCC" w:rsidRPr="00D01FCC" w:rsidRDefault="00D01FCC" w:rsidP="00D01FCC">
      <w:pPr>
        <w:pStyle w:val="Paragraphedeliste"/>
        <w:numPr>
          <w:ilvl w:val="0"/>
          <w:numId w:val="95"/>
        </w:numPr>
        <w:rPr>
          <w:rFonts w:cstheme="minorHAnsi"/>
        </w:rPr>
      </w:pPr>
      <w:r w:rsidRPr="00D01FCC">
        <w:rPr>
          <w:rFonts w:cstheme="minorHAnsi"/>
        </w:rPr>
        <w:t>30 € par mois, pour un salarié effectuant 3 jours de télétravail par semaine ;</w:t>
      </w:r>
    </w:p>
    <w:p w14:paraId="19323434" w14:textId="64A8D1E6" w:rsidR="00D01FCC" w:rsidRPr="00D01FCC" w:rsidRDefault="00D01FCC" w:rsidP="00D01FCC">
      <w:pPr>
        <w:pStyle w:val="Paragraphedeliste"/>
        <w:numPr>
          <w:ilvl w:val="0"/>
          <w:numId w:val="95"/>
        </w:numPr>
        <w:rPr>
          <w:rFonts w:cstheme="minorHAnsi"/>
        </w:rPr>
      </w:pPr>
      <w:r w:rsidRPr="00D01FCC">
        <w:rPr>
          <w:rFonts w:cstheme="minorHAnsi"/>
        </w:rPr>
        <w:t>etc.</w:t>
      </w:r>
    </w:p>
    <w:p w14:paraId="36096D88" w14:textId="77777777" w:rsidR="00D01FCC" w:rsidRPr="00D01FCC" w:rsidRDefault="00D01FCC" w:rsidP="00D01FCC">
      <w:pPr>
        <w:rPr>
          <w:rFonts w:cstheme="minorHAnsi"/>
        </w:rPr>
      </w:pPr>
      <w:r w:rsidRPr="00D01FCC">
        <w:rPr>
          <w:rFonts w:cstheme="minorHAnsi"/>
        </w:rPr>
        <w:t xml:space="preserve">Désormais, les employeurs ont également la possibilité de fixer un dispositif d’allocation forfaire par jour, qui sera exonérée de cotisations sociales dès lors que son montant n’excède pas 2,50 € par jour, dans la limite de 55€ par mois. </w:t>
      </w:r>
    </w:p>
    <w:p w14:paraId="22BBCE8E" w14:textId="77777777" w:rsidR="00D01FCC" w:rsidRPr="00D01FCC" w:rsidRDefault="00D01FCC" w:rsidP="00D01FCC">
      <w:pPr>
        <w:rPr>
          <w:rFonts w:cstheme="minorHAnsi"/>
        </w:rPr>
      </w:pPr>
      <w:r w:rsidRPr="00D01FCC">
        <w:rPr>
          <w:rFonts w:cstheme="minorHAnsi"/>
        </w:rPr>
        <w:t xml:space="preserve">En cas de remboursement dépassant ces limites, l’exonération ne pourra être admise que sur la base des justificatifs produits à l’occasion des contrôles. </w:t>
      </w:r>
    </w:p>
    <w:p w14:paraId="19EFD064" w14:textId="77777777" w:rsidR="00D01FCC" w:rsidRPr="00D01FCC" w:rsidRDefault="00D01FCC" w:rsidP="00D01FCC">
      <w:pPr>
        <w:rPr>
          <w:rFonts w:cstheme="minorHAnsi"/>
        </w:rPr>
      </w:pPr>
      <w:r w:rsidRPr="00D01FCC">
        <w:rPr>
          <w:rFonts w:cstheme="minorHAnsi"/>
        </w:rPr>
        <w:t>A l’inverse, l’administration sociale tolérait l’application de l’exonération de cotisations sociales au montant d’une allocation forfaitaire fixée par accord collectif (de branche, professionnel ou de groupe), dès lors que cette allocation était attribuée en fonction du nombre de jours effectivement travaillés. Cette tolérance n’est plus admise depuis le 1</w:t>
      </w:r>
      <w:r w:rsidRPr="00D01FCC">
        <w:rPr>
          <w:rFonts w:cstheme="minorHAnsi"/>
          <w:vertAlign w:val="superscript"/>
        </w:rPr>
        <w:t>er</w:t>
      </w:r>
      <w:r w:rsidRPr="00D01FCC">
        <w:rPr>
          <w:rFonts w:cstheme="minorHAnsi"/>
        </w:rPr>
        <w:t xml:space="preserve"> avril 2021.</w:t>
      </w:r>
    </w:p>
    <w:p w14:paraId="201A45A7" w14:textId="77777777" w:rsidR="00D01FCC" w:rsidRPr="00D01FCC" w:rsidRDefault="00D01FCC" w:rsidP="00D01FCC">
      <w:pPr>
        <w:rPr>
          <w:rFonts w:cstheme="minorHAnsi"/>
        </w:rPr>
      </w:pPr>
    </w:p>
    <w:p w14:paraId="2AEEC96C" w14:textId="578FB54A" w:rsidR="00D01FCC" w:rsidRPr="00D01FCC" w:rsidRDefault="00D01FCC" w:rsidP="00D01FCC">
      <w:pPr>
        <w:pStyle w:val="Paragraphedeliste"/>
        <w:numPr>
          <w:ilvl w:val="0"/>
          <w:numId w:val="96"/>
        </w:numPr>
        <w:rPr>
          <w:rFonts w:cstheme="minorHAnsi"/>
        </w:rPr>
      </w:pPr>
      <w:r w:rsidRPr="00D01FCC">
        <w:rPr>
          <w:rFonts w:cstheme="minorHAnsi"/>
          <w:b/>
          <w:bCs/>
          <w:i/>
          <w:iCs/>
          <w:u w:val="single"/>
        </w:rPr>
        <w:t>Frais professionnels au titre de l’utilisation d’outils issus des nouvelles technologies de l’information et de la communication (NTIC)</w:t>
      </w:r>
    </w:p>
    <w:p w14:paraId="25B1FF17" w14:textId="77777777" w:rsidR="00D01FCC" w:rsidRPr="00D01FCC" w:rsidRDefault="00D01FCC" w:rsidP="00D01FCC">
      <w:pPr>
        <w:rPr>
          <w:rFonts w:cstheme="minorHAnsi"/>
        </w:rPr>
      </w:pPr>
      <w:r w:rsidRPr="00D01FCC">
        <w:rPr>
          <w:rFonts w:cstheme="minorHAnsi"/>
        </w:rPr>
        <w:t xml:space="preserve">Les frais engagés par les salariés à la suite de l’utilisation de leurs téléphones portables personnels, ordinateurs personnels, connexion web etc., doivent être remboursés par l’entreprise. </w:t>
      </w:r>
    </w:p>
    <w:p w14:paraId="3893DA71" w14:textId="77777777" w:rsidR="00D01FCC" w:rsidRPr="00D01FCC" w:rsidRDefault="00D01FCC" w:rsidP="00D01FCC">
      <w:pPr>
        <w:rPr>
          <w:rFonts w:cstheme="minorHAnsi"/>
        </w:rPr>
      </w:pPr>
      <w:r w:rsidRPr="00D01FCC">
        <w:rPr>
          <w:rFonts w:cstheme="minorHAnsi"/>
        </w:rPr>
        <w:t>Pour évaluer les dépenses remboursables en exonération de charges sociales, il faut prendre en compte :</w:t>
      </w:r>
    </w:p>
    <w:p w14:paraId="1B2FE6A9" w14:textId="7A94BB30" w:rsidR="00D01FCC" w:rsidRPr="00D01FCC" w:rsidRDefault="00D01FCC" w:rsidP="00D01FCC">
      <w:pPr>
        <w:pStyle w:val="Paragraphedeliste"/>
        <w:numPr>
          <w:ilvl w:val="0"/>
          <w:numId w:val="97"/>
        </w:numPr>
        <w:rPr>
          <w:rFonts w:cstheme="minorHAnsi"/>
        </w:rPr>
      </w:pPr>
      <w:r w:rsidRPr="00D01FCC">
        <w:rPr>
          <w:rFonts w:cstheme="minorHAnsi"/>
        </w:rPr>
        <w:t>pour le matériel amortissable (ordinateur par exemple), l’annuité d’amortissement ;</w:t>
      </w:r>
    </w:p>
    <w:p w14:paraId="17B0B16C" w14:textId="79389F90" w:rsidR="00D01FCC" w:rsidRPr="00D01FCC" w:rsidRDefault="00D01FCC" w:rsidP="00D01FCC">
      <w:pPr>
        <w:pStyle w:val="Paragraphedeliste"/>
        <w:numPr>
          <w:ilvl w:val="0"/>
          <w:numId w:val="97"/>
        </w:numPr>
        <w:rPr>
          <w:rFonts w:cstheme="minorHAnsi"/>
        </w:rPr>
      </w:pPr>
      <w:r w:rsidRPr="00D01FCC">
        <w:rPr>
          <w:rFonts w:cstheme="minorHAnsi"/>
        </w:rPr>
        <w:t>pour le petit matériel non amortissable, la valeur d’achat ;</w:t>
      </w:r>
    </w:p>
    <w:p w14:paraId="70932F68" w14:textId="59F5BEE7" w:rsidR="00D01FCC" w:rsidRPr="00D01FCC" w:rsidRDefault="00D01FCC" w:rsidP="00D01FCC">
      <w:pPr>
        <w:pStyle w:val="Paragraphedeliste"/>
        <w:numPr>
          <w:ilvl w:val="0"/>
          <w:numId w:val="97"/>
        </w:numPr>
        <w:rPr>
          <w:rFonts w:cstheme="minorHAnsi"/>
        </w:rPr>
      </w:pPr>
      <w:r w:rsidRPr="00D01FCC">
        <w:rPr>
          <w:rFonts w:cstheme="minorHAnsi"/>
        </w:rPr>
        <w:lastRenderedPageBreak/>
        <w:t>pour les consommables (papier, encre, etc.) et la connexion internet, les justificatifs remis par le salarié.</w:t>
      </w:r>
    </w:p>
    <w:p w14:paraId="598EAB4E" w14:textId="77777777" w:rsidR="00D01FCC" w:rsidRPr="00D01FCC" w:rsidRDefault="00D01FCC" w:rsidP="00D01FCC">
      <w:pPr>
        <w:rPr>
          <w:rFonts w:cstheme="minorHAnsi"/>
        </w:rPr>
      </w:pPr>
      <w:r w:rsidRPr="00D01FCC">
        <w:rPr>
          <w:rFonts w:cstheme="minorHAnsi"/>
        </w:rPr>
        <w:t xml:space="preserve">Il appartient alors à l’employeur de justifier des frais réellement exposés par leurs salariés. </w:t>
      </w:r>
    </w:p>
    <w:p w14:paraId="514EB95C" w14:textId="77777777" w:rsidR="00D01FCC" w:rsidRPr="00D01FCC" w:rsidRDefault="00D01FCC" w:rsidP="00D01FCC">
      <w:pPr>
        <w:rPr>
          <w:rFonts w:cstheme="minorHAnsi"/>
        </w:rPr>
      </w:pPr>
      <w:r w:rsidRPr="00D01FCC">
        <w:rPr>
          <w:rFonts w:cstheme="minorHAnsi"/>
        </w:rPr>
        <w:t>Toutefois, depuis le 1</w:t>
      </w:r>
      <w:r w:rsidRPr="00D01FCC">
        <w:rPr>
          <w:rFonts w:cstheme="minorHAnsi"/>
          <w:vertAlign w:val="superscript"/>
        </w:rPr>
        <w:t>er</w:t>
      </w:r>
      <w:r w:rsidRPr="00D01FCC">
        <w:rPr>
          <w:rFonts w:cstheme="minorHAnsi"/>
        </w:rPr>
        <w:t xml:space="preserve"> avril 2021, l’administration sociale admet que lorsqu’un employeur ne peut pas justifier de la réalité des dépenses professionnelles supportées par ses salariés et que les frais engagés sont justifiés par une raison professionnelle, ceux-ci peuvent être remboursés sur la base d’une allocation forfaitaire qui ne peut excéder 50 € par mois.</w:t>
      </w:r>
    </w:p>
    <w:p w14:paraId="5429D916" w14:textId="77777777" w:rsidR="00D01FCC" w:rsidRPr="00D01FCC" w:rsidRDefault="00D01FCC" w:rsidP="00D01FCC">
      <w:pPr>
        <w:rPr>
          <w:rFonts w:cstheme="minorHAnsi"/>
        </w:rPr>
      </w:pPr>
    </w:p>
    <w:p w14:paraId="6479F296" w14:textId="35ADA2FF" w:rsidR="00D01FCC" w:rsidRPr="00D01FCC" w:rsidRDefault="00D01FCC" w:rsidP="00D01FCC">
      <w:pPr>
        <w:pStyle w:val="Paragraphedeliste"/>
        <w:numPr>
          <w:ilvl w:val="0"/>
          <w:numId w:val="96"/>
        </w:numPr>
        <w:rPr>
          <w:rFonts w:cstheme="minorHAnsi"/>
          <w:b/>
          <w:bCs/>
          <w:i/>
          <w:iCs/>
          <w:u w:val="single"/>
        </w:rPr>
      </w:pPr>
      <w:r w:rsidRPr="00D01FCC">
        <w:rPr>
          <w:rFonts w:cstheme="minorHAnsi"/>
          <w:b/>
          <w:bCs/>
          <w:i/>
          <w:iCs/>
          <w:u w:val="single"/>
        </w:rPr>
        <w:t xml:space="preserve">En cas de circonstances exceptionnelles ou de force majeure </w:t>
      </w:r>
    </w:p>
    <w:p w14:paraId="355C5D47" w14:textId="77777777" w:rsidR="00D01FCC" w:rsidRPr="00D01FCC" w:rsidRDefault="00D01FCC" w:rsidP="00D01FCC">
      <w:pPr>
        <w:rPr>
          <w:rFonts w:cstheme="minorHAnsi"/>
        </w:rPr>
      </w:pPr>
      <w:r w:rsidRPr="00D01FCC">
        <w:rPr>
          <w:rFonts w:cstheme="minorHAnsi"/>
        </w:rPr>
        <w:t xml:space="preserve">L’administration sociale précise qu’en cas de circonstances exceptionnelles ou de force majeure, les frais professionnels des salariés engagés à des fins professionnelles pour l’utilisation d’outils issus des NTIC en leur possession, en l’absence d’outils fournis par leur employeur, sont considérés comme des charges de caractère spécial, inhérentes à la fonction ou à l’emploi. </w:t>
      </w:r>
    </w:p>
    <w:p w14:paraId="33733F24" w14:textId="77777777" w:rsidR="00D01FCC" w:rsidRPr="00D01FCC" w:rsidRDefault="00D01FCC" w:rsidP="00D01FCC">
      <w:pPr>
        <w:rPr>
          <w:rFonts w:cstheme="minorHAnsi"/>
        </w:rPr>
      </w:pPr>
      <w:r w:rsidRPr="00D01FCC">
        <w:rPr>
          <w:rFonts w:cstheme="minorHAnsi"/>
        </w:rPr>
        <w:t xml:space="preserve">Dans cette situation, ces frais doivent donc être remboursés par l’employeur, de la même manière que sont remboursés les frais professionnels liés au télétravail. </w:t>
      </w:r>
    </w:p>
    <w:p w14:paraId="1D185141" w14:textId="674A1374" w:rsidR="004F502E" w:rsidRPr="00451FF7" w:rsidRDefault="00D01FCC" w:rsidP="00D01FCC">
      <w:pPr>
        <w:rPr>
          <w:rFonts w:cstheme="minorHAnsi"/>
        </w:rPr>
      </w:pPr>
      <w:r w:rsidRPr="00D01FCC">
        <w:rPr>
          <w:rFonts w:cstheme="minorHAnsi"/>
        </w:rPr>
        <w:t>Cependant, ce remboursement lié aux frais de télétravail n’est pas cumulable avec le remboursement des frais liés à l’utilisation des outils NTIC personnels.</w:t>
      </w:r>
    </w:p>
    <w:p w14:paraId="5142A9E1" w14:textId="77777777" w:rsidR="0050590F" w:rsidRDefault="0050590F" w:rsidP="0050590F">
      <w:r>
        <w:br w:type="page"/>
      </w:r>
    </w:p>
    <w:p w14:paraId="057BFAC7" w14:textId="77777777" w:rsidR="0050590F" w:rsidRPr="007454C4" w:rsidRDefault="0050590F" w:rsidP="00034FD3">
      <w:pPr>
        <w:jc w:val="center"/>
      </w:pPr>
    </w:p>
    <w:p w14:paraId="00505633" w14:textId="77777777" w:rsidR="0050590F" w:rsidRPr="006F2128" w:rsidRDefault="0050590F" w:rsidP="006F2128">
      <w:pPr>
        <w:pStyle w:val="Titre2"/>
      </w:pPr>
      <w:bookmarkStart w:id="21" w:name="_Toc74651310"/>
      <w:r w:rsidRPr="006F2128">
        <w:t>Ce qu’il faut savoir en matière de santé et sécurité au travail</w:t>
      </w:r>
      <w:bookmarkEnd w:id="21"/>
    </w:p>
    <w:p w14:paraId="2B51F074" w14:textId="77777777" w:rsidR="008B0D27" w:rsidRDefault="008B0D27" w:rsidP="008B0D27"/>
    <w:p w14:paraId="5B8C81A6" w14:textId="0D83E239" w:rsidR="00C36E9E" w:rsidRPr="00BA1E49" w:rsidRDefault="009A034B" w:rsidP="00C36E9E">
      <w:pPr>
        <w:pStyle w:val="Titre3"/>
      </w:pPr>
      <w:bookmarkStart w:id="22" w:name="_Toc74651311"/>
      <w:r>
        <w:t>Registre des accidents bénins</w:t>
      </w:r>
      <w:bookmarkEnd w:id="22"/>
    </w:p>
    <w:p w14:paraId="70890EBA" w14:textId="647F243F" w:rsidR="00C36E9E" w:rsidRDefault="00C36E9E" w:rsidP="006D3AAB">
      <w:pPr>
        <w:spacing w:before="0" w:after="0"/>
        <w:rPr>
          <w:rFonts w:cstheme="minorHAnsi"/>
        </w:rPr>
      </w:pPr>
      <w:r w:rsidRPr="00E45B66">
        <w:rPr>
          <w:rFonts w:cstheme="minorHAnsi"/>
          <w:b/>
          <w:color w:val="0070C0"/>
        </w:rPr>
        <w:t>Slide</w:t>
      </w:r>
      <w:r>
        <w:rPr>
          <w:rFonts w:cstheme="minorHAnsi"/>
          <w:b/>
          <w:color w:val="0070C0"/>
        </w:rPr>
        <w:t xml:space="preserve"> </w:t>
      </w:r>
      <w:r w:rsidR="006D3AAB">
        <w:rPr>
          <w:rFonts w:cstheme="minorHAnsi"/>
          <w:b/>
          <w:color w:val="0070C0"/>
        </w:rPr>
        <w:t>26</w:t>
      </w:r>
    </w:p>
    <w:p w14:paraId="04D65849" w14:textId="0300A90E" w:rsidR="00C36E9E" w:rsidRPr="00C77909" w:rsidRDefault="00C36E9E" w:rsidP="00C36E9E">
      <w:pPr>
        <w:rPr>
          <w:rFonts w:cstheme="minorHAnsi"/>
        </w:rPr>
      </w:pPr>
      <w:r w:rsidRPr="00451FF7">
        <w:rPr>
          <w:rFonts w:cstheme="minorHAnsi"/>
        </w:rPr>
        <w:t>Source </w:t>
      </w:r>
      <w:r w:rsidRPr="002545F5">
        <w:rPr>
          <w:rFonts w:cstheme="minorHAnsi"/>
        </w:rPr>
        <w:t xml:space="preserve">: </w:t>
      </w:r>
      <w:r w:rsidR="00C77909" w:rsidRPr="00C77909">
        <w:rPr>
          <w:rFonts w:cstheme="minorHAnsi"/>
        </w:rPr>
        <w:t>Décret n° 2021-526 du 29 avril 2021 relatif aux modalités de déclaration des accidents du travail n'entraînant ni arrêt de travail ni soins médicaux</w:t>
      </w:r>
    </w:p>
    <w:p w14:paraId="2E05ACDB" w14:textId="77777777" w:rsidR="00C36E9E" w:rsidRPr="005B73D2" w:rsidRDefault="00C36E9E" w:rsidP="00C36E9E">
      <w:pPr>
        <w:pStyle w:val="Titre4"/>
        <w:rPr>
          <w:rStyle w:val="txt"/>
        </w:rPr>
      </w:pPr>
      <w:r w:rsidRPr="004858FF">
        <w:rPr>
          <w:rStyle w:val="txt"/>
        </w:rPr>
        <w:t>ce qu’il faut savoir…</w:t>
      </w:r>
    </w:p>
    <w:p w14:paraId="1B6B4971" w14:textId="6F39BFC1" w:rsidR="00D60C00" w:rsidRPr="00D60C00" w:rsidRDefault="00D60C00" w:rsidP="00D60C00">
      <w:pPr>
        <w:rPr>
          <w:rFonts w:cstheme="minorHAnsi"/>
        </w:rPr>
      </w:pPr>
      <w:r w:rsidRPr="00D60C00">
        <w:rPr>
          <w:rFonts w:cstheme="minorHAnsi"/>
        </w:rPr>
        <w:t>A titre préliminaire, rappelons qu’auparavant, en matière d’accident du travail, les caisses d'assurance retraite et de la santé au travail (CARSAT) et les caisses de la Mutualité Sociale Agricole (MSA) pouvaient autoriser un employeur à remplacer la déclaration des accidents n'entraînant ni arrêt de travail, ni soins médicaux par une inscription sur un registre ouvert à cet effet.</w:t>
      </w:r>
    </w:p>
    <w:p w14:paraId="7DED2533" w14:textId="77777777" w:rsidR="00D60C00" w:rsidRPr="00D60C00" w:rsidRDefault="00D60C00" w:rsidP="00D60C00">
      <w:pPr>
        <w:rPr>
          <w:rFonts w:cstheme="minorHAnsi"/>
        </w:rPr>
      </w:pPr>
      <w:r w:rsidRPr="00D60C00">
        <w:rPr>
          <w:rFonts w:cstheme="minorHAnsi"/>
        </w:rPr>
        <w:t>Pour rappel, l’employeur doit inscrire sur ce registre, dans les 48 heures (dimanches et jours fériés non compris), les accidents du travail de son personnel n'entraînant ni arrêt de travail, ni soins médicaux donnant lieu à une prise en charge par les organismes de sécurité sociale.</w:t>
      </w:r>
    </w:p>
    <w:p w14:paraId="0DB91BBA" w14:textId="77777777" w:rsidR="00D60C00" w:rsidRPr="00D60C00" w:rsidRDefault="00D60C00" w:rsidP="00D60C00">
      <w:pPr>
        <w:rPr>
          <w:rFonts w:cstheme="minorHAnsi"/>
        </w:rPr>
      </w:pPr>
      <w:r w:rsidRPr="00D60C00">
        <w:rPr>
          <w:rFonts w:cstheme="minorHAnsi"/>
        </w:rPr>
        <w:t xml:space="preserve">L’employeur doit obligatoirement y indiquer : </w:t>
      </w:r>
    </w:p>
    <w:p w14:paraId="11696E56" w14:textId="16CAC22F" w:rsidR="00D60C00" w:rsidRPr="00D60C00" w:rsidRDefault="00D60C00" w:rsidP="00D54DDF">
      <w:pPr>
        <w:pStyle w:val="Paragraphedeliste"/>
        <w:numPr>
          <w:ilvl w:val="0"/>
          <w:numId w:val="10"/>
        </w:numPr>
        <w:rPr>
          <w:rFonts w:cstheme="minorHAnsi"/>
        </w:rPr>
      </w:pPr>
      <w:r w:rsidRPr="00D60C00">
        <w:rPr>
          <w:rFonts w:cstheme="minorHAnsi"/>
        </w:rPr>
        <w:t>le nom de la victime ;</w:t>
      </w:r>
    </w:p>
    <w:p w14:paraId="14BAA2D3" w14:textId="56A2D97B" w:rsidR="00D60C00" w:rsidRPr="00D60C00" w:rsidRDefault="00D60C00" w:rsidP="00D54DDF">
      <w:pPr>
        <w:pStyle w:val="Paragraphedeliste"/>
        <w:numPr>
          <w:ilvl w:val="0"/>
          <w:numId w:val="10"/>
        </w:numPr>
        <w:rPr>
          <w:rFonts w:cstheme="minorHAnsi"/>
        </w:rPr>
      </w:pPr>
      <w:r w:rsidRPr="00D60C00">
        <w:rPr>
          <w:rFonts w:cstheme="minorHAnsi"/>
        </w:rPr>
        <w:t>la date, le lieu et les circonstances de l'accident ;</w:t>
      </w:r>
    </w:p>
    <w:p w14:paraId="57053A5D" w14:textId="788960E9" w:rsidR="00D60C00" w:rsidRPr="00D60C00" w:rsidRDefault="00D60C00" w:rsidP="00D54DDF">
      <w:pPr>
        <w:pStyle w:val="Paragraphedeliste"/>
        <w:numPr>
          <w:ilvl w:val="0"/>
          <w:numId w:val="10"/>
        </w:numPr>
        <w:rPr>
          <w:rFonts w:cstheme="minorHAnsi"/>
        </w:rPr>
      </w:pPr>
      <w:r w:rsidRPr="00D60C00">
        <w:rPr>
          <w:rFonts w:cstheme="minorHAnsi"/>
        </w:rPr>
        <w:t>la nature et le siège des lésions assortis du visa du donneur de soins ;</w:t>
      </w:r>
    </w:p>
    <w:p w14:paraId="7E9CE716" w14:textId="2974A86F" w:rsidR="00D60C00" w:rsidRPr="00D60C00" w:rsidRDefault="00D60C00" w:rsidP="00D54DDF">
      <w:pPr>
        <w:pStyle w:val="Paragraphedeliste"/>
        <w:numPr>
          <w:ilvl w:val="0"/>
          <w:numId w:val="10"/>
        </w:numPr>
        <w:rPr>
          <w:rFonts w:cstheme="minorHAnsi"/>
        </w:rPr>
      </w:pPr>
      <w:r w:rsidRPr="00D60C00">
        <w:rPr>
          <w:rFonts w:cstheme="minorHAnsi"/>
        </w:rPr>
        <w:t>les autres éléments devant figurer sur la déclaration d'accident du travail.</w:t>
      </w:r>
    </w:p>
    <w:p w14:paraId="645A2702" w14:textId="77777777" w:rsidR="00D60C00" w:rsidRPr="00D60C00" w:rsidRDefault="00D60C00" w:rsidP="00D60C00">
      <w:pPr>
        <w:rPr>
          <w:rFonts w:cstheme="minorHAnsi"/>
        </w:rPr>
      </w:pPr>
      <w:r w:rsidRPr="00D60C00">
        <w:rPr>
          <w:rFonts w:cstheme="minorHAnsi"/>
        </w:rPr>
        <w:t>La victime de l’accident doit signer le registre en face des indications portées par l'employeur. Le médecin du travail peut consulter le registre.</w:t>
      </w:r>
    </w:p>
    <w:p w14:paraId="719766D8" w14:textId="77777777" w:rsidR="00D60C00" w:rsidRPr="00D60C00" w:rsidRDefault="00D60C00" w:rsidP="00D60C00">
      <w:pPr>
        <w:rPr>
          <w:rFonts w:cstheme="minorHAnsi"/>
        </w:rPr>
      </w:pPr>
      <w:r w:rsidRPr="00D60C00">
        <w:rPr>
          <w:rFonts w:cstheme="minorHAnsi"/>
        </w:rPr>
        <w:t xml:space="preserve">L’autorisation de tenir un registre d’accidents bénins pouvait être accordée par la CARSAT ou la MSA, sur demande de l’employeur, sous réserve de remplir les conditions suivantes : </w:t>
      </w:r>
    </w:p>
    <w:p w14:paraId="5851549E" w14:textId="5681D85A" w:rsidR="00D60C00" w:rsidRPr="00D60C00" w:rsidRDefault="00D60C00" w:rsidP="00D54DDF">
      <w:pPr>
        <w:pStyle w:val="Paragraphedeliste"/>
        <w:numPr>
          <w:ilvl w:val="0"/>
          <w:numId w:val="29"/>
        </w:numPr>
        <w:rPr>
          <w:rFonts w:cstheme="minorHAnsi"/>
        </w:rPr>
      </w:pPr>
      <w:r w:rsidRPr="00D60C00">
        <w:rPr>
          <w:rFonts w:cstheme="minorHAnsi"/>
        </w:rPr>
        <w:t>présence permanente d'un médecin, ou d'un pharmacien, ou d'un infirmier diplômé d'Etat, ou d'une personne chargée d'une mission d'hygiène et de sécurité dans l'entreprise détentrice d'un diplôme national de secouriste complété par le diplôme de sauveteur secouriste du travail ;</w:t>
      </w:r>
    </w:p>
    <w:p w14:paraId="43281DD2" w14:textId="5053A7BD" w:rsidR="00D60C00" w:rsidRPr="00D60C00" w:rsidRDefault="00D60C00" w:rsidP="00D54DDF">
      <w:pPr>
        <w:pStyle w:val="Paragraphedeliste"/>
        <w:numPr>
          <w:ilvl w:val="0"/>
          <w:numId w:val="29"/>
        </w:numPr>
        <w:rPr>
          <w:rFonts w:cstheme="minorHAnsi"/>
        </w:rPr>
      </w:pPr>
      <w:r w:rsidRPr="00D60C00">
        <w:rPr>
          <w:rFonts w:cstheme="minorHAnsi"/>
        </w:rPr>
        <w:t>existence d'un poste de secours d'urgence dans l’entreprise ;</w:t>
      </w:r>
    </w:p>
    <w:p w14:paraId="750CD4C2" w14:textId="02A47A87" w:rsidR="00D60C00" w:rsidRPr="00D60C00" w:rsidRDefault="00D60C00" w:rsidP="00D54DDF">
      <w:pPr>
        <w:pStyle w:val="Paragraphedeliste"/>
        <w:numPr>
          <w:ilvl w:val="0"/>
          <w:numId w:val="29"/>
        </w:numPr>
        <w:rPr>
          <w:rFonts w:cstheme="minorHAnsi"/>
        </w:rPr>
      </w:pPr>
      <w:r w:rsidRPr="00D60C00">
        <w:rPr>
          <w:rFonts w:cstheme="minorHAnsi"/>
        </w:rPr>
        <w:t>existence d’un CSE, le cas échéant (entreprises d’au moins 11 salariés).</w:t>
      </w:r>
    </w:p>
    <w:p w14:paraId="084AFDA8" w14:textId="77777777" w:rsidR="00D60C00" w:rsidRPr="00D60C00" w:rsidRDefault="00D60C00" w:rsidP="00D60C00">
      <w:pPr>
        <w:rPr>
          <w:rFonts w:cstheme="minorHAnsi"/>
        </w:rPr>
      </w:pPr>
      <w:r w:rsidRPr="00D60C00">
        <w:rPr>
          <w:rFonts w:cstheme="minorHAnsi"/>
        </w:rPr>
        <w:t>Dorénavant, l’employeur peut s’affranchir de cette autorisation préalable de la CARSAT ou de la MSA et peut, de son propre chef, remplacer la déclaration d’accident par une inscription sur le registre des accidents bénins.</w:t>
      </w:r>
    </w:p>
    <w:p w14:paraId="3FF1CE27" w14:textId="764E8D76" w:rsidR="00D60C00" w:rsidRPr="00D60C00" w:rsidRDefault="00D60C00" w:rsidP="00D54DDF">
      <w:pPr>
        <w:pStyle w:val="Paragraphedeliste"/>
        <w:numPr>
          <w:ilvl w:val="0"/>
          <w:numId w:val="30"/>
        </w:numPr>
        <w:rPr>
          <w:rFonts w:cstheme="minorHAnsi"/>
          <w:b/>
          <w:bCs/>
        </w:rPr>
      </w:pPr>
      <w:r w:rsidRPr="00D60C00">
        <w:rPr>
          <w:rFonts w:cstheme="minorHAnsi"/>
          <w:b/>
          <w:bCs/>
        </w:rPr>
        <w:t xml:space="preserve">Tenue du registre des accidents bénins </w:t>
      </w:r>
    </w:p>
    <w:p w14:paraId="3A7E89E2" w14:textId="77777777" w:rsidR="00D60C00" w:rsidRPr="00D60C00" w:rsidRDefault="00D60C00" w:rsidP="00D60C00">
      <w:pPr>
        <w:rPr>
          <w:rFonts w:cstheme="minorHAnsi"/>
        </w:rPr>
      </w:pPr>
      <w:r w:rsidRPr="00D60C00">
        <w:rPr>
          <w:rFonts w:cstheme="minorHAnsi"/>
        </w:rPr>
        <w:lastRenderedPageBreak/>
        <w:t xml:space="preserve">Ce registre est la propriété de l’employeur. Il doit le conserver, sur le support de son choix, pendant une durée de 5 ans à compter de la fin de l’année considérée. </w:t>
      </w:r>
    </w:p>
    <w:p w14:paraId="237C632B" w14:textId="77777777" w:rsidR="00D60C00" w:rsidRPr="00D60C00" w:rsidRDefault="00D60C00" w:rsidP="00D60C00">
      <w:pPr>
        <w:rPr>
          <w:rFonts w:cstheme="minorHAnsi"/>
        </w:rPr>
      </w:pPr>
      <w:r w:rsidRPr="00D60C00">
        <w:rPr>
          <w:rFonts w:cstheme="minorHAnsi"/>
        </w:rPr>
        <w:t xml:space="preserve">Il doit être tenu de façon à présenter, sans difficulté d’utilisation et de compréhension, et sans risques d’altérations, l’ensemble des mentions obligatoires. </w:t>
      </w:r>
    </w:p>
    <w:p w14:paraId="75F527B5" w14:textId="77777777" w:rsidR="00D60C00" w:rsidRPr="00D60C00" w:rsidRDefault="00D60C00" w:rsidP="00D60C00">
      <w:pPr>
        <w:rPr>
          <w:rFonts w:cstheme="minorHAnsi"/>
        </w:rPr>
      </w:pPr>
      <w:r w:rsidRPr="00D60C00">
        <w:rPr>
          <w:rFonts w:cstheme="minorHAnsi"/>
        </w:rPr>
        <w:t xml:space="preserve">L’employeur doit néanmoins informer la CARSAT ou la MSA de la tenue de ce registre, sans délai et par tout moyen considérant date certaine. Il doit également informer le CSE de la mise en place du registre dans l’entreprise, le CSE pouvant en avoir communication dans le cadre de ses attributions. </w:t>
      </w:r>
    </w:p>
    <w:p w14:paraId="590148B5" w14:textId="0AFC3059" w:rsidR="00D60C00" w:rsidRPr="00D60C00" w:rsidRDefault="00D60C00" w:rsidP="00D54DDF">
      <w:pPr>
        <w:pStyle w:val="Paragraphedeliste"/>
        <w:numPr>
          <w:ilvl w:val="0"/>
          <w:numId w:val="30"/>
        </w:numPr>
        <w:rPr>
          <w:rFonts w:cstheme="minorHAnsi"/>
          <w:b/>
          <w:bCs/>
        </w:rPr>
      </w:pPr>
      <w:r w:rsidRPr="00D60C00">
        <w:rPr>
          <w:rFonts w:cstheme="minorHAnsi"/>
          <w:b/>
          <w:bCs/>
        </w:rPr>
        <w:t xml:space="preserve">Mise à disposition du registre </w:t>
      </w:r>
    </w:p>
    <w:p w14:paraId="214F2EA2" w14:textId="77777777" w:rsidR="00D60C00" w:rsidRPr="00D60C00" w:rsidRDefault="00D60C00" w:rsidP="00D60C00">
      <w:pPr>
        <w:rPr>
          <w:rFonts w:cstheme="minorHAnsi"/>
        </w:rPr>
      </w:pPr>
      <w:r w:rsidRPr="00D60C00">
        <w:rPr>
          <w:rFonts w:cstheme="minorHAnsi"/>
        </w:rPr>
        <w:t>Ce registre doit être tenu à disposition de la CARSAT et de la MSA, ainsi que des ingénieurs conseils et contrôleurs de sécurité dûment habilités auprès de ces caisses.</w:t>
      </w:r>
    </w:p>
    <w:p w14:paraId="75BCBF63" w14:textId="77777777" w:rsidR="00D60C00" w:rsidRPr="00D60C00" w:rsidRDefault="00D60C00" w:rsidP="00D60C00">
      <w:pPr>
        <w:rPr>
          <w:rFonts w:cstheme="minorHAnsi"/>
        </w:rPr>
      </w:pPr>
      <w:r w:rsidRPr="00D60C00">
        <w:rPr>
          <w:rFonts w:cstheme="minorHAnsi"/>
        </w:rPr>
        <w:t>Lorsqu'un agent de contrôle d’une des caisses, un ingénieur conseil, un contrôleur de sécurité, ou un inspecteur du travail constate l'un des manquements suivants, il en informe l'employeur et les autres agents :</w:t>
      </w:r>
    </w:p>
    <w:p w14:paraId="65071E31" w14:textId="56594819" w:rsidR="00D60C00" w:rsidRPr="00D60C00" w:rsidRDefault="00D60C00" w:rsidP="00D54DDF">
      <w:pPr>
        <w:pStyle w:val="Paragraphedeliste"/>
        <w:numPr>
          <w:ilvl w:val="0"/>
          <w:numId w:val="29"/>
        </w:numPr>
        <w:rPr>
          <w:rFonts w:cstheme="minorHAnsi"/>
        </w:rPr>
      </w:pPr>
      <w:r w:rsidRPr="00D60C00">
        <w:rPr>
          <w:rFonts w:cstheme="minorHAnsi"/>
        </w:rPr>
        <w:t>non-respect de la tenue du registre ;</w:t>
      </w:r>
    </w:p>
    <w:p w14:paraId="5D1E26EC" w14:textId="3D750FEC" w:rsidR="00D60C00" w:rsidRPr="00D60C00" w:rsidRDefault="00D60C00" w:rsidP="00D54DDF">
      <w:pPr>
        <w:pStyle w:val="Paragraphedeliste"/>
        <w:numPr>
          <w:ilvl w:val="0"/>
          <w:numId w:val="29"/>
        </w:numPr>
        <w:rPr>
          <w:rFonts w:cstheme="minorHAnsi"/>
        </w:rPr>
      </w:pPr>
      <w:r w:rsidRPr="00D60C00">
        <w:rPr>
          <w:rFonts w:cstheme="minorHAnsi"/>
        </w:rPr>
        <w:t>tenue incorrecte du registre ;</w:t>
      </w:r>
    </w:p>
    <w:p w14:paraId="68C825DE" w14:textId="2A8F868B" w:rsidR="00D60C00" w:rsidRPr="00D60C00" w:rsidRDefault="00D60C00" w:rsidP="00D54DDF">
      <w:pPr>
        <w:pStyle w:val="Paragraphedeliste"/>
        <w:numPr>
          <w:ilvl w:val="0"/>
          <w:numId w:val="29"/>
        </w:numPr>
        <w:rPr>
          <w:rFonts w:cstheme="minorHAnsi"/>
        </w:rPr>
      </w:pPr>
      <w:r w:rsidRPr="00D60C00">
        <w:rPr>
          <w:rFonts w:cstheme="minorHAnsi"/>
        </w:rPr>
        <w:t>refus de présentation du registre :</w:t>
      </w:r>
    </w:p>
    <w:p w14:paraId="61619255" w14:textId="4F49C646" w:rsidR="00D60C00" w:rsidRPr="00D60C00" w:rsidRDefault="00D60C00" w:rsidP="00D54DDF">
      <w:pPr>
        <w:pStyle w:val="Paragraphedeliste"/>
        <w:numPr>
          <w:ilvl w:val="1"/>
          <w:numId w:val="31"/>
        </w:numPr>
        <w:rPr>
          <w:rFonts w:cstheme="minorHAnsi"/>
        </w:rPr>
      </w:pPr>
      <w:r w:rsidRPr="00D60C00">
        <w:rPr>
          <w:rFonts w:cstheme="minorHAnsi"/>
        </w:rPr>
        <w:t>aux agents de contrôle de la Caisse primaire d’assurance maladie (CPAM), de la CARSAT ou de la MSA ;</w:t>
      </w:r>
    </w:p>
    <w:p w14:paraId="7737BB2A" w14:textId="118BDE0C" w:rsidR="00D60C00" w:rsidRPr="00D60C00" w:rsidRDefault="00D60C00" w:rsidP="00D54DDF">
      <w:pPr>
        <w:pStyle w:val="Paragraphedeliste"/>
        <w:numPr>
          <w:ilvl w:val="1"/>
          <w:numId w:val="31"/>
        </w:numPr>
        <w:rPr>
          <w:rFonts w:cstheme="minorHAnsi"/>
        </w:rPr>
      </w:pPr>
      <w:r w:rsidRPr="00D60C00">
        <w:rPr>
          <w:rFonts w:cstheme="minorHAnsi"/>
        </w:rPr>
        <w:t>aux agents de l'inspection du travail ;</w:t>
      </w:r>
    </w:p>
    <w:p w14:paraId="301436DD" w14:textId="7669BDA3" w:rsidR="00D60C00" w:rsidRPr="00D60C00" w:rsidRDefault="00D60C00" w:rsidP="00D54DDF">
      <w:pPr>
        <w:pStyle w:val="Paragraphedeliste"/>
        <w:numPr>
          <w:ilvl w:val="1"/>
          <w:numId w:val="31"/>
        </w:numPr>
        <w:rPr>
          <w:rFonts w:cstheme="minorHAnsi"/>
        </w:rPr>
      </w:pPr>
      <w:r w:rsidRPr="00D60C00">
        <w:rPr>
          <w:rFonts w:cstheme="minorHAnsi"/>
        </w:rPr>
        <w:t>à la victime d'un accident consigné au registre ;</w:t>
      </w:r>
    </w:p>
    <w:p w14:paraId="128998D3" w14:textId="055547EB" w:rsidR="00D60C00" w:rsidRPr="00D60C00" w:rsidRDefault="00D60C00" w:rsidP="00D54DDF">
      <w:pPr>
        <w:pStyle w:val="Paragraphedeliste"/>
        <w:numPr>
          <w:ilvl w:val="1"/>
          <w:numId w:val="31"/>
        </w:numPr>
        <w:rPr>
          <w:rFonts w:cstheme="minorHAnsi"/>
        </w:rPr>
      </w:pPr>
      <w:r w:rsidRPr="00D60C00">
        <w:rPr>
          <w:rFonts w:cstheme="minorHAnsi"/>
        </w:rPr>
        <w:t xml:space="preserve">au CSE. </w:t>
      </w:r>
    </w:p>
    <w:p w14:paraId="668B5C7C" w14:textId="43B896A4" w:rsidR="00C36E9E" w:rsidRPr="00451FF7" w:rsidRDefault="00D60C00" w:rsidP="00D60C00">
      <w:pPr>
        <w:rPr>
          <w:rFonts w:cstheme="minorHAnsi"/>
        </w:rPr>
      </w:pPr>
      <w:r w:rsidRPr="00D60C00">
        <w:rPr>
          <w:rFonts w:cstheme="minorHAnsi"/>
        </w:rPr>
        <w:t>Tant que ces manquements n’ont pas cessé, l’employeur doit déclarer tout accident à la CPAM dans les conditions habituelles.</w:t>
      </w:r>
    </w:p>
    <w:p w14:paraId="7F4F7206" w14:textId="77777777" w:rsidR="00C36E9E" w:rsidRDefault="00C36E9E" w:rsidP="00C36E9E"/>
    <w:p w14:paraId="25D656E7" w14:textId="51052A3D" w:rsidR="00C36E9E" w:rsidRPr="00BA1E49" w:rsidRDefault="00C669C5" w:rsidP="00C36E9E">
      <w:pPr>
        <w:pStyle w:val="Titre3"/>
      </w:pPr>
      <w:bookmarkStart w:id="23" w:name="_Toc74651312"/>
      <w:r>
        <w:t xml:space="preserve">AT/MP et </w:t>
      </w:r>
      <w:r w:rsidR="00575A1E">
        <w:t>indemnisation de l’incapacité permanente</w:t>
      </w:r>
      <w:bookmarkEnd w:id="23"/>
    </w:p>
    <w:p w14:paraId="2183C00D" w14:textId="785799A2" w:rsidR="00C36E9E" w:rsidRDefault="00C36E9E" w:rsidP="006D3AAB">
      <w:pPr>
        <w:spacing w:before="0" w:after="0"/>
        <w:rPr>
          <w:rFonts w:cstheme="minorHAnsi"/>
        </w:rPr>
      </w:pPr>
      <w:r w:rsidRPr="00E45B66">
        <w:rPr>
          <w:rFonts w:cstheme="minorHAnsi"/>
          <w:b/>
          <w:color w:val="0070C0"/>
        </w:rPr>
        <w:t>Slide</w:t>
      </w:r>
      <w:r>
        <w:rPr>
          <w:rFonts w:cstheme="minorHAnsi"/>
          <w:b/>
          <w:color w:val="0070C0"/>
        </w:rPr>
        <w:t xml:space="preserve"> </w:t>
      </w:r>
      <w:r w:rsidR="006D3AAB">
        <w:rPr>
          <w:rFonts w:cstheme="minorHAnsi"/>
          <w:b/>
          <w:color w:val="0070C0"/>
        </w:rPr>
        <w:t>27</w:t>
      </w:r>
    </w:p>
    <w:p w14:paraId="73252E36" w14:textId="2D134AFD" w:rsidR="00C36E9E" w:rsidRPr="00771E9D" w:rsidRDefault="00C36E9E" w:rsidP="00C36E9E">
      <w:pPr>
        <w:rPr>
          <w:rFonts w:cstheme="minorHAnsi"/>
        </w:rPr>
      </w:pPr>
      <w:r w:rsidRPr="00451FF7">
        <w:rPr>
          <w:rFonts w:cstheme="minorHAnsi"/>
        </w:rPr>
        <w:t>Source </w:t>
      </w:r>
      <w:r w:rsidRPr="002545F5">
        <w:rPr>
          <w:rFonts w:cstheme="minorHAnsi"/>
        </w:rPr>
        <w:t xml:space="preserve">: </w:t>
      </w:r>
      <w:r w:rsidR="00771E9D" w:rsidRPr="00771E9D">
        <w:rPr>
          <w:rFonts w:cstheme="minorHAnsi"/>
        </w:rPr>
        <w:t>Décret n° 2021-554 du 5 mai 2021 relatif à la procédure de reconnaissance et à la réparation des accidents du travail et des maladies professionnelles, article 1</w:t>
      </w:r>
    </w:p>
    <w:p w14:paraId="746AC354" w14:textId="77777777" w:rsidR="00C36E9E" w:rsidRPr="005B73D2" w:rsidRDefault="00C36E9E" w:rsidP="00C36E9E">
      <w:pPr>
        <w:pStyle w:val="Titre4"/>
        <w:rPr>
          <w:rStyle w:val="txt"/>
        </w:rPr>
      </w:pPr>
      <w:r w:rsidRPr="004858FF">
        <w:rPr>
          <w:rStyle w:val="txt"/>
        </w:rPr>
        <w:t>ce qu’il faut savoir…</w:t>
      </w:r>
    </w:p>
    <w:p w14:paraId="6509A09A" w14:textId="77777777" w:rsidR="00B61869" w:rsidRPr="00B61869" w:rsidRDefault="00B61869" w:rsidP="00B61869">
      <w:pPr>
        <w:rPr>
          <w:rFonts w:cstheme="minorHAnsi"/>
        </w:rPr>
      </w:pPr>
      <w:r w:rsidRPr="00B61869">
        <w:rPr>
          <w:rFonts w:cstheme="minorHAnsi"/>
        </w:rPr>
        <w:t xml:space="preserve">Pour rappel, l’incapacité permanente consécutive à un accident du travail ou à une maladie professionnelle est indemnisée par l’attribution d’une rente viagère, dont le montant varie en fonction du taux d’incapacité du salarié. </w:t>
      </w:r>
    </w:p>
    <w:p w14:paraId="3D632397" w14:textId="77777777" w:rsidR="00B61869" w:rsidRPr="00B61869" w:rsidRDefault="00B61869" w:rsidP="00B61869">
      <w:pPr>
        <w:rPr>
          <w:rFonts w:cstheme="minorHAnsi"/>
        </w:rPr>
      </w:pPr>
      <w:r w:rsidRPr="00B61869">
        <w:rPr>
          <w:rFonts w:cstheme="minorHAnsi"/>
        </w:rPr>
        <w:t xml:space="preserve">Auparavant, quel que soit le montant de sa rente d’incapacité permanente et de son taux d’incapacité, le salarié avait la possibilité de demander que lui soit attribué en espèces : </w:t>
      </w:r>
    </w:p>
    <w:p w14:paraId="1F59240F" w14:textId="0AF46570" w:rsidR="00B61869" w:rsidRPr="00B61869" w:rsidRDefault="00B61869" w:rsidP="00B61869">
      <w:pPr>
        <w:pStyle w:val="Paragraphedeliste"/>
        <w:numPr>
          <w:ilvl w:val="0"/>
          <w:numId w:val="115"/>
        </w:numPr>
        <w:rPr>
          <w:rFonts w:cstheme="minorHAnsi"/>
        </w:rPr>
      </w:pPr>
      <w:r w:rsidRPr="00B61869">
        <w:rPr>
          <w:rFonts w:cstheme="minorHAnsi"/>
        </w:rPr>
        <w:t xml:space="preserve">au plus ¼ du capital correspondant à la valeur de la rente, si le taux d’incapacité est de 50 % au plus ; </w:t>
      </w:r>
    </w:p>
    <w:p w14:paraId="39C922E0" w14:textId="181EA4E0" w:rsidR="00B61869" w:rsidRPr="00B61869" w:rsidRDefault="00B61869" w:rsidP="00B61869">
      <w:pPr>
        <w:pStyle w:val="Paragraphedeliste"/>
        <w:numPr>
          <w:ilvl w:val="0"/>
          <w:numId w:val="115"/>
        </w:numPr>
        <w:rPr>
          <w:rFonts w:cstheme="minorHAnsi"/>
        </w:rPr>
      </w:pPr>
      <w:r w:rsidRPr="00B61869">
        <w:rPr>
          <w:rFonts w:cstheme="minorHAnsi"/>
        </w:rPr>
        <w:t>le capital correspondant à la fraction de la rente allouée jusqu’à 50 %, si le taux d’incapacité est de 50</w:t>
      </w:r>
      <w:r>
        <w:rPr>
          <w:rFonts w:cstheme="minorHAnsi"/>
        </w:rPr>
        <w:t> </w:t>
      </w:r>
      <w:r w:rsidRPr="00B61869">
        <w:rPr>
          <w:rFonts w:cstheme="minorHAnsi"/>
        </w:rPr>
        <w:t>% ou plus.</w:t>
      </w:r>
    </w:p>
    <w:p w14:paraId="744BB387" w14:textId="77777777" w:rsidR="00B61869" w:rsidRPr="00B61869" w:rsidRDefault="00B61869" w:rsidP="00B61869">
      <w:pPr>
        <w:rPr>
          <w:rFonts w:cstheme="minorHAnsi"/>
        </w:rPr>
      </w:pPr>
      <w:r w:rsidRPr="00B61869">
        <w:rPr>
          <w:rFonts w:cstheme="minorHAnsi"/>
        </w:rPr>
        <w:t xml:space="preserve">Depuis le 7 mai 2021, cette possibilité de percevoir une partie de la rente en espèces n’existe plus. </w:t>
      </w:r>
    </w:p>
    <w:p w14:paraId="17333F2D" w14:textId="77777777" w:rsidR="00B61869" w:rsidRPr="00B61869" w:rsidRDefault="00B61869" w:rsidP="00B61869">
      <w:pPr>
        <w:rPr>
          <w:rFonts w:cstheme="minorHAnsi"/>
        </w:rPr>
      </w:pPr>
      <w:r w:rsidRPr="00B61869">
        <w:rPr>
          <w:rFonts w:cstheme="minorHAnsi"/>
        </w:rPr>
        <w:lastRenderedPageBreak/>
        <w:t xml:space="preserve">Le salarié peut toujours demander la conversion partielle de sa rente en rente réversible au bénéfice de son conjoint, de son partenaire de Pacs ou de son concubin. </w:t>
      </w:r>
    </w:p>
    <w:p w14:paraId="240B6203" w14:textId="77777777" w:rsidR="00B61869" w:rsidRPr="00B61869" w:rsidRDefault="00B61869" w:rsidP="00B61869">
      <w:pPr>
        <w:rPr>
          <w:rFonts w:cstheme="minorHAnsi"/>
        </w:rPr>
      </w:pPr>
      <w:r w:rsidRPr="00B61869">
        <w:rPr>
          <w:rFonts w:cstheme="minorHAnsi"/>
        </w:rPr>
        <w:t>Le titulaire de la rente avait, en effet, la possibilité de demander la constitution d’une rente viagère réversible au bénéfice de son conjoint, partenaire de Pacs ou concubin, se basant :</w:t>
      </w:r>
    </w:p>
    <w:p w14:paraId="63BBDD90" w14:textId="7A68755C" w:rsidR="00B61869" w:rsidRPr="00B61869" w:rsidRDefault="00B61869" w:rsidP="00B61869">
      <w:pPr>
        <w:pStyle w:val="Paragraphedeliste"/>
        <w:numPr>
          <w:ilvl w:val="0"/>
          <w:numId w:val="29"/>
        </w:numPr>
        <w:rPr>
          <w:rFonts w:cstheme="minorHAnsi"/>
        </w:rPr>
      </w:pPr>
      <w:r w:rsidRPr="00B61869">
        <w:rPr>
          <w:rFonts w:cstheme="minorHAnsi"/>
        </w:rPr>
        <w:t>soit sur le capital représentatif de la rente ;</w:t>
      </w:r>
    </w:p>
    <w:p w14:paraId="392FBA4D" w14:textId="704C8820" w:rsidR="00B61869" w:rsidRPr="00B61869" w:rsidRDefault="00B61869" w:rsidP="00B61869">
      <w:pPr>
        <w:pStyle w:val="Paragraphedeliste"/>
        <w:numPr>
          <w:ilvl w:val="0"/>
          <w:numId w:val="29"/>
        </w:numPr>
        <w:rPr>
          <w:rFonts w:cstheme="minorHAnsi"/>
        </w:rPr>
      </w:pPr>
      <w:r w:rsidRPr="00B61869">
        <w:rPr>
          <w:rFonts w:cstheme="minorHAnsi"/>
        </w:rPr>
        <w:t xml:space="preserve">soit sur le capital de la rente réduit du quart : </w:t>
      </w:r>
    </w:p>
    <w:p w14:paraId="770ADF68" w14:textId="2784540F" w:rsidR="00B61869" w:rsidRPr="00B61869" w:rsidRDefault="00B61869" w:rsidP="00855D09">
      <w:pPr>
        <w:pStyle w:val="Paragraphedeliste"/>
        <w:numPr>
          <w:ilvl w:val="1"/>
          <w:numId w:val="116"/>
        </w:numPr>
        <w:rPr>
          <w:rFonts w:cstheme="minorHAnsi"/>
        </w:rPr>
      </w:pPr>
      <w:r w:rsidRPr="00B61869">
        <w:rPr>
          <w:rFonts w:cstheme="minorHAnsi"/>
        </w:rPr>
        <w:t xml:space="preserve">pris en son intégralité si le taux d’incapacité du salarié est au plus égal à 50 % ; </w:t>
      </w:r>
    </w:p>
    <w:p w14:paraId="772984E6" w14:textId="483B4DAE" w:rsidR="00B61869" w:rsidRPr="00B61869" w:rsidRDefault="00B61869" w:rsidP="00855D09">
      <w:pPr>
        <w:pStyle w:val="Paragraphedeliste"/>
        <w:numPr>
          <w:ilvl w:val="1"/>
          <w:numId w:val="116"/>
        </w:numPr>
        <w:rPr>
          <w:rFonts w:cstheme="minorHAnsi"/>
        </w:rPr>
      </w:pPr>
      <w:r w:rsidRPr="00B61869">
        <w:rPr>
          <w:rFonts w:cstheme="minorHAnsi"/>
        </w:rPr>
        <w:t>pour la portion de rente correspondant au taux d’incapacité de 50 %, si le taux d’incapacité permanente est supérieur à 50 %.</w:t>
      </w:r>
    </w:p>
    <w:p w14:paraId="72D32802" w14:textId="0EDC6FF5" w:rsidR="00C36E9E" w:rsidRPr="00451FF7" w:rsidRDefault="00B61869" w:rsidP="00B61869">
      <w:pPr>
        <w:rPr>
          <w:rFonts w:cstheme="minorHAnsi"/>
        </w:rPr>
      </w:pPr>
      <w:r w:rsidRPr="00B61869">
        <w:rPr>
          <w:rFonts w:cstheme="minorHAnsi"/>
        </w:rPr>
        <w:t>Désormais, avec la suppression de la possibilité de percevoir une partie de la rente en espèces, cette conversion peut uniquement reposer sur le capital représentatif de la rente.</w:t>
      </w:r>
    </w:p>
    <w:p w14:paraId="250794F5" w14:textId="38D89111" w:rsidR="00B62B88" w:rsidRDefault="00B62B88" w:rsidP="00B62B88">
      <w:pPr>
        <w:rPr>
          <w:rFonts w:cstheme="minorHAnsi"/>
        </w:rPr>
      </w:pPr>
    </w:p>
    <w:p w14:paraId="6C33D9E2" w14:textId="672282AE" w:rsidR="00C669C5" w:rsidRPr="00BA1E49" w:rsidRDefault="00054137" w:rsidP="00C669C5">
      <w:pPr>
        <w:pStyle w:val="Titre3"/>
      </w:pPr>
      <w:bookmarkStart w:id="24" w:name="_Toc74651313"/>
      <w:r>
        <w:t>Arrêt maladie et obligations de l’employeur</w:t>
      </w:r>
      <w:bookmarkEnd w:id="24"/>
    </w:p>
    <w:p w14:paraId="0FBBEE97" w14:textId="08745ADC" w:rsidR="00C669C5" w:rsidRDefault="00C669C5" w:rsidP="00C669C5">
      <w:pPr>
        <w:rPr>
          <w:rFonts w:cstheme="minorHAnsi"/>
        </w:rPr>
      </w:pPr>
      <w:r w:rsidRPr="00E45B66">
        <w:rPr>
          <w:rFonts w:cstheme="minorHAnsi"/>
          <w:b/>
          <w:color w:val="0070C0"/>
        </w:rPr>
        <w:t>Slide</w:t>
      </w:r>
      <w:r>
        <w:rPr>
          <w:rFonts w:cstheme="minorHAnsi"/>
          <w:b/>
          <w:color w:val="0070C0"/>
        </w:rPr>
        <w:t xml:space="preserve">s </w:t>
      </w:r>
      <w:r w:rsidR="006D3AAB">
        <w:rPr>
          <w:rFonts w:cstheme="minorHAnsi"/>
          <w:b/>
          <w:color w:val="0070C0"/>
        </w:rPr>
        <w:t>28 et 29</w:t>
      </w:r>
    </w:p>
    <w:p w14:paraId="62853B36" w14:textId="126240BD" w:rsidR="00C669C5" w:rsidRPr="00A87745" w:rsidRDefault="00C669C5" w:rsidP="00C669C5">
      <w:pPr>
        <w:rPr>
          <w:rFonts w:cstheme="minorHAnsi"/>
        </w:rPr>
      </w:pPr>
      <w:r w:rsidRPr="00451FF7">
        <w:rPr>
          <w:rFonts w:cstheme="minorHAnsi"/>
        </w:rPr>
        <w:t>Source </w:t>
      </w:r>
      <w:r w:rsidRPr="002545F5">
        <w:rPr>
          <w:rFonts w:cstheme="minorHAnsi"/>
        </w:rPr>
        <w:t xml:space="preserve">: </w:t>
      </w:r>
      <w:r w:rsidR="00A87745" w:rsidRPr="00A87745">
        <w:rPr>
          <w:rFonts w:cstheme="minorHAnsi"/>
        </w:rPr>
        <w:t>Arrêt de la Cour de Cassation chambre sociale, du 19 mai 2021, n° 20-14062</w:t>
      </w:r>
    </w:p>
    <w:p w14:paraId="2C3D6A93" w14:textId="77777777" w:rsidR="00C669C5" w:rsidRPr="005B73D2" w:rsidRDefault="00C669C5" w:rsidP="00C669C5">
      <w:pPr>
        <w:pStyle w:val="Titre4"/>
        <w:rPr>
          <w:rStyle w:val="txt"/>
        </w:rPr>
      </w:pPr>
      <w:r w:rsidRPr="004858FF">
        <w:rPr>
          <w:rStyle w:val="txt"/>
        </w:rPr>
        <w:t>ce qu’il faut savoir…</w:t>
      </w:r>
    </w:p>
    <w:p w14:paraId="71150D35" w14:textId="77777777" w:rsidR="004D0EC3" w:rsidRPr="004D0EC3" w:rsidRDefault="004D0EC3" w:rsidP="004D0EC3">
      <w:pPr>
        <w:rPr>
          <w:rFonts w:cstheme="minorHAnsi"/>
        </w:rPr>
      </w:pPr>
      <w:r w:rsidRPr="004D0EC3">
        <w:rPr>
          <w:rFonts w:cstheme="minorHAnsi"/>
        </w:rPr>
        <w:t>Un salarié en arrêt maladie reproche à son employeur de ne pas lui avoir versé une prime et de ne pas faire rapidement le nécessaire auprès de l’assurance et de la CPAM pour la prise en charge financière de son arrêt de travail. De quoi justifier la résiliation du contrat de travail aux torts de l’employeur…</w:t>
      </w:r>
    </w:p>
    <w:p w14:paraId="4FA8A8CF" w14:textId="77777777" w:rsidR="004D0EC3" w:rsidRPr="004D0EC3" w:rsidRDefault="004D0EC3" w:rsidP="004D0EC3">
      <w:pPr>
        <w:rPr>
          <w:rFonts w:cstheme="minorHAnsi"/>
        </w:rPr>
      </w:pPr>
      <w:r w:rsidRPr="004D0EC3">
        <w:rPr>
          <w:rFonts w:cstheme="minorHAnsi"/>
        </w:rPr>
        <w:t>… coupable, selon le salarié, de manquements à ses obligations ! Une réaction exagérée pour l’employeur qui rappelle au salarié que la prime en question est faible comparée à son salaire et qu’il a tout de même fait le nécessaire pour le versement des indemnités de prévoyance. Rien de « suffisamment grave » qui justifierait la résiliation du contrat à ses torts…</w:t>
      </w:r>
    </w:p>
    <w:p w14:paraId="49A880FA" w14:textId="1460DF19" w:rsidR="00C669C5" w:rsidRPr="00451FF7" w:rsidRDefault="004D0EC3" w:rsidP="004D0EC3">
      <w:pPr>
        <w:rPr>
          <w:rFonts w:cstheme="minorHAnsi"/>
        </w:rPr>
      </w:pPr>
      <w:r w:rsidRPr="004D0EC3">
        <w:rPr>
          <w:rFonts w:cstheme="minorHAnsi"/>
        </w:rPr>
        <w:t>Sauf que supprimer la prime et réagir tardivement pour la prise en charge de l’arrêt de travail a conduit à une baisse notable des revenus du salarié, constate le juge, pour qui ces manquements « suffisamment graves » de l’employeur justifient la résiliation du contrat… et donc un licenciement sans cause réelle et sérieuse !</w:t>
      </w:r>
    </w:p>
    <w:p w14:paraId="6F97BF20" w14:textId="25236ED1" w:rsidR="006A68DA" w:rsidRDefault="006A68DA">
      <w:r>
        <w:br w:type="page"/>
      </w:r>
    </w:p>
    <w:p w14:paraId="67609EC2" w14:textId="77777777" w:rsidR="006A68DA" w:rsidRDefault="006A68DA" w:rsidP="006A68DA"/>
    <w:p w14:paraId="00B76919" w14:textId="577CB2B0" w:rsidR="006A68DA" w:rsidRDefault="006A68DA" w:rsidP="006A68DA">
      <w:pPr>
        <w:pStyle w:val="Titre2"/>
      </w:pPr>
      <w:bookmarkStart w:id="25" w:name="_Toc74651314"/>
      <w:r>
        <w:t>Ce qu’il faut savoir en matière de représentation du personnel</w:t>
      </w:r>
      <w:bookmarkEnd w:id="25"/>
    </w:p>
    <w:p w14:paraId="3CD5E3D8" w14:textId="77777777" w:rsidR="008B0D27" w:rsidRDefault="008B0D27" w:rsidP="008B0D27"/>
    <w:p w14:paraId="6FC83A46" w14:textId="6FDF5B0C" w:rsidR="00E503FB" w:rsidRPr="00BA1E49" w:rsidRDefault="00B34EFF" w:rsidP="00E503FB">
      <w:pPr>
        <w:pStyle w:val="Titre3"/>
      </w:pPr>
      <w:bookmarkStart w:id="26" w:name="_Toc74651315"/>
      <w:r>
        <w:t>Violation du statut protecteur</w:t>
      </w:r>
      <w:bookmarkEnd w:id="26"/>
    </w:p>
    <w:p w14:paraId="49D62788" w14:textId="53CEC091" w:rsidR="00E503FB" w:rsidRDefault="00E503FB" w:rsidP="00E503FB">
      <w:pPr>
        <w:rPr>
          <w:rFonts w:cstheme="minorHAnsi"/>
        </w:rPr>
      </w:pPr>
      <w:r w:rsidRPr="00E45B66">
        <w:rPr>
          <w:rFonts w:cstheme="minorHAnsi"/>
          <w:b/>
          <w:color w:val="0070C0"/>
        </w:rPr>
        <w:t>Slide</w:t>
      </w:r>
      <w:r>
        <w:rPr>
          <w:rFonts w:cstheme="minorHAnsi"/>
          <w:b/>
          <w:color w:val="0070C0"/>
        </w:rPr>
        <w:t xml:space="preserve">s </w:t>
      </w:r>
      <w:r w:rsidR="006D3AAB">
        <w:rPr>
          <w:rFonts w:cstheme="minorHAnsi"/>
          <w:b/>
          <w:color w:val="0070C0"/>
        </w:rPr>
        <w:t>30 et 31</w:t>
      </w:r>
    </w:p>
    <w:p w14:paraId="140237BB" w14:textId="6595430D" w:rsidR="00E503FB" w:rsidRPr="00011306" w:rsidRDefault="00E503FB" w:rsidP="00E503FB">
      <w:pPr>
        <w:rPr>
          <w:rFonts w:cstheme="minorHAnsi"/>
        </w:rPr>
      </w:pPr>
      <w:r w:rsidRPr="00451FF7">
        <w:rPr>
          <w:rFonts w:cstheme="minorHAnsi"/>
        </w:rPr>
        <w:t>Source </w:t>
      </w:r>
      <w:r w:rsidRPr="002545F5">
        <w:rPr>
          <w:rFonts w:cstheme="minorHAnsi"/>
        </w:rPr>
        <w:t xml:space="preserve">: </w:t>
      </w:r>
      <w:r w:rsidR="00011306" w:rsidRPr="00011306">
        <w:rPr>
          <w:rFonts w:cstheme="minorHAnsi"/>
        </w:rPr>
        <w:t>Arrêt de la Cour de Cassation, chambre sociale, du 12 mai 2021, n° 19-23759</w:t>
      </w:r>
    </w:p>
    <w:p w14:paraId="3420C259" w14:textId="77777777" w:rsidR="00E503FB" w:rsidRPr="005B73D2" w:rsidRDefault="00E503FB" w:rsidP="00E503FB">
      <w:pPr>
        <w:pStyle w:val="Titre4"/>
        <w:rPr>
          <w:rStyle w:val="txt"/>
        </w:rPr>
      </w:pPr>
      <w:r w:rsidRPr="004858FF">
        <w:rPr>
          <w:rStyle w:val="txt"/>
        </w:rPr>
        <w:t>ce qu’il faut savoir…</w:t>
      </w:r>
    </w:p>
    <w:p w14:paraId="2A8BD1D2" w14:textId="77777777" w:rsidR="00D9383C" w:rsidRPr="00D9383C" w:rsidRDefault="00D9383C" w:rsidP="00D9383C">
      <w:pPr>
        <w:rPr>
          <w:rFonts w:cstheme="minorHAnsi"/>
        </w:rPr>
      </w:pPr>
      <w:r w:rsidRPr="00D9383C">
        <w:rPr>
          <w:rFonts w:cstheme="minorHAnsi"/>
        </w:rPr>
        <w:t>Un salarié, qui exerce les fonctions de représentant syndical et représentant du personnel, obtient la résiliation judiciaire de son contrat de travail aux torts de son employeur. La rupture de son contrat de travail s’apparentant donc à un licenciement nul, il réclame une indemnité pour violation de son statut protecteur.</w:t>
      </w:r>
    </w:p>
    <w:p w14:paraId="50FD420D" w14:textId="77777777" w:rsidR="00D9383C" w:rsidRPr="00D9383C" w:rsidRDefault="00D9383C" w:rsidP="00D9383C">
      <w:pPr>
        <w:rPr>
          <w:rFonts w:cstheme="minorHAnsi"/>
        </w:rPr>
      </w:pPr>
      <w:r w:rsidRPr="00D9383C">
        <w:rPr>
          <w:rFonts w:cstheme="minorHAnsi"/>
        </w:rPr>
        <w:t xml:space="preserve">Pour déterminer le montant de cette indemnité, il réclame le montant du salaire qu’il aurait dû percevoir à compter de la résiliation judiciaire de son contrat jusqu’à la fin de la période de protection. Dans cette affaire, il a donc réclamé l’équivalent de 56 mois de salaires. Ce qui est excessif, conteste l’employeur…. </w:t>
      </w:r>
    </w:p>
    <w:p w14:paraId="1EDBC19E" w14:textId="77777777" w:rsidR="00D9383C" w:rsidRPr="00D9383C" w:rsidRDefault="00D9383C" w:rsidP="00D9383C">
      <w:pPr>
        <w:rPr>
          <w:rFonts w:cstheme="minorHAnsi"/>
        </w:rPr>
      </w:pPr>
      <w:r w:rsidRPr="00D9383C">
        <w:rPr>
          <w:rFonts w:cstheme="minorHAnsi"/>
        </w:rPr>
        <w:t xml:space="preserve">A raison, confirme le juge : ce dernier rappelle, en effet, que lorsque la résiliation judiciaire du contrat de travail d'un salarié titulaire d'un mandat de représentant du personnel ou de représentant syndical est prononcée aux torts de l'employeur, la rupture produit les effets d'un licenciement nul pour violation du statut protecteur. </w:t>
      </w:r>
    </w:p>
    <w:p w14:paraId="2F33A7FB" w14:textId="6F9F9C84" w:rsidR="00E503FB" w:rsidRPr="00451FF7" w:rsidRDefault="00D9383C" w:rsidP="00D9383C">
      <w:pPr>
        <w:rPr>
          <w:rFonts w:cstheme="minorHAnsi"/>
        </w:rPr>
      </w:pPr>
      <w:r w:rsidRPr="00D9383C">
        <w:rPr>
          <w:rFonts w:cstheme="minorHAnsi"/>
        </w:rPr>
        <w:t>Ce salarié, poursuit le juge, peut alors prétendre à une indemnité pour violation du statut protecteur égale aux salaires qu'il aurait dû percevoir jusqu'à la fin de la période de protection en cours dans la limite de 30 mois.</w:t>
      </w:r>
    </w:p>
    <w:p w14:paraId="2B8C2AC8" w14:textId="77777777" w:rsidR="0050590F" w:rsidRPr="00034FD3" w:rsidRDefault="0050590F" w:rsidP="0050590F">
      <w:r w:rsidRPr="00034FD3">
        <w:br w:type="page"/>
      </w:r>
    </w:p>
    <w:p w14:paraId="3B5213BF" w14:textId="77777777" w:rsidR="0050590F" w:rsidRDefault="0050590F" w:rsidP="00034FD3">
      <w:pPr>
        <w:jc w:val="center"/>
      </w:pPr>
    </w:p>
    <w:p w14:paraId="789B593B" w14:textId="7D1877FE" w:rsidR="008B0D27" w:rsidRDefault="00D93579" w:rsidP="00FB54B2">
      <w:pPr>
        <w:pStyle w:val="Titre2"/>
      </w:pPr>
      <w:bookmarkStart w:id="27" w:name="_Toc514247885"/>
      <w:bookmarkStart w:id="28" w:name="_Toc74651316"/>
      <w:r>
        <w:t>Ce qu’il faut savoir en matière de r</w:t>
      </w:r>
      <w:bookmarkEnd w:id="27"/>
      <w:r w:rsidR="00FB54B2">
        <w:t>elations avec l’administration sociale</w:t>
      </w:r>
      <w:bookmarkEnd w:id="28"/>
    </w:p>
    <w:p w14:paraId="2EC042B6" w14:textId="77777777" w:rsidR="00FB54B2" w:rsidRDefault="00FB54B2" w:rsidP="008B0D27"/>
    <w:p w14:paraId="1D684148" w14:textId="22760137" w:rsidR="000057F1" w:rsidRPr="00BA1E49" w:rsidRDefault="00E5654D" w:rsidP="000057F1">
      <w:pPr>
        <w:pStyle w:val="Titre3"/>
      </w:pPr>
      <w:bookmarkStart w:id="29" w:name="_Toc74651317"/>
      <w:r>
        <w:t xml:space="preserve">Quotité de travail </w:t>
      </w:r>
      <w:r w:rsidR="00DB3B1F">
        <w:t>en DSN</w:t>
      </w:r>
      <w:bookmarkEnd w:id="29"/>
    </w:p>
    <w:p w14:paraId="01C7F457" w14:textId="7AD50788" w:rsidR="000057F1" w:rsidRDefault="000057F1" w:rsidP="006D3AAB">
      <w:pPr>
        <w:spacing w:before="0" w:after="0"/>
        <w:rPr>
          <w:rFonts w:cstheme="minorHAnsi"/>
        </w:rPr>
      </w:pPr>
      <w:r w:rsidRPr="00E45B66">
        <w:rPr>
          <w:rFonts w:cstheme="minorHAnsi"/>
          <w:b/>
          <w:color w:val="0070C0"/>
        </w:rPr>
        <w:t>Slide</w:t>
      </w:r>
      <w:r>
        <w:rPr>
          <w:rFonts w:cstheme="minorHAnsi"/>
          <w:b/>
          <w:color w:val="0070C0"/>
        </w:rPr>
        <w:t xml:space="preserve"> </w:t>
      </w:r>
      <w:r w:rsidR="006D3AAB">
        <w:rPr>
          <w:rFonts w:cstheme="minorHAnsi"/>
          <w:b/>
          <w:color w:val="0070C0"/>
        </w:rPr>
        <w:t>32</w:t>
      </w:r>
    </w:p>
    <w:p w14:paraId="567A95BA" w14:textId="3F7736DE" w:rsidR="000057F1" w:rsidRPr="00404B76" w:rsidRDefault="000057F1" w:rsidP="000057F1">
      <w:pPr>
        <w:rPr>
          <w:rFonts w:cstheme="minorHAnsi"/>
        </w:rPr>
      </w:pPr>
      <w:r w:rsidRPr="00451FF7">
        <w:rPr>
          <w:rFonts w:cstheme="minorHAnsi"/>
        </w:rPr>
        <w:t>Source </w:t>
      </w:r>
      <w:r w:rsidRPr="002545F5">
        <w:rPr>
          <w:rFonts w:cstheme="minorHAnsi"/>
        </w:rPr>
        <w:t xml:space="preserve">: </w:t>
      </w:r>
      <w:r w:rsidR="00404B76" w:rsidRPr="00404B76">
        <w:rPr>
          <w:rFonts w:cstheme="minorHAnsi"/>
        </w:rPr>
        <w:t>Urssaf.fr, Actualité du 29 avril 2021 : DSN - Quotité de travail</w:t>
      </w:r>
    </w:p>
    <w:p w14:paraId="37CED192" w14:textId="77777777" w:rsidR="000057F1" w:rsidRPr="005B73D2" w:rsidRDefault="000057F1" w:rsidP="000057F1">
      <w:pPr>
        <w:pStyle w:val="Titre4"/>
        <w:rPr>
          <w:rStyle w:val="txt"/>
        </w:rPr>
      </w:pPr>
      <w:r w:rsidRPr="004858FF">
        <w:rPr>
          <w:rStyle w:val="txt"/>
        </w:rPr>
        <w:t>ce qu’il faut savoir…</w:t>
      </w:r>
    </w:p>
    <w:p w14:paraId="7A804F32" w14:textId="36441FAC" w:rsidR="00287FA3" w:rsidRPr="00287FA3" w:rsidRDefault="00287FA3" w:rsidP="00287FA3">
      <w:pPr>
        <w:rPr>
          <w:rFonts w:cstheme="minorHAnsi"/>
        </w:rPr>
      </w:pPr>
      <w:r w:rsidRPr="00287FA3">
        <w:rPr>
          <w:rFonts w:cstheme="minorHAnsi"/>
        </w:rPr>
        <w:t xml:space="preserve">S’agissant de la déclaration sociale nominative (DSN), l’employeur doit déclarer le temps de travail contractuel de ses salariés via la quotité de travail. </w:t>
      </w:r>
    </w:p>
    <w:p w14:paraId="276B3CE8" w14:textId="77777777" w:rsidR="00287FA3" w:rsidRPr="00287FA3" w:rsidRDefault="00287FA3" w:rsidP="00287FA3">
      <w:pPr>
        <w:rPr>
          <w:rFonts w:cstheme="minorHAnsi"/>
        </w:rPr>
      </w:pPr>
      <w:r w:rsidRPr="00287FA3">
        <w:rPr>
          <w:rFonts w:cstheme="minorHAnsi"/>
        </w:rPr>
        <w:t xml:space="preserve">La quotité de travail intervient dans plusieurs processus de recouvrement des cotisations sociales, ainsi que dans l’établissement de plusieurs droits sociaux, qu’il s’agisse : </w:t>
      </w:r>
    </w:p>
    <w:p w14:paraId="580C60FA" w14:textId="67D56792" w:rsidR="00287FA3" w:rsidRPr="00287FA3" w:rsidRDefault="00287FA3" w:rsidP="00D54DDF">
      <w:pPr>
        <w:pStyle w:val="Paragraphedeliste"/>
        <w:numPr>
          <w:ilvl w:val="0"/>
          <w:numId w:val="29"/>
        </w:numPr>
        <w:rPr>
          <w:rFonts w:cstheme="minorHAnsi"/>
        </w:rPr>
      </w:pPr>
      <w:r w:rsidRPr="00287FA3">
        <w:rPr>
          <w:rFonts w:cstheme="minorHAnsi"/>
        </w:rPr>
        <w:t xml:space="preserve">du calcul des effectifs ; </w:t>
      </w:r>
    </w:p>
    <w:p w14:paraId="6DF148B5" w14:textId="4A999A87" w:rsidR="00287FA3" w:rsidRPr="00287FA3" w:rsidRDefault="00287FA3" w:rsidP="00D54DDF">
      <w:pPr>
        <w:pStyle w:val="Paragraphedeliste"/>
        <w:numPr>
          <w:ilvl w:val="0"/>
          <w:numId w:val="29"/>
        </w:numPr>
        <w:rPr>
          <w:rFonts w:cstheme="minorHAnsi"/>
        </w:rPr>
      </w:pPr>
      <w:r w:rsidRPr="00287FA3">
        <w:rPr>
          <w:rFonts w:cstheme="minorHAnsi"/>
        </w:rPr>
        <w:t xml:space="preserve">du calcul de certaines exonérations, comme : </w:t>
      </w:r>
    </w:p>
    <w:p w14:paraId="5C7F4B8D" w14:textId="356CFC19" w:rsidR="00287FA3" w:rsidRPr="00287FA3" w:rsidRDefault="00287FA3" w:rsidP="00D54DDF">
      <w:pPr>
        <w:pStyle w:val="Paragraphedeliste"/>
        <w:numPr>
          <w:ilvl w:val="1"/>
          <w:numId w:val="32"/>
        </w:numPr>
        <w:rPr>
          <w:rFonts w:cstheme="minorHAnsi"/>
        </w:rPr>
      </w:pPr>
      <w:r w:rsidRPr="00287FA3">
        <w:rPr>
          <w:rFonts w:cstheme="minorHAnsi"/>
        </w:rPr>
        <w:t>la réduction générale étendue ;</w:t>
      </w:r>
    </w:p>
    <w:p w14:paraId="1A824D8C" w14:textId="7A2A4888" w:rsidR="00287FA3" w:rsidRPr="00287FA3" w:rsidRDefault="00287FA3" w:rsidP="00D54DDF">
      <w:pPr>
        <w:pStyle w:val="Paragraphedeliste"/>
        <w:numPr>
          <w:ilvl w:val="1"/>
          <w:numId w:val="32"/>
        </w:numPr>
        <w:rPr>
          <w:rFonts w:cstheme="minorHAnsi"/>
        </w:rPr>
      </w:pPr>
      <w:r w:rsidRPr="00287FA3">
        <w:rPr>
          <w:rFonts w:cstheme="minorHAnsi"/>
        </w:rPr>
        <w:t>les taux réduits sur complément allocations familiales et maladie ;</w:t>
      </w:r>
    </w:p>
    <w:p w14:paraId="13E5A7DD" w14:textId="40E80AEC" w:rsidR="00287FA3" w:rsidRPr="00287FA3" w:rsidRDefault="00287FA3" w:rsidP="00D54DDF">
      <w:pPr>
        <w:pStyle w:val="Paragraphedeliste"/>
        <w:numPr>
          <w:ilvl w:val="1"/>
          <w:numId w:val="32"/>
        </w:numPr>
        <w:rPr>
          <w:rFonts w:cstheme="minorHAnsi"/>
        </w:rPr>
      </w:pPr>
      <w:r w:rsidRPr="00287FA3">
        <w:rPr>
          <w:rFonts w:cstheme="minorHAnsi"/>
        </w:rPr>
        <w:t>les allègements dont bénéficient les jeunes entreprises innovantes et les jeunes entreprises universitaires ;</w:t>
      </w:r>
    </w:p>
    <w:p w14:paraId="6C657F02" w14:textId="3E4B6492" w:rsidR="00287FA3" w:rsidRPr="00287FA3" w:rsidRDefault="00287FA3" w:rsidP="00D54DDF">
      <w:pPr>
        <w:pStyle w:val="Paragraphedeliste"/>
        <w:numPr>
          <w:ilvl w:val="1"/>
          <w:numId w:val="32"/>
        </w:numPr>
        <w:rPr>
          <w:rFonts w:cstheme="minorHAnsi"/>
        </w:rPr>
      </w:pPr>
      <w:r w:rsidRPr="00287FA3">
        <w:rPr>
          <w:rFonts w:cstheme="minorHAnsi"/>
        </w:rPr>
        <w:t>la Lodéom (exonération bénéficiant aux employeurs situés en Outre-mer) ;</w:t>
      </w:r>
    </w:p>
    <w:p w14:paraId="0CC652A3" w14:textId="53BAA271" w:rsidR="00287FA3" w:rsidRPr="00287FA3" w:rsidRDefault="00287FA3" w:rsidP="00D54DDF">
      <w:pPr>
        <w:pStyle w:val="Paragraphedeliste"/>
        <w:numPr>
          <w:ilvl w:val="1"/>
          <w:numId w:val="32"/>
        </w:numPr>
        <w:rPr>
          <w:rFonts w:cstheme="minorHAnsi"/>
        </w:rPr>
      </w:pPr>
      <w:r w:rsidRPr="00287FA3">
        <w:rPr>
          <w:rFonts w:cstheme="minorHAnsi"/>
        </w:rPr>
        <w:t>l’exonération des cotisations salariales pour les apprentis ;</w:t>
      </w:r>
    </w:p>
    <w:p w14:paraId="194B697F" w14:textId="1151288A" w:rsidR="00287FA3" w:rsidRPr="00287FA3" w:rsidRDefault="00287FA3" w:rsidP="00D54DDF">
      <w:pPr>
        <w:pStyle w:val="Paragraphedeliste"/>
        <w:numPr>
          <w:ilvl w:val="1"/>
          <w:numId w:val="32"/>
        </w:numPr>
        <w:rPr>
          <w:rFonts w:cstheme="minorHAnsi"/>
        </w:rPr>
      </w:pPr>
      <w:r w:rsidRPr="00287FA3">
        <w:rPr>
          <w:rFonts w:cstheme="minorHAnsi"/>
        </w:rPr>
        <w:t>les exonérations zonées (BRR, ZRR...).</w:t>
      </w:r>
    </w:p>
    <w:p w14:paraId="0A7580BB" w14:textId="112AEC3D" w:rsidR="00287FA3" w:rsidRPr="00287FA3" w:rsidRDefault="00287FA3" w:rsidP="00287FA3">
      <w:pPr>
        <w:rPr>
          <w:rFonts w:cstheme="minorHAnsi"/>
        </w:rPr>
      </w:pPr>
      <w:r w:rsidRPr="00287FA3">
        <w:rPr>
          <w:rFonts w:cstheme="minorHAnsi"/>
        </w:rPr>
        <w:t xml:space="preserve">L’Urssaf invite les employeurs à porter une attention particulière sur la quotité de travail en DSN. En effet, chaque mois, de nombreuses erreurs sont constatées, portant le plus souvent sur la cohérence entre les modalités de l’exercice du temps de travail et sur les quotités de travail. </w:t>
      </w:r>
    </w:p>
    <w:p w14:paraId="58D82BEC" w14:textId="77777777" w:rsidR="00287FA3" w:rsidRPr="00287FA3" w:rsidRDefault="00287FA3" w:rsidP="00287FA3">
      <w:pPr>
        <w:rPr>
          <w:rFonts w:cstheme="minorHAnsi"/>
        </w:rPr>
      </w:pPr>
      <w:r w:rsidRPr="00287FA3">
        <w:rPr>
          <w:rFonts w:cstheme="minorHAnsi"/>
        </w:rPr>
        <w:t xml:space="preserve">Les erreurs les plus fréquentes sont les suivantes : </w:t>
      </w:r>
    </w:p>
    <w:p w14:paraId="7819DA18" w14:textId="2A67490A" w:rsidR="00287FA3" w:rsidRPr="00C30368" w:rsidRDefault="00287FA3" w:rsidP="00D54DDF">
      <w:pPr>
        <w:pStyle w:val="Paragraphedeliste"/>
        <w:numPr>
          <w:ilvl w:val="0"/>
          <w:numId w:val="33"/>
        </w:numPr>
        <w:rPr>
          <w:rFonts w:cstheme="minorHAnsi"/>
        </w:rPr>
      </w:pPr>
      <w:r w:rsidRPr="00C30368">
        <w:rPr>
          <w:rFonts w:cstheme="minorHAnsi"/>
        </w:rPr>
        <w:t>la modalité de l’exercice du temps de travail indiqué est celle d’un temps plein, mais les quotités de travail renseignées indiquent un temps partiel ;</w:t>
      </w:r>
    </w:p>
    <w:p w14:paraId="12D0B100" w14:textId="55A813C6" w:rsidR="00287FA3" w:rsidRPr="00C30368" w:rsidRDefault="00287FA3" w:rsidP="00D54DDF">
      <w:pPr>
        <w:pStyle w:val="Paragraphedeliste"/>
        <w:numPr>
          <w:ilvl w:val="0"/>
          <w:numId w:val="33"/>
        </w:numPr>
        <w:rPr>
          <w:rFonts w:cstheme="minorHAnsi"/>
        </w:rPr>
      </w:pPr>
      <w:r w:rsidRPr="00C30368">
        <w:rPr>
          <w:rFonts w:cstheme="minorHAnsi"/>
        </w:rPr>
        <w:t>inversement, la modalité de l’exercice du temps de travail indiqué est celle d’un temps partiel, mais les quotités de travail indiquent un temps plein.</w:t>
      </w:r>
    </w:p>
    <w:p w14:paraId="2D7C6D54" w14:textId="5A65039C" w:rsidR="000057F1" w:rsidRPr="00287FA3" w:rsidRDefault="00287FA3" w:rsidP="000057F1">
      <w:pPr>
        <w:rPr>
          <w:rFonts w:cstheme="minorHAnsi"/>
        </w:rPr>
      </w:pPr>
      <w:r w:rsidRPr="00287FA3">
        <w:rPr>
          <w:rFonts w:cstheme="minorHAnsi"/>
        </w:rPr>
        <w:t>L’Urssaf précise que les employeurs peuvent corriger ces données au sein de la DSN suivante par le biais d’un bloc de changement et d’une modification de paramétrage.</w:t>
      </w:r>
    </w:p>
    <w:p w14:paraId="168A90E8" w14:textId="77777777" w:rsidR="008B0D27" w:rsidRDefault="008B0D27" w:rsidP="008B0D27"/>
    <w:p w14:paraId="197AFA26" w14:textId="394C47CF" w:rsidR="000057F1" w:rsidRPr="00BA1E49" w:rsidRDefault="005B3106" w:rsidP="000057F1">
      <w:pPr>
        <w:pStyle w:val="Titre3"/>
      </w:pPr>
      <w:bookmarkStart w:id="30" w:name="_Toc74651318"/>
      <w:r>
        <w:t>Contrôle URSSAF et signature des inspecteurs</w:t>
      </w:r>
      <w:bookmarkEnd w:id="30"/>
    </w:p>
    <w:p w14:paraId="7D661C84" w14:textId="350A7AA9" w:rsidR="000057F1" w:rsidRDefault="000057F1" w:rsidP="000057F1">
      <w:pPr>
        <w:rPr>
          <w:rFonts w:cstheme="minorHAnsi"/>
        </w:rPr>
      </w:pPr>
      <w:r w:rsidRPr="00E45B66">
        <w:rPr>
          <w:rFonts w:cstheme="minorHAnsi"/>
          <w:b/>
          <w:color w:val="0070C0"/>
        </w:rPr>
        <w:t>Slide</w:t>
      </w:r>
      <w:r>
        <w:rPr>
          <w:rFonts w:cstheme="minorHAnsi"/>
          <w:b/>
          <w:color w:val="0070C0"/>
        </w:rPr>
        <w:t xml:space="preserve">s </w:t>
      </w:r>
      <w:r w:rsidR="006D3AAB">
        <w:rPr>
          <w:rFonts w:cstheme="minorHAnsi"/>
          <w:b/>
          <w:color w:val="0070C0"/>
        </w:rPr>
        <w:t>33 et 34</w:t>
      </w:r>
    </w:p>
    <w:p w14:paraId="0DDFC72A" w14:textId="30E2CA6A" w:rsidR="000057F1" w:rsidRPr="00D95C58" w:rsidRDefault="000057F1" w:rsidP="000057F1">
      <w:pPr>
        <w:rPr>
          <w:rFonts w:cstheme="minorHAnsi"/>
        </w:rPr>
      </w:pPr>
      <w:r w:rsidRPr="00451FF7">
        <w:rPr>
          <w:rFonts w:cstheme="minorHAnsi"/>
        </w:rPr>
        <w:lastRenderedPageBreak/>
        <w:t>Source </w:t>
      </w:r>
      <w:r w:rsidRPr="002545F5">
        <w:rPr>
          <w:rFonts w:cstheme="minorHAnsi"/>
        </w:rPr>
        <w:t xml:space="preserve">: </w:t>
      </w:r>
      <w:r w:rsidR="00D95C58" w:rsidRPr="00D95C58">
        <w:rPr>
          <w:rFonts w:cstheme="minorHAnsi"/>
        </w:rPr>
        <w:t>Arrêt de la Cour de cassation, 2</w:t>
      </w:r>
      <w:r w:rsidR="00D95C58" w:rsidRPr="00D95C58">
        <w:rPr>
          <w:rFonts w:cstheme="minorHAnsi"/>
          <w:vertAlign w:val="superscript"/>
        </w:rPr>
        <w:t>ème</w:t>
      </w:r>
      <w:r w:rsidR="00D95C58" w:rsidRPr="00D95C58">
        <w:rPr>
          <w:rFonts w:cstheme="minorHAnsi"/>
        </w:rPr>
        <w:t xml:space="preserve"> chambre civile, du 18 février 2021, n° 20-12328</w:t>
      </w:r>
    </w:p>
    <w:p w14:paraId="5CE8441D" w14:textId="77777777" w:rsidR="000057F1" w:rsidRPr="005B73D2" w:rsidRDefault="000057F1" w:rsidP="000057F1">
      <w:pPr>
        <w:pStyle w:val="Titre4"/>
        <w:rPr>
          <w:rStyle w:val="txt"/>
        </w:rPr>
      </w:pPr>
      <w:r w:rsidRPr="004858FF">
        <w:rPr>
          <w:rStyle w:val="txt"/>
        </w:rPr>
        <w:t>ce qu’il faut savoir…</w:t>
      </w:r>
    </w:p>
    <w:p w14:paraId="2B4CC35D" w14:textId="77777777" w:rsidR="005D43B1" w:rsidRPr="005D43B1" w:rsidRDefault="005D43B1" w:rsidP="005D43B1">
      <w:pPr>
        <w:rPr>
          <w:rFonts w:cstheme="minorHAnsi"/>
        </w:rPr>
      </w:pPr>
      <w:r w:rsidRPr="005D43B1">
        <w:rPr>
          <w:rFonts w:cstheme="minorHAnsi"/>
        </w:rPr>
        <w:t>Une entreprise fait l’objet d’un contrôle Urssaf mené par plusieurs vérificateurs, contrôle qui donnera lieu à un redressement. L’employeur reçoit donc une lettre d’observations à laquelle il répond, réponse à laquelle un des inspecteurs va répondre…</w:t>
      </w:r>
    </w:p>
    <w:p w14:paraId="3AEF9982" w14:textId="77777777" w:rsidR="005D43B1" w:rsidRPr="005D43B1" w:rsidRDefault="005D43B1" w:rsidP="005D43B1">
      <w:pPr>
        <w:rPr>
          <w:rFonts w:cstheme="minorHAnsi"/>
        </w:rPr>
      </w:pPr>
      <w:r w:rsidRPr="005D43B1">
        <w:rPr>
          <w:rFonts w:cstheme="minorHAnsi"/>
        </w:rPr>
        <w:t>Ce qui pose problème, conteste l’employeur qui y voit là un motif d’annulation du contrôle : pour lui, lorsque plusieurs inspecteurs participent aux opérations de contrôle, ils doivent tous signer la lettre d'observations, ainsi que le courrier qui lui est adressé en réponse à ses propres observations. Or, ici, le courrier de l'Urssaf en réponse aux observations de la société ne comporte pas la signature de tous les inspecteurs ayant participé au contrôle et à la rédaction de la lettre d'observations : il ne peut donc pas s'assurer que chacun d'eux a pris en compte ses observations…</w:t>
      </w:r>
    </w:p>
    <w:p w14:paraId="274937AF" w14:textId="359267CA" w:rsidR="000057F1" w:rsidRPr="00451FF7" w:rsidRDefault="005D43B1" w:rsidP="005D43B1">
      <w:pPr>
        <w:rPr>
          <w:rFonts w:cstheme="minorHAnsi"/>
        </w:rPr>
      </w:pPr>
      <w:r w:rsidRPr="005D43B1">
        <w:rPr>
          <w:rFonts w:cstheme="minorHAnsi"/>
        </w:rPr>
        <w:t xml:space="preserve">Sauf que rien n’impose que la réponse aux observations </w:t>
      </w:r>
      <w:r w:rsidR="00124F6F">
        <w:rPr>
          <w:rFonts w:cstheme="minorHAnsi"/>
        </w:rPr>
        <w:t>soit</w:t>
      </w:r>
      <w:r w:rsidRPr="005D43B1">
        <w:rPr>
          <w:rFonts w:cstheme="minorHAnsi"/>
        </w:rPr>
        <w:t xml:space="preserve"> signée par l'ensemble des inspecteurs dans ce cas, estime le juge… qui valide le contrôle !</w:t>
      </w:r>
    </w:p>
    <w:p w14:paraId="1A60AE12" w14:textId="77777777" w:rsidR="000057F1" w:rsidRDefault="000057F1" w:rsidP="000057F1"/>
    <w:p w14:paraId="69DFD0B6" w14:textId="20596464" w:rsidR="001F346E" w:rsidRPr="00BA1E49" w:rsidRDefault="008E22C7" w:rsidP="001F346E">
      <w:pPr>
        <w:pStyle w:val="Titre3"/>
      </w:pPr>
      <w:bookmarkStart w:id="31" w:name="_Toc74651319"/>
      <w:r>
        <w:t>Versement transport</w:t>
      </w:r>
      <w:bookmarkEnd w:id="31"/>
    </w:p>
    <w:p w14:paraId="7FAE01DD" w14:textId="766F8F7A" w:rsidR="001F346E" w:rsidRDefault="001F346E" w:rsidP="001F346E">
      <w:pPr>
        <w:rPr>
          <w:rFonts w:cstheme="minorHAnsi"/>
        </w:rPr>
      </w:pPr>
      <w:r w:rsidRPr="00E45B66">
        <w:rPr>
          <w:rFonts w:cstheme="minorHAnsi"/>
          <w:b/>
          <w:color w:val="0070C0"/>
        </w:rPr>
        <w:t>Slide</w:t>
      </w:r>
      <w:r>
        <w:rPr>
          <w:rFonts w:cstheme="minorHAnsi"/>
          <w:b/>
          <w:color w:val="0070C0"/>
        </w:rPr>
        <w:t xml:space="preserve">s </w:t>
      </w:r>
      <w:r w:rsidR="006D3AAB">
        <w:rPr>
          <w:rFonts w:cstheme="minorHAnsi"/>
          <w:b/>
          <w:color w:val="0070C0"/>
        </w:rPr>
        <w:t>35 et 36</w:t>
      </w:r>
    </w:p>
    <w:p w14:paraId="48851E06" w14:textId="7AD1BE80" w:rsidR="001F346E" w:rsidRPr="004E042F" w:rsidRDefault="001F346E" w:rsidP="001F346E">
      <w:pPr>
        <w:rPr>
          <w:rFonts w:cstheme="minorHAnsi"/>
        </w:rPr>
      </w:pPr>
      <w:r w:rsidRPr="00451FF7">
        <w:rPr>
          <w:rFonts w:cstheme="minorHAnsi"/>
        </w:rPr>
        <w:t>Source </w:t>
      </w:r>
      <w:r w:rsidRPr="002545F5">
        <w:rPr>
          <w:rFonts w:cstheme="minorHAnsi"/>
        </w:rPr>
        <w:t xml:space="preserve">: </w:t>
      </w:r>
      <w:r w:rsidR="004E042F" w:rsidRPr="004E042F">
        <w:rPr>
          <w:rFonts w:cstheme="minorHAnsi"/>
        </w:rPr>
        <w:t>Arrêt de la Cour de Cassation, chambre sociale, du 12 mai 2021, n° 20-14887</w:t>
      </w:r>
    </w:p>
    <w:p w14:paraId="35DD96A9" w14:textId="77777777" w:rsidR="001F346E" w:rsidRPr="005B73D2" w:rsidRDefault="001F346E" w:rsidP="001F346E">
      <w:pPr>
        <w:pStyle w:val="Titre4"/>
        <w:rPr>
          <w:rStyle w:val="txt"/>
        </w:rPr>
      </w:pPr>
      <w:r w:rsidRPr="004858FF">
        <w:rPr>
          <w:rStyle w:val="txt"/>
        </w:rPr>
        <w:t>ce qu’il faut savoir…</w:t>
      </w:r>
    </w:p>
    <w:p w14:paraId="35EFF7C0" w14:textId="77777777" w:rsidR="0047466B" w:rsidRPr="0047466B" w:rsidRDefault="0047466B" w:rsidP="0047466B">
      <w:pPr>
        <w:rPr>
          <w:rFonts w:cstheme="minorHAnsi"/>
        </w:rPr>
      </w:pPr>
      <w:r w:rsidRPr="0047466B">
        <w:rPr>
          <w:rFonts w:cstheme="minorHAnsi"/>
        </w:rPr>
        <w:t>Une entreprise, dont le siège social est situé en Ile-de-France, exerçant dans le secteur de l’informatique, place ses salariés chez un client installé dans le département de l’Aisne.</w:t>
      </w:r>
    </w:p>
    <w:p w14:paraId="520054BE" w14:textId="5D9FB22A" w:rsidR="0047466B" w:rsidRPr="0047466B" w:rsidRDefault="0047466B" w:rsidP="0047466B">
      <w:pPr>
        <w:rPr>
          <w:rFonts w:cstheme="minorHAnsi"/>
        </w:rPr>
      </w:pPr>
      <w:r w:rsidRPr="0047466B">
        <w:rPr>
          <w:rFonts w:cstheme="minorHAnsi"/>
        </w:rPr>
        <w:t xml:space="preserve">A la suite d’un contrôle du versement transport (qui sert notamment au financement des transports en commun), l’Urssaf constate que l’entreprise paie cette contribution, pour ses salariés détachés dans l’Aisne, selon le taux appliqué dans l’Aisne (0,6 %) alors qu’elle devrait appliquer le taux valable pour </w:t>
      </w:r>
      <w:r w:rsidRPr="00F02280">
        <w:rPr>
          <w:rFonts w:cstheme="minorHAnsi"/>
        </w:rPr>
        <w:t>l’</w:t>
      </w:r>
      <w:r w:rsidR="00F02280" w:rsidRPr="00C751FC">
        <w:rPr>
          <w:rFonts w:cstheme="minorHAnsi"/>
        </w:rPr>
        <w:t>Îl</w:t>
      </w:r>
      <w:r w:rsidRPr="0047466B">
        <w:rPr>
          <w:rFonts w:cstheme="minorHAnsi"/>
        </w:rPr>
        <w:t>e-de-France (2,6 %).</w:t>
      </w:r>
    </w:p>
    <w:p w14:paraId="71BFEE9D" w14:textId="77777777" w:rsidR="0047466B" w:rsidRPr="0047466B" w:rsidRDefault="0047466B" w:rsidP="0047466B">
      <w:pPr>
        <w:rPr>
          <w:rFonts w:cstheme="minorHAnsi"/>
        </w:rPr>
      </w:pPr>
      <w:r w:rsidRPr="0047466B">
        <w:rPr>
          <w:rFonts w:cstheme="minorHAnsi"/>
        </w:rPr>
        <w:t>Selon l’Urssaf, la société, bien que ne comptant qu'un seul établissement implanté en Ile-de-France, est redevable pour l’ensemble de ses salariés de la contribution versement transport selon le taux applicable dans la zone d’Île-de-France (2,6%), y compris pour ses salariés travaillant en dehors de cette zone, dans l’Aisne.</w:t>
      </w:r>
    </w:p>
    <w:p w14:paraId="6B31E4F5" w14:textId="5282DF5B" w:rsidR="0047466B" w:rsidRPr="0047466B" w:rsidRDefault="0047466B" w:rsidP="0047466B">
      <w:pPr>
        <w:rPr>
          <w:rFonts w:cstheme="minorHAnsi"/>
        </w:rPr>
      </w:pPr>
      <w:r w:rsidRPr="0047466B">
        <w:rPr>
          <w:rFonts w:cstheme="minorHAnsi"/>
        </w:rPr>
        <w:t xml:space="preserve">Ce que conteste la société pour qui le périmètre du versement transport s’apprécie au regard du « lieu de travail » des salariés (dans l’Aisne), et non en fonction de l‘adresse du siège social de l’entreprise auquel ils sont rattachés (en </w:t>
      </w:r>
      <w:r w:rsidR="000A6A4D" w:rsidRPr="000A6A4D">
        <w:rPr>
          <w:rFonts w:cstheme="minorHAnsi"/>
        </w:rPr>
        <w:t>Îl</w:t>
      </w:r>
      <w:r w:rsidRPr="0047466B">
        <w:rPr>
          <w:rFonts w:cstheme="minorHAnsi"/>
        </w:rPr>
        <w:t>e-de-France).</w:t>
      </w:r>
    </w:p>
    <w:p w14:paraId="6CC5CC36" w14:textId="742988CE" w:rsidR="001F346E" w:rsidRPr="00451FF7" w:rsidRDefault="0047466B" w:rsidP="0047466B">
      <w:pPr>
        <w:rPr>
          <w:rFonts w:cstheme="minorHAnsi"/>
        </w:rPr>
      </w:pPr>
      <w:r w:rsidRPr="0047466B">
        <w:rPr>
          <w:rFonts w:cstheme="minorHAnsi"/>
        </w:rPr>
        <w:t>Ce que confirme le juge…</w:t>
      </w:r>
    </w:p>
    <w:p w14:paraId="7B382821" w14:textId="77777777" w:rsidR="001F346E" w:rsidRPr="005B73D2" w:rsidRDefault="001F346E" w:rsidP="001F346E">
      <w:pPr>
        <w:pStyle w:val="Titre4"/>
        <w:rPr>
          <w:rStyle w:val="txt"/>
        </w:rPr>
      </w:pPr>
      <w:r w:rsidRPr="004858FF">
        <w:rPr>
          <w:rStyle w:val="txt"/>
        </w:rPr>
        <w:t>POUR ALLER PLUS LOIN</w:t>
      </w:r>
    </w:p>
    <w:p w14:paraId="7F991C10" w14:textId="01BF87B2" w:rsidR="007E073E" w:rsidRDefault="007E073E" w:rsidP="007E073E">
      <w:r>
        <w:t xml:space="preserve">Toutes les entreprises, publiques ou privées, peuvent être soumises au versement de transport ou versement mobilité, à condition d’atteindre un seuil d’effectif déterminé et d’exercer son activité dans une zone où le versement transport est instauré. Notez toutefois qu’en dehors de la région </w:t>
      </w:r>
      <w:r w:rsidR="000A6A4D" w:rsidRPr="000A6A4D">
        <w:t>Îl</w:t>
      </w:r>
      <w:r>
        <w:t xml:space="preserve">e-de-France, la mise en place du </w:t>
      </w:r>
      <w:r>
        <w:lastRenderedPageBreak/>
        <w:t>versement mobilité par les collectivités locales, en charge de la mobilité, est subordonnée à la mise en place d’un service régulier de transport public.</w:t>
      </w:r>
    </w:p>
    <w:p w14:paraId="2FD69E74" w14:textId="4DD1CB17" w:rsidR="007E073E" w:rsidRDefault="007E073E" w:rsidP="007E073E">
      <w:r>
        <w:t xml:space="preserve">Les associations ou fondations à but non lucratif, reconnues d'utilité publique et exerçant une activité à caractère social ne sont pas soumises au versement transport. Attention toutefois : ces conditions sont cumulatives. Les associations concernées bénéficient de l’exonération du versement transport sur décision expresse de l’autorité organisatrice de la mobilité ou, en </w:t>
      </w:r>
      <w:r w:rsidR="005B484D" w:rsidRPr="005B484D">
        <w:t>Îl</w:t>
      </w:r>
      <w:r>
        <w:t>e-de-France, du Stif (Syndicat des transports d’</w:t>
      </w:r>
      <w:r w:rsidR="005B484D" w:rsidRPr="005B484D">
        <w:t>Îl</w:t>
      </w:r>
      <w:r>
        <w:t>e-de-France).</w:t>
      </w:r>
    </w:p>
    <w:p w14:paraId="57899FBB" w14:textId="04691730" w:rsidR="007E073E" w:rsidRDefault="007E073E" w:rsidP="007E073E">
      <w:r>
        <w:t>Depuis le 1</w:t>
      </w:r>
      <w:r w:rsidRPr="00AA66AF">
        <w:rPr>
          <w:vertAlign w:val="superscript"/>
        </w:rPr>
        <w:t>er</w:t>
      </w:r>
      <w:r>
        <w:t xml:space="preserve"> janvier 2021, les associations intermédiaires sont également exonérées du versement transport (dans et hors région </w:t>
      </w:r>
      <w:r w:rsidR="005B484D" w:rsidRPr="005B484D">
        <w:t>Îl</w:t>
      </w:r>
      <w:r>
        <w:t>e-de-France).</w:t>
      </w:r>
    </w:p>
    <w:p w14:paraId="55C1AFBC" w14:textId="3B4D489F" w:rsidR="007E073E" w:rsidRDefault="007E073E" w:rsidP="007E073E">
      <w:r>
        <w:t xml:space="preserve">Une activité de nature sociale n’est pas légalement définie. Ce sont donc divers faisceaux d’indices qui pourront caractériser une activité de nature sociale, et notamment l’analyse de l’activité en elle-même, du financement de l’association (au moyen ou non de fonds publics), de l’activité des bénévoles (participation aux actions de l’association ou cantonnement aux seules tâches administratives), etc. </w:t>
      </w:r>
    </w:p>
    <w:p w14:paraId="027FA13B" w14:textId="1EE7CE2F" w:rsidR="007E073E" w:rsidRDefault="007E073E" w:rsidP="007E073E">
      <w:r>
        <w:t>Une association sportive pourra bénéficier d’une exonération du versement transport si elle parvient à prouver le caractère prépondérant de son action sociale en faveur d’une (ou de plusieurs) population(s) dans le besoin.</w:t>
      </w:r>
    </w:p>
    <w:p w14:paraId="7559176B" w14:textId="4EAB3A25" w:rsidR="007E073E" w:rsidRDefault="007E073E" w:rsidP="007E073E">
      <w:r>
        <w:t>Tel n’est pas le cas d’une association qui prétend favoriser l’accès à la pratique sportive à tout type de population (personnes de nationalités étrangères, handicapées, mineurs isolés, etc.) alors qu’une très petite minorité de ses adhérents sont des personnes de nationalité étrangère, qu’une minorité encore plus infirme sont des personnes handicapées bénéficiant d’une adhésion à tarif réduit (la réduction n’étant, par ailleurs, que de 40 %) et que le nombre de mineurs isolés qui auraient accès gratuitement au sport n’est pas communiqué.</w:t>
      </w:r>
    </w:p>
    <w:p w14:paraId="4E4ABD7F" w14:textId="77777777" w:rsidR="007E073E" w:rsidRDefault="007E073E" w:rsidP="007E073E">
      <w:r>
        <w:t xml:space="preserve">Pour voir si la commune impose un versement transport, connectez-vous sur https://www.urssaf.fr/portail/home/taux-et-baremes/versement-transport.html </w:t>
      </w:r>
    </w:p>
    <w:p w14:paraId="2454849C" w14:textId="00C21FFD" w:rsidR="007E073E" w:rsidRDefault="007E073E" w:rsidP="007E073E">
      <w:r>
        <w:t>Sont concernées les entreprises qui emploient plus de 10 salariés. Si vous venez d’embaucher votre 11</w:t>
      </w:r>
      <w:r w:rsidRPr="00AA66AF">
        <w:rPr>
          <w:vertAlign w:val="superscript"/>
        </w:rPr>
        <w:t xml:space="preserve">ème </w:t>
      </w:r>
      <w:r>
        <w:t>salarié, vous êtes dispensé de versement transport pendant 3 ans. Les 3 années suivantes, vous bénéficierez d’un taux réduit de la contribution (respectivement, pour chaque année suivante, réduit de 75 %, 50 % et 25</w:t>
      </w:r>
      <w:r w:rsidR="00AA66AF">
        <w:t> </w:t>
      </w:r>
      <w:r>
        <w:t>%).</w:t>
      </w:r>
    </w:p>
    <w:p w14:paraId="5970157C" w14:textId="3251CBEE" w:rsidR="007E073E" w:rsidRDefault="007E073E" w:rsidP="007E073E">
      <w:r>
        <w:t>Cette dispense, suivie de la réduction de taux pendant 3 ans, suppose que vous ayez déjà embauché au moins 1 salarié et que vous procédiez à un accroissement de votre effectif. Autrement dit, vous ne pouvez pas bénéficier de la dispense, suivie de la réduction de taux pendant 3 ans, si vous passez soudainement de 0 à 11 salariés : les juges considèrent qu’il ne s’agit pas d’un « accroissement » de l’effectif.</w:t>
      </w:r>
    </w:p>
    <w:p w14:paraId="3BF51475" w14:textId="07094AF3" w:rsidR="007E073E" w:rsidRDefault="007E073E" w:rsidP="007E073E">
      <w:r>
        <w:t xml:space="preserve">Si votre entreprise dispose de salariés itinérants (dépanneurs, chauffeurs-livreurs, etc…), il faut tenir compte du lieu où ils exercent leur activité principale. Celle-ci dépend du temps passé par le salarié sur une période de paie et non de sa rémunération. En cas de contrôle, il vous appartient de justifier que le salarié concerné est bien affecté sur ce lieu d’activité. Néanmoins, s’il n’est pas possible de déterminer le lieu de l’activité principale, le versement transport n’est pas dû. Quant aux salariés affectés sur des chantiers, c’est le lieu du chantier, quand sa durée excède 1 mois, qui permet de déterminer si le versement transport est dû. </w:t>
      </w:r>
    </w:p>
    <w:p w14:paraId="441EA13F" w14:textId="0A8CF0F5" w:rsidR="007E073E" w:rsidRDefault="007E073E" w:rsidP="007E073E">
      <w:r>
        <w:t>La détermination de l’effectif pourra entraîner un assujettissement ponctuel de certains salariés à cette contribution :</w:t>
      </w:r>
    </w:p>
    <w:p w14:paraId="661CD86F" w14:textId="56909E63" w:rsidR="007E073E" w:rsidRDefault="007E073E" w:rsidP="00AA66AF">
      <w:pPr>
        <w:pStyle w:val="Paragraphedeliste"/>
        <w:numPr>
          <w:ilvl w:val="0"/>
          <w:numId w:val="85"/>
        </w:numPr>
      </w:pPr>
      <w:r>
        <w:t xml:space="preserve">pour les salariés titulaires d'un contrat de mission avec une entreprise de travail temporaire ou d'un contrat de travail conclu avec un groupement d'employeurs, il faut prendre en compte le lieu </w:t>
      </w:r>
      <w:r>
        <w:lastRenderedPageBreak/>
        <w:t>d'exécution de leur mission ou de leur activité dans chacune des zones où est institué le versement transport ;</w:t>
      </w:r>
    </w:p>
    <w:p w14:paraId="7BA7FF66" w14:textId="1D2423A6" w:rsidR="007E073E" w:rsidRDefault="007E073E" w:rsidP="00AA66AF">
      <w:pPr>
        <w:pStyle w:val="Paragraphedeliste"/>
        <w:numPr>
          <w:ilvl w:val="0"/>
          <w:numId w:val="85"/>
        </w:numPr>
      </w:pPr>
      <w:r>
        <w:t>pour les autres salariés qui exercent leur activité hors d'un établissement de leur employeur, il faut prendre en compte le lieu où est exercée cette activité plus de 3 mois consécutifs dans chacune des zones où est institué le versement transport.</w:t>
      </w:r>
    </w:p>
    <w:p w14:paraId="068E4F74" w14:textId="77777777" w:rsidR="007E073E" w:rsidRDefault="007E073E" w:rsidP="007E073E">
      <w:r>
        <w:t>Pour les entreprises de transport routier ou aérien, si leurs salariés navigants exercent leur activité à titre principal en dehors d'une zone où a été institué le versement transport, ils ne sont pas pris en compte pour la détermination des effectifs servant au calcul du versement transport.</w:t>
      </w:r>
    </w:p>
    <w:p w14:paraId="2379F064" w14:textId="19E26FA4" w:rsidR="00D40B72" w:rsidRDefault="00D40B72" w:rsidP="00D40B72">
      <w:r>
        <w:t>Le montant de la contribution dépend d’un taux défini par le syndicat des transports d’</w:t>
      </w:r>
      <w:r w:rsidR="00867306" w:rsidRPr="00867306">
        <w:t>Îl</w:t>
      </w:r>
      <w:r>
        <w:t>e-de-France (STIF), pour cette région, ou, pour les communes ou communautés de communes d’autres régions, par délibération du conseil municipal ou de l'organe délibérant compétent. Notez qu’un salarié n’est pris en compte pour l'assujettissement de son employeur au versement de transport que si son lieu effectif de travail, à l'exclusion de l'établissement auquel il est rattaché, se situe dans le périmètre où est institué ce versement.</w:t>
      </w:r>
    </w:p>
    <w:p w14:paraId="1807E08E" w14:textId="3B1F48B9" w:rsidR="00D40B72" w:rsidRDefault="00D40B72" w:rsidP="00D40B72">
      <w:r>
        <w:t>Les syndicats mixtes compétents peuvent moduler le taux du versement mobilité (selon la densité de la population et de son potentiel fiscal). Ils peuvent également, sous conditions, instituer un versement additionnel.</w:t>
      </w:r>
    </w:p>
    <w:p w14:paraId="013E7238" w14:textId="3A35B02F" w:rsidR="00D40B72" w:rsidRDefault="00D40B72" w:rsidP="00D40B72">
      <w:r>
        <w:t>Tout changement de taux ne peut entrer en vigueur que le 1</w:t>
      </w:r>
      <w:r w:rsidRPr="00AA66AF">
        <w:rPr>
          <w:vertAlign w:val="superscript"/>
        </w:rPr>
        <w:t xml:space="preserve">er </w:t>
      </w:r>
      <w:r>
        <w:t>janvier ou le 1</w:t>
      </w:r>
      <w:r w:rsidRPr="00AA66AF">
        <w:rPr>
          <w:vertAlign w:val="superscript"/>
        </w:rPr>
        <w:t>er</w:t>
      </w:r>
      <w:r>
        <w:t xml:space="preserve"> juillet. Les autorités qui les définissent doivent communiquer leur décision à l’URSSAF, qui est l’organisme collecteur de la contribution, au moins 2 mois avant leur entrée en vigueur (c’est-à-dire le 1</w:t>
      </w:r>
      <w:r w:rsidRPr="00AA66AF">
        <w:rPr>
          <w:vertAlign w:val="superscript"/>
        </w:rPr>
        <w:t>er</w:t>
      </w:r>
      <w:r>
        <w:t xml:space="preserve"> mai ou le 1</w:t>
      </w:r>
      <w:r w:rsidRPr="00AA66AF">
        <w:rPr>
          <w:vertAlign w:val="superscript"/>
        </w:rPr>
        <w:t xml:space="preserve">er </w:t>
      </w:r>
      <w:r>
        <w:t>novembre). L’URSSAF doit, à son tour, informer les entreprises assujetties de cette évolution un mois avant que le nouveau taux ne devienne applicable (soit le 1</w:t>
      </w:r>
      <w:r w:rsidRPr="00AA66AF">
        <w:rPr>
          <w:vertAlign w:val="superscript"/>
        </w:rPr>
        <w:t>er</w:t>
      </w:r>
      <w:r>
        <w:t xml:space="preserve"> juin ou le 1</w:t>
      </w:r>
      <w:r w:rsidRPr="00AA66AF">
        <w:rPr>
          <w:vertAlign w:val="superscript"/>
        </w:rPr>
        <w:t>er</w:t>
      </w:r>
      <w:r>
        <w:t xml:space="preserve"> décembre).</w:t>
      </w:r>
    </w:p>
    <w:p w14:paraId="53B07E86" w14:textId="38B4BFC9" w:rsidR="00D40B72" w:rsidRDefault="00D40B72" w:rsidP="00D40B72">
      <w:r>
        <w:t>Le taux du versement transport s’applique à l’ensemble des rémunérations soumises à cotisations sociales. L’assiette de cette contribution est donc la même que celle des cotisations sociales.</w:t>
      </w:r>
    </w:p>
    <w:p w14:paraId="34F2ACA7" w14:textId="092E4B27" w:rsidR="00D40B72" w:rsidRDefault="00D40B72" w:rsidP="00D40B72">
      <w:r>
        <w:t>Le versement de transport doit être acquitté dans les mêmes conditions que les cotisations sociales, c’est-à-dire à l’Urssaf. A ce titre, vous ne pouvez réclamer les cotisations indument payées, directement à l’Urssaf, que pendant une période de 3 ans.</w:t>
      </w:r>
    </w:p>
    <w:p w14:paraId="26BBD7FF" w14:textId="77777777" w:rsidR="00D40B72" w:rsidRDefault="00D40B72" w:rsidP="00D40B72">
      <w:r>
        <w:t xml:space="preserve">Les entreprises de travail temporaire (ETT) doivent souscrire une garantie financière pour assurer le paiement des salaires et des charges sociales. Mais le versement de transport ne constituant pas une cotisation sociale, la caution n’a pas à en assurer le paiement, en cas de défaillance de l’ETT. </w:t>
      </w:r>
    </w:p>
    <w:p w14:paraId="27E575BF" w14:textId="62B309AE" w:rsidR="007E073E" w:rsidRDefault="00D40B72" w:rsidP="00D40B72">
      <w:r>
        <w:t>Si vous ne versez pas vos contributions aux dates d’échéance qui vous sont applicables, vous encourez une majoration de retard, fixée à 5 % du montant des cotisations (25 % en cas de travail dissimulé, voire 40 % en cas de travail dissimulé avec circonstances aggravantes), assortie d’une majoration complémentaire de 0,4 % par mois ou fraction de mois écoulé, à compter de la date d'exigibilité.</w:t>
      </w:r>
    </w:p>
    <w:p w14:paraId="28C52FEE" w14:textId="77777777" w:rsidR="00720CA4" w:rsidRDefault="00720CA4" w:rsidP="007E073E"/>
    <w:p w14:paraId="06F06CB1" w14:textId="15DA1592" w:rsidR="008E22C7" w:rsidRPr="00BA1E49" w:rsidRDefault="00962364" w:rsidP="008E22C7">
      <w:pPr>
        <w:pStyle w:val="Titre3"/>
      </w:pPr>
      <w:bookmarkStart w:id="32" w:name="_Toc74651320"/>
      <w:r>
        <w:t>Révocabilité de l’option pour la réduction Fillon</w:t>
      </w:r>
      <w:bookmarkEnd w:id="32"/>
    </w:p>
    <w:p w14:paraId="4F9DD945" w14:textId="255EEABD" w:rsidR="008E22C7" w:rsidRDefault="008E22C7" w:rsidP="008E22C7">
      <w:pPr>
        <w:rPr>
          <w:rFonts w:cstheme="minorHAnsi"/>
        </w:rPr>
      </w:pPr>
      <w:r w:rsidRPr="00E45B66">
        <w:rPr>
          <w:rFonts w:cstheme="minorHAnsi"/>
          <w:b/>
          <w:color w:val="0070C0"/>
        </w:rPr>
        <w:t>Slide</w:t>
      </w:r>
      <w:r>
        <w:rPr>
          <w:rFonts w:cstheme="minorHAnsi"/>
          <w:b/>
          <w:color w:val="0070C0"/>
        </w:rPr>
        <w:t xml:space="preserve">s </w:t>
      </w:r>
      <w:r w:rsidR="006D3AAB">
        <w:rPr>
          <w:rFonts w:cstheme="minorHAnsi"/>
          <w:b/>
          <w:color w:val="0070C0"/>
        </w:rPr>
        <w:t>37</w:t>
      </w:r>
    </w:p>
    <w:p w14:paraId="5608D0A7" w14:textId="23D8ECB7" w:rsidR="008E22C7" w:rsidRPr="003B48CD" w:rsidRDefault="008E22C7" w:rsidP="008E22C7">
      <w:pPr>
        <w:rPr>
          <w:rFonts w:cstheme="minorHAnsi"/>
        </w:rPr>
      </w:pPr>
      <w:r w:rsidRPr="00451FF7">
        <w:rPr>
          <w:rFonts w:cstheme="minorHAnsi"/>
        </w:rPr>
        <w:t>Source </w:t>
      </w:r>
      <w:r w:rsidRPr="002545F5">
        <w:rPr>
          <w:rFonts w:cstheme="minorHAnsi"/>
        </w:rPr>
        <w:t xml:space="preserve">: </w:t>
      </w:r>
      <w:r w:rsidR="003B48CD" w:rsidRPr="003B48CD">
        <w:rPr>
          <w:rFonts w:cstheme="minorHAnsi"/>
        </w:rPr>
        <w:t>Bulletin officiel de la Sécurité sociale (BOSS), Allègements généraux, §§ 180 à 290</w:t>
      </w:r>
    </w:p>
    <w:p w14:paraId="2B39724F" w14:textId="77777777" w:rsidR="008E22C7" w:rsidRPr="005B73D2" w:rsidRDefault="008E22C7" w:rsidP="008E22C7">
      <w:pPr>
        <w:pStyle w:val="Titre4"/>
        <w:rPr>
          <w:rStyle w:val="txt"/>
        </w:rPr>
      </w:pPr>
      <w:r w:rsidRPr="004858FF">
        <w:rPr>
          <w:rStyle w:val="txt"/>
        </w:rPr>
        <w:t>ce qu’il faut savoir…</w:t>
      </w:r>
    </w:p>
    <w:p w14:paraId="6101CFEB" w14:textId="77777777" w:rsidR="006E078B" w:rsidRPr="006E078B" w:rsidRDefault="006E078B" w:rsidP="006E078B">
      <w:pPr>
        <w:rPr>
          <w:rFonts w:cstheme="minorHAnsi"/>
        </w:rPr>
      </w:pPr>
      <w:r w:rsidRPr="006E078B">
        <w:rPr>
          <w:rFonts w:cstheme="minorHAnsi"/>
        </w:rPr>
        <w:lastRenderedPageBreak/>
        <w:t xml:space="preserve">A titre préliminaire, rappelons que les employeurs peuvent bénéficier, sous réserve du respect de certaines conditions, d’une réduction générale des cotisations patronales, aussi appelée « réduction Fillon », pour les salariés dont la rémunération annuelle est inférieure à 1,6 Smic. </w:t>
      </w:r>
    </w:p>
    <w:p w14:paraId="1D925A04" w14:textId="77777777" w:rsidR="006E078B" w:rsidRPr="006E078B" w:rsidRDefault="006E078B" w:rsidP="006E078B">
      <w:pPr>
        <w:rPr>
          <w:rFonts w:cstheme="minorHAnsi"/>
        </w:rPr>
      </w:pPr>
      <w:r w:rsidRPr="006E078B">
        <w:rPr>
          <w:rFonts w:cstheme="minorHAnsi"/>
        </w:rPr>
        <w:t xml:space="preserve">Ce dispositif s’applique sur les cotisations et contributions patronales : </w:t>
      </w:r>
    </w:p>
    <w:p w14:paraId="129417A9" w14:textId="0D936388" w:rsidR="006E078B" w:rsidRPr="006E078B" w:rsidRDefault="006E078B" w:rsidP="00D01FCC">
      <w:pPr>
        <w:pStyle w:val="Paragraphedeliste"/>
        <w:numPr>
          <w:ilvl w:val="0"/>
          <w:numId w:val="90"/>
        </w:numPr>
        <w:rPr>
          <w:rFonts w:cstheme="minorHAnsi"/>
        </w:rPr>
      </w:pPr>
      <w:r w:rsidRPr="006E078B">
        <w:rPr>
          <w:rFonts w:cstheme="minorHAnsi"/>
        </w:rPr>
        <w:t>d’assurances maladie, invalidité-décès, vieillesse ;</w:t>
      </w:r>
    </w:p>
    <w:p w14:paraId="565C5774" w14:textId="5C0721A6" w:rsidR="006E078B" w:rsidRPr="006E078B" w:rsidRDefault="006E078B" w:rsidP="00D01FCC">
      <w:pPr>
        <w:pStyle w:val="Paragraphedeliste"/>
        <w:numPr>
          <w:ilvl w:val="0"/>
          <w:numId w:val="90"/>
        </w:numPr>
        <w:rPr>
          <w:rFonts w:cstheme="minorHAnsi"/>
        </w:rPr>
      </w:pPr>
      <w:r w:rsidRPr="006E078B">
        <w:rPr>
          <w:rFonts w:cstheme="minorHAnsi"/>
        </w:rPr>
        <w:t>d’allocations familiales ;</w:t>
      </w:r>
    </w:p>
    <w:p w14:paraId="2F93EBA9" w14:textId="20A55FBB" w:rsidR="006E078B" w:rsidRPr="006E078B" w:rsidRDefault="006E078B" w:rsidP="00D01FCC">
      <w:pPr>
        <w:pStyle w:val="Paragraphedeliste"/>
        <w:numPr>
          <w:ilvl w:val="0"/>
          <w:numId w:val="90"/>
        </w:numPr>
        <w:rPr>
          <w:rFonts w:cstheme="minorHAnsi"/>
        </w:rPr>
      </w:pPr>
      <w:r w:rsidRPr="006E078B">
        <w:rPr>
          <w:rFonts w:cstheme="minorHAnsi"/>
        </w:rPr>
        <w:t>d’accidents du travail ;</w:t>
      </w:r>
    </w:p>
    <w:p w14:paraId="58C48929" w14:textId="552A2F09" w:rsidR="006E078B" w:rsidRPr="006E078B" w:rsidRDefault="006E078B" w:rsidP="00D01FCC">
      <w:pPr>
        <w:pStyle w:val="Paragraphedeliste"/>
        <w:numPr>
          <w:ilvl w:val="0"/>
          <w:numId w:val="90"/>
        </w:numPr>
        <w:rPr>
          <w:rFonts w:cstheme="minorHAnsi"/>
        </w:rPr>
      </w:pPr>
      <w:r w:rsidRPr="006E078B">
        <w:rPr>
          <w:rFonts w:cstheme="minorHAnsi"/>
        </w:rPr>
        <w:t>de Fnal (fonds national d’aide au logement)</w:t>
      </w:r>
      <w:r>
        <w:rPr>
          <w:rFonts w:cstheme="minorHAnsi"/>
        </w:rPr>
        <w:t xml:space="preserve"> </w:t>
      </w:r>
      <w:r w:rsidRPr="006E078B">
        <w:rPr>
          <w:rFonts w:cstheme="minorHAnsi"/>
        </w:rPr>
        <w:t>;</w:t>
      </w:r>
    </w:p>
    <w:p w14:paraId="06CED0C6" w14:textId="1867ED94" w:rsidR="006E078B" w:rsidRPr="006E078B" w:rsidRDefault="006E078B" w:rsidP="00D01FCC">
      <w:pPr>
        <w:pStyle w:val="Paragraphedeliste"/>
        <w:numPr>
          <w:ilvl w:val="0"/>
          <w:numId w:val="90"/>
        </w:numPr>
        <w:rPr>
          <w:rFonts w:cstheme="minorHAnsi"/>
        </w:rPr>
      </w:pPr>
      <w:r w:rsidRPr="006E078B">
        <w:rPr>
          <w:rFonts w:cstheme="minorHAnsi"/>
        </w:rPr>
        <w:t>de solidarité autonomie (CSA) ;</w:t>
      </w:r>
    </w:p>
    <w:p w14:paraId="472BFE77" w14:textId="4E5B564B" w:rsidR="006E078B" w:rsidRPr="006E078B" w:rsidRDefault="006E078B" w:rsidP="00D01FCC">
      <w:pPr>
        <w:pStyle w:val="Paragraphedeliste"/>
        <w:numPr>
          <w:ilvl w:val="0"/>
          <w:numId w:val="90"/>
        </w:numPr>
        <w:rPr>
          <w:rFonts w:cstheme="minorHAnsi"/>
        </w:rPr>
      </w:pPr>
      <w:r w:rsidRPr="006E078B">
        <w:rPr>
          <w:rFonts w:cstheme="minorHAnsi"/>
        </w:rPr>
        <w:t>de retraite complémentaire légalement obligatoire (Agirc-Arrco)</w:t>
      </w:r>
      <w:r>
        <w:rPr>
          <w:rFonts w:cstheme="minorHAnsi"/>
        </w:rPr>
        <w:t xml:space="preserve"> </w:t>
      </w:r>
      <w:r w:rsidRPr="006E078B">
        <w:rPr>
          <w:rFonts w:cstheme="minorHAnsi"/>
        </w:rPr>
        <w:t>;</w:t>
      </w:r>
    </w:p>
    <w:p w14:paraId="7DCE0075" w14:textId="38E48276" w:rsidR="006E078B" w:rsidRPr="006E078B" w:rsidRDefault="006E078B" w:rsidP="00D01FCC">
      <w:pPr>
        <w:pStyle w:val="Paragraphedeliste"/>
        <w:numPr>
          <w:ilvl w:val="0"/>
          <w:numId w:val="90"/>
        </w:numPr>
        <w:rPr>
          <w:rFonts w:cstheme="minorHAnsi"/>
        </w:rPr>
      </w:pPr>
      <w:r w:rsidRPr="006E078B">
        <w:rPr>
          <w:rFonts w:cstheme="minorHAnsi"/>
        </w:rPr>
        <w:t xml:space="preserve">d’assurance chômage (taux à 4,05 %). </w:t>
      </w:r>
    </w:p>
    <w:p w14:paraId="62F4718D" w14:textId="77777777" w:rsidR="006E078B" w:rsidRPr="006E078B" w:rsidRDefault="006E078B" w:rsidP="006E078B">
      <w:pPr>
        <w:rPr>
          <w:rFonts w:cstheme="minorHAnsi"/>
        </w:rPr>
      </w:pPr>
      <w:r w:rsidRPr="006E078B">
        <w:rPr>
          <w:rFonts w:cstheme="minorHAnsi"/>
        </w:rPr>
        <w:t>Il existe également une réduction générale dite « renforcée », au titre de la contribution patronale d’assurance chômage, sur les rémunérations dues au titre des salariés employés :</w:t>
      </w:r>
    </w:p>
    <w:p w14:paraId="56B52189" w14:textId="7D00C64E" w:rsidR="006E078B" w:rsidRPr="006E078B" w:rsidRDefault="006E078B" w:rsidP="00D01FCC">
      <w:pPr>
        <w:pStyle w:val="Paragraphedeliste"/>
        <w:numPr>
          <w:ilvl w:val="0"/>
          <w:numId w:val="91"/>
        </w:numPr>
        <w:rPr>
          <w:rFonts w:cstheme="minorHAnsi"/>
        </w:rPr>
      </w:pPr>
      <w:r w:rsidRPr="006E078B">
        <w:rPr>
          <w:rFonts w:cstheme="minorHAnsi"/>
        </w:rPr>
        <w:t>par les associations intermédiaires, les ateliers et les chantiers d’insertion ;</w:t>
      </w:r>
    </w:p>
    <w:p w14:paraId="7DD47383" w14:textId="5A9049CF" w:rsidR="006E078B" w:rsidRPr="006E078B" w:rsidRDefault="006E078B" w:rsidP="00D01FCC">
      <w:pPr>
        <w:pStyle w:val="Paragraphedeliste"/>
        <w:numPr>
          <w:ilvl w:val="0"/>
          <w:numId w:val="91"/>
        </w:numPr>
        <w:rPr>
          <w:rFonts w:cstheme="minorHAnsi"/>
        </w:rPr>
      </w:pPr>
      <w:r w:rsidRPr="006E078B">
        <w:rPr>
          <w:rFonts w:cstheme="minorHAnsi"/>
        </w:rPr>
        <w:t>dans le cadre de contrats d’apprentissage et de contrats de professionnalisation conclus avec des demandeurs d’emploi de plus de 45 ans ou par les groupements d’employeurs pour l’insertion et la qualification ;</w:t>
      </w:r>
    </w:p>
    <w:p w14:paraId="5A605443" w14:textId="3F92EB78" w:rsidR="006E078B" w:rsidRPr="006E078B" w:rsidRDefault="006E078B" w:rsidP="00D01FCC">
      <w:pPr>
        <w:pStyle w:val="Paragraphedeliste"/>
        <w:numPr>
          <w:ilvl w:val="0"/>
          <w:numId w:val="91"/>
        </w:numPr>
        <w:rPr>
          <w:rFonts w:cstheme="minorHAnsi"/>
        </w:rPr>
      </w:pPr>
      <w:r w:rsidRPr="006E078B">
        <w:rPr>
          <w:rFonts w:cstheme="minorHAnsi"/>
        </w:rPr>
        <w:t xml:space="preserve">par les employeurs localisés en Guadeloupe, en Guyane, en Martinique, à la Réunion, à Saint-Barthélemy et à Saint-Martin, n’ayant pas opté pour le bénéfice de l’exonération spécifiquement applicable dans ces territoires. </w:t>
      </w:r>
    </w:p>
    <w:p w14:paraId="3C8D68EE" w14:textId="77777777" w:rsidR="006E078B" w:rsidRPr="006E078B" w:rsidRDefault="006E078B" w:rsidP="006E078B">
      <w:pPr>
        <w:rPr>
          <w:rFonts w:cstheme="minorHAnsi"/>
        </w:rPr>
      </w:pPr>
      <w:r w:rsidRPr="006E078B">
        <w:rPr>
          <w:rFonts w:cstheme="minorHAnsi"/>
        </w:rPr>
        <w:t>En principe, la réduction Fillon ne peut pas être cumulée :</w:t>
      </w:r>
    </w:p>
    <w:p w14:paraId="17FF3D18" w14:textId="0390762C" w:rsidR="006E078B" w:rsidRPr="006E078B" w:rsidRDefault="006E078B" w:rsidP="006E078B">
      <w:pPr>
        <w:pStyle w:val="Paragraphedeliste"/>
        <w:numPr>
          <w:ilvl w:val="0"/>
          <w:numId w:val="29"/>
        </w:numPr>
        <w:rPr>
          <w:rFonts w:cstheme="minorHAnsi"/>
        </w:rPr>
      </w:pPr>
      <w:r w:rsidRPr="006E078B">
        <w:rPr>
          <w:rFonts w:cstheme="minorHAnsi"/>
        </w:rPr>
        <w:t>avec une autre exonération (totale ou partielle) de cotisations patronales ;</w:t>
      </w:r>
    </w:p>
    <w:p w14:paraId="35D771E6" w14:textId="08D03961" w:rsidR="006E078B" w:rsidRPr="006E078B" w:rsidRDefault="006E078B" w:rsidP="006E078B">
      <w:pPr>
        <w:pStyle w:val="Paragraphedeliste"/>
        <w:numPr>
          <w:ilvl w:val="0"/>
          <w:numId w:val="29"/>
        </w:numPr>
        <w:rPr>
          <w:rFonts w:cstheme="minorHAnsi"/>
        </w:rPr>
      </w:pPr>
      <w:r w:rsidRPr="006E078B">
        <w:rPr>
          <w:rFonts w:cstheme="minorHAnsi"/>
        </w:rPr>
        <w:t xml:space="preserve">avec l’application de taux spécifiques ou de montants forfaitaires de cotisations. </w:t>
      </w:r>
    </w:p>
    <w:p w14:paraId="25395687" w14:textId="77777777" w:rsidR="006E078B" w:rsidRPr="006E078B" w:rsidRDefault="006E078B" w:rsidP="006E078B">
      <w:pPr>
        <w:rPr>
          <w:rFonts w:cstheme="minorHAnsi"/>
        </w:rPr>
      </w:pPr>
      <w:r w:rsidRPr="006E078B">
        <w:rPr>
          <w:rFonts w:cstheme="minorHAnsi"/>
        </w:rPr>
        <w:t xml:space="preserve">Par exception toutefois, elle peut se cumuler avec : </w:t>
      </w:r>
    </w:p>
    <w:p w14:paraId="23B947F2" w14:textId="219BD77E" w:rsidR="006E078B" w:rsidRPr="006E078B" w:rsidRDefault="006E078B" w:rsidP="00D01FCC">
      <w:pPr>
        <w:pStyle w:val="Paragraphedeliste"/>
        <w:numPr>
          <w:ilvl w:val="0"/>
          <w:numId w:val="92"/>
        </w:numPr>
        <w:rPr>
          <w:rFonts w:cstheme="minorHAnsi"/>
        </w:rPr>
      </w:pPr>
      <w:r w:rsidRPr="006E078B">
        <w:rPr>
          <w:rFonts w:cstheme="minorHAnsi"/>
        </w:rPr>
        <w:t>la déduction patronale forfaitaire applicable au titre des heures supplémentaires, applicable aux employeurs de moins de 20 salariés ;</w:t>
      </w:r>
    </w:p>
    <w:p w14:paraId="1609CCA8" w14:textId="2C0413B6" w:rsidR="006E078B" w:rsidRPr="006E078B" w:rsidRDefault="006E078B" w:rsidP="00D01FCC">
      <w:pPr>
        <w:pStyle w:val="Paragraphedeliste"/>
        <w:numPr>
          <w:ilvl w:val="0"/>
          <w:numId w:val="92"/>
        </w:numPr>
        <w:rPr>
          <w:rFonts w:cstheme="minorHAnsi"/>
        </w:rPr>
      </w:pPr>
      <w:r w:rsidRPr="006E078B">
        <w:rPr>
          <w:rFonts w:cstheme="minorHAnsi"/>
        </w:rPr>
        <w:t>l’exonération prévue au titre de l’aide à domicile pour les employés des structures concernées sous certaines conditions : au titre d’un même mois, le cumul est possible pour un même salarié lorsque celui-ci intervient alternativement auprès d’un public fragile et auprès d’un autre public ;</w:t>
      </w:r>
    </w:p>
    <w:p w14:paraId="10FD1649" w14:textId="743A1B01" w:rsidR="006E078B" w:rsidRPr="006E078B" w:rsidRDefault="006E078B" w:rsidP="00D01FCC">
      <w:pPr>
        <w:pStyle w:val="Paragraphedeliste"/>
        <w:numPr>
          <w:ilvl w:val="0"/>
          <w:numId w:val="92"/>
        </w:numPr>
        <w:rPr>
          <w:rFonts w:cstheme="minorHAnsi"/>
        </w:rPr>
      </w:pPr>
      <w:r w:rsidRPr="006E078B">
        <w:rPr>
          <w:rFonts w:cstheme="minorHAnsi"/>
        </w:rPr>
        <w:t>le taux réduit de cotisations d’allocations familiales (pour les rémunérations inférieures ou égales à 3,5 Smic) ;</w:t>
      </w:r>
    </w:p>
    <w:p w14:paraId="584CAC69" w14:textId="0464D015" w:rsidR="006E078B" w:rsidRPr="006E078B" w:rsidRDefault="006E078B" w:rsidP="00D01FCC">
      <w:pPr>
        <w:pStyle w:val="Paragraphedeliste"/>
        <w:numPr>
          <w:ilvl w:val="0"/>
          <w:numId w:val="92"/>
        </w:numPr>
        <w:rPr>
          <w:rFonts w:cstheme="minorHAnsi"/>
        </w:rPr>
      </w:pPr>
      <w:r w:rsidRPr="006E078B">
        <w:rPr>
          <w:rFonts w:cstheme="minorHAnsi"/>
        </w:rPr>
        <w:t>le taux réduit de cotisation maladie (pour les rémunérations inférieures ou égales à 2,5 Smic) ;</w:t>
      </w:r>
    </w:p>
    <w:p w14:paraId="107F1356" w14:textId="7A672EF3" w:rsidR="006E078B" w:rsidRPr="006E078B" w:rsidRDefault="006E078B" w:rsidP="00D01FCC">
      <w:pPr>
        <w:pStyle w:val="Paragraphedeliste"/>
        <w:numPr>
          <w:ilvl w:val="0"/>
          <w:numId w:val="92"/>
        </w:numPr>
        <w:rPr>
          <w:rFonts w:cstheme="minorHAnsi"/>
        </w:rPr>
      </w:pPr>
      <w:r w:rsidRPr="006E078B">
        <w:rPr>
          <w:rFonts w:cstheme="minorHAnsi"/>
        </w:rPr>
        <w:t>les taux réduits de cotisations aux assurances vieillesse appliqués aux journalistes professionnels, pigistes et assimilés, aux VRP à cartes multiples et aux membres des professions médicales ;</w:t>
      </w:r>
    </w:p>
    <w:p w14:paraId="76157FE3" w14:textId="5445DB67" w:rsidR="006E078B" w:rsidRPr="006E078B" w:rsidRDefault="006E078B" w:rsidP="00D01FCC">
      <w:pPr>
        <w:pStyle w:val="Paragraphedeliste"/>
        <w:numPr>
          <w:ilvl w:val="0"/>
          <w:numId w:val="92"/>
        </w:numPr>
        <w:rPr>
          <w:rFonts w:cstheme="minorHAnsi"/>
        </w:rPr>
      </w:pPr>
      <w:r w:rsidRPr="006E078B">
        <w:rPr>
          <w:rFonts w:cstheme="minorHAnsi"/>
        </w:rPr>
        <w:t xml:space="preserve">la déduction spécifique pour frais professionnels, applicable pour certaines professions. </w:t>
      </w:r>
    </w:p>
    <w:p w14:paraId="31D829C4" w14:textId="77777777" w:rsidR="006E078B" w:rsidRPr="006E078B" w:rsidRDefault="006E078B" w:rsidP="006E078B">
      <w:pPr>
        <w:rPr>
          <w:rFonts w:cstheme="minorHAnsi"/>
        </w:rPr>
      </w:pPr>
      <w:r w:rsidRPr="006E078B">
        <w:rPr>
          <w:rFonts w:cstheme="minorHAnsi"/>
        </w:rPr>
        <w:t>Le 1</w:t>
      </w:r>
      <w:r w:rsidRPr="006E078B">
        <w:rPr>
          <w:rFonts w:cstheme="minorHAnsi"/>
          <w:vertAlign w:val="superscript"/>
        </w:rPr>
        <w:t>er</w:t>
      </w:r>
      <w:r w:rsidRPr="006E078B">
        <w:rPr>
          <w:rFonts w:cstheme="minorHAnsi"/>
        </w:rPr>
        <w:t xml:space="preserve"> avril 2021, l’administration sociale a précisé dans sa documentation que l’option pour l’application de la réduction Fillon était désormais révocable, ce qui n’était pas le cas auparavant.  </w:t>
      </w:r>
    </w:p>
    <w:p w14:paraId="4CC7193F" w14:textId="77777777" w:rsidR="006E078B" w:rsidRPr="006E078B" w:rsidRDefault="006E078B" w:rsidP="006E078B">
      <w:pPr>
        <w:rPr>
          <w:rFonts w:cstheme="minorHAnsi"/>
        </w:rPr>
      </w:pPr>
      <w:r w:rsidRPr="006E078B">
        <w:rPr>
          <w:rFonts w:cstheme="minorHAnsi"/>
        </w:rPr>
        <w:t xml:space="preserve">Un employeur peut donc décider de changer de régime d’exonération en cours d’année pour un même contrat de travail. </w:t>
      </w:r>
    </w:p>
    <w:p w14:paraId="2BB473BD" w14:textId="463376AC" w:rsidR="008B0D27" w:rsidRPr="00DA3827" w:rsidRDefault="006E078B" w:rsidP="008B0D27">
      <w:pPr>
        <w:rPr>
          <w:rFonts w:cstheme="minorHAnsi"/>
        </w:rPr>
      </w:pPr>
      <w:r w:rsidRPr="006E078B">
        <w:rPr>
          <w:rFonts w:cstheme="minorHAnsi"/>
        </w:rPr>
        <w:t>Dans ce cas, chacune des périodes d’emploi correspondantes donnera alors lieu à l’application d’un régime d’exonération distinct, comme s’il s’agissait de contrats différents.</w:t>
      </w:r>
    </w:p>
    <w:p w14:paraId="7F12CB34" w14:textId="3F5C7EA9" w:rsidR="0050590F" w:rsidRDefault="0050590F" w:rsidP="00DA3827">
      <w:pPr>
        <w:pStyle w:val="Titre2"/>
      </w:pPr>
      <w:r>
        <w:lastRenderedPageBreak/>
        <w:br w:type="page"/>
      </w:r>
    </w:p>
    <w:p w14:paraId="0F0A865A" w14:textId="424752B6" w:rsidR="0050590F" w:rsidRDefault="0050590F" w:rsidP="00CB57AF">
      <w:pPr>
        <w:pStyle w:val="Titre2"/>
      </w:pPr>
      <w:bookmarkStart w:id="33" w:name="_Toc74651321"/>
      <w:r>
        <w:lastRenderedPageBreak/>
        <w:t xml:space="preserve">Ce qu’il faut savoir en matière de </w:t>
      </w:r>
      <w:r w:rsidR="00A84A17">
        <w:t>rupture de contrat</w:t>
      </w:r>
      <w:bookmarkEnd w:id="33"/>
    </w:p>
    <w:p w14:paraId="44C8DE72" w14:textId="77777777" w:rsidR="008B0D27" w:rsidRDefault="008B0D27" w:rsidP="008B0D27"/>
    <w:p w14:paraId="7C27B488" w14:textId="3F3E618F" w:rsidR="00C4038C" w:rsidRPr="00BA1E49" w:rsidRDefault="00CA02EA" w:rsidP="00C4038C">
      <w:pPr>
        <w:pStyle w:val="Titre3"/>
      </w:pPr>
      <w:bookmarkStart w:id="34" w:name="_Toc74651322"/>
      <w:r>
        <w:t>Contestation d’un licenciement économique et CSP</w:t>
      </w:r>
      <w:bookmarkEnd w:id="34"/>
    </w:p>
    <w:p w14:paraId="033ED20A" w14:textId="30E14CB9" w:rsidR="00C4038C" w:rsidRDefault="00C4038C" w:rsidP="00C4038C">
      <w:pPr>
        <w:rPr>
          <w:rFonts w:cstheme="minorHAnsi"/>
        </w:rPr>
      </w:pPr>
      <w:r w:rsidRPr="00E45B66">
        <w:rPr>
          <w:rFonts w:cstheme="minorHAnsi"/>
          <w:b/>
          <w:color w:val="0070C0"/>
        </w:rPr>
        <w:t>Slide</w:t>
      </w:r>
      <w:r>
        <w:rPr>
          <w:rFonts w:cstheme="minorHAnsi"/>
          <w:b/>
          <w:color w:val="0070C0"/>
        </w:rPr>
        <w:t>s</w:t>
      </w:r>
      <w:r w:rsidR="006D3AAB">
        <w:rPr>
          <w:rFonts w:cstheme="minorHAnsi"/>
          <w:b/>
          <w:color w:val="0070C0"/>
        </w:rPr>
        <w:t xml:space="preserve"> 38 et 39</w:t>
      </w:r>
    </w:p>
    <w:p w14:paraId="254B16CE" w14:textId="01A31569" w:rsidR="00C4038C" w:rsidRPr="00725A4B" w:rsidRDefault="00C4038C" w:rsidP="00C4038C">
      <w:pPr>
        <w:rPr>
          <w:rFonts w:cstheme="minorHAnsi"/>
        </w:rPr>
      </w:pPr>
      <w:r w:rsidRPr="00451FF7">
        <w:rPr>
          <w:rFonts w:cstheme="minorHAnsi"/>
        </w:rPr>
        <w:t>Source </w:t>
      </w:r>
      <w:r w:rsidRPr="002545F5">
        <w:rPr>
          <w:rFonts w:cstheme="minorHAnsi"/>
        </w:rPr>
        <w:t xml:space="preserve">: </w:t>
      </w:r>
      <w:r w:rsidR="00725A4B" w:rsidRPr="00725A4B">
        <w:rPr>
          <w:rFonts w:cstheme="minorHAnsi"/>
        </w:rPr>
        <w:t>Arrêt de la Cour de Cassation, chambre sociale, du 12 mai 2021, n° 19-24245</w:t>
      </w:r>
    </w:p>
    <w:p w14:paraId="4CB6B148" w14:textId="77777777" w:rsidR="00C4038C" w:rsidRPr="005B73D2" w:rsidRDefault="00C4038C" w:rsidP="00C4038C">
      <w:pPr>
        <w:pStyle w:val="Titre4"/>
        <w:rPr>
          <w:rStyle w:val="txt"/>
        </w:rPr>
      </w:pPr>
      <w:r w:rsidRPr="004858FF">
        <w:rPr>
          <w:rStyle w:val="txt"/>
        </w:rPr>
        <w:t>ce qu’il faut savoir…</w:t>
      </w:r>
    </w:p>
    <w:p w14:paraId="3EC409FE" w14:textId="77777777" w:rsidR="00B536DB" w:rsidRPr="00B536DB" w:rsidRDefault="00B536DB" w:rsidP="00B536DB">
      <w:pPr>
        <w:rPr>
          <w:rFonts w:cstheme="minorHAnsi"/>
        </w:rPr>
      </w:pPr>
      <w:r w:rsidRPr="00B536DB">
        <w:rPr>
          <w:rFonts w:cstheme="minorHAnsi"/>
        </w:rPr>
        <w:t>Parce que son entreprise connaît des difficultés, un salarié est licencié pour motif économique. Dans ce cadre, il lui a été remis, le 6 mars, une proposition de contrat de sécurisation professionnelle (CSP) auquel il a adhéré le 24 mars…</w:t>
      </w:r>
    </w:p>
    <w:p w14:paraId="01C0193D" w14:textId="77777777" w:rsidR="00B536DB" w:rsidRPr="00B536DB" w:rsidRDefault="00B536DB" w:rsidP="00B536DB">
      <w:pPr>
        <w:rPr>
          <w:rFonts w:cstheme="minorHAnsi"/>
        </w:rPr>
      </w:pPr>
      <w:r w:rsidRPr="00B536DB">
        <w:rPr>
          <w:rFonts w:cstheme="minorHAnsi"/>
        </w:rPr>
        <w:t>Le 25 mars de l’année suivante, il conteste ce licenciement… « Trop tard », rétorque l’employeur qui lui rappelle qu’il avait 1 an à compter de son adhésion au CSP pour contester la rupture de son contrat de travail, soit jusqu’au 24 mars. 1 jour trop tard donc… « Non », conteste le salarié : il avait selon lui jusqu’au 28 mars, soit 1 an à compter du lendemain de la date de rupture du contrat de travail, fixée au lendemain de l'expiration du délai de 21 jours dont il disposait pour décider ou non d’adhérer au CSP…</w:t>
      </w:r>
    </w:p>
    <w:p w14:paraId="17BBE5D5" w14:textId="4194E2F8" w:rsidR="00C4038C" w:rsidRPr="0070755E" w:rsidRDefault="00B536DB" w:rsidP="00B536DB">
      <w:pPr>
        <w:rPr>
          <w:rFonts w:cstheme="minorHAnsi"/>
        </w:rPr>
      </w:pPr>
      <w:r w:rsidRPr="00B536DB">
        <w:rPr>
          <w:rFonts w:cstheme="minorHAnsi"/>
        </w:rPr>
        <w:t>« Jusqu’au 24 mars », tranche le juge en faveur de l’employeur puisque que lorsqu'un salarié adhère au CSP, le délai de 12 mois pour contester le licenciement court à compter de l'adhésion au CSP, qui emporte rupture du contrat de travail.</w:t>
      </w:r>
    </w:p>
    <w:p w14:paraId="4A7D4DE7" w14:textId="77777777" w:rsidR="00C4038C" w:rsidRDefault="00C4038C" w:rsidP="00C4038C"/>
    <w:p w14:paraId="44226405" w14:textId="443DD822" w:rsidR="00C4038C" w:rsidRPr="00BA1E49" w:rsidRDefault="0092044A" w:rsidP="00C4038C">
      <w:pPr>
        <w:pStyle w:val="Titre3"/>
      </w:pPr>
      <w:bookmarkStart w:id="35" w:name="_Toc74651323"/>
      <w:r>
        <w:t>Indemnité de rupture conven</w:t>
      </w:r>
      <w:r w:rsidR="00F110C3">
        <w:t>tionnelle</w:t>
      </w:r>
      <w:bookmarkEnd w:id="35"/>
    </w:p>
    <w:p w14:paraId="7219FDC7" w14:textId="285A7199" w:rsidR="00C4038C" w:rsidRDefault="00C4038C" w:rsidP="00C4038C">
      <w:pPr>
        <w:rPr>
          <w:rFonts w:cstheme="minorHAnsi"/>
        </w:rPr>
      </w:pPr>
      <w:r w:rsidRPr="00E45B66">
        <w:rPr>
          <w:rFonts w:cstheme="minorHAnsi"/>
          <w:b/>
          <w:color w:val="0070C0"/>
        </w:rPr>
        <w:t>Slide</w:t>
      </w:r>
      <w:r>
        <w:rPr>
          <w:rFonts w:cstheme="minorHAnsi"/>
          <w:b/>
          <w:color w:val="0070C0"/>
        </w:rPr>
        <w:t xml:space="preserve">s </w:t>
      </w:r>
      <w:r w:rsidR="006D3AAB">
        <w:rPr>
          <w:rFonts w:cstheme="minorHAnsi"/>
          <w:b/>
          <w:color w:val="0070C0"/>
        </w:rPr>
        <w:t>40 et 41</w:t>
      </w:r>
    </w:p>
    <w:p w14:paraId="5E44464C" w14:textId="445DD21E" w:rsidR="00C4038C" w:rsidRPr="00F15687" w:rsidRDefault="00C4038C" w:rsidP="00C4038C">
      <w:pPr>
        <w:rPr>
          <w:rFonts w:cstheme="minorHAnsi"/>
        </w:rPr>
      </w:pPr>
      <w:r w:rsidRPr="00451FF7">
        <w:rPr>
          <w:rFonts w:cstheme="minorHAnsi"/>
        </w:rPr>
        <w:t>Source </w:t>
      </w:r>
      <w:r w:rsidRPr="002545F5">
        <w:rPr>
          <w:rFonts w:cstheme="minorHAnsi"/>
        </w:rPr>
        <w:t xml:space="preserve">: </w:t>
      </w:r>
      <w:r w:rsidR="00F15687" w:rsidRPr="00F15687">
        <w:rPr>
          <w:rFonts w:cstheme="minorHAnsi"/>
        </w:rPr>
        <w:t>Arrêt de la Cour de cassation, chambre sociale, du 05 mai 2021, n° 19-24650</w:t>
      </w:r>
    </w:p>
    <w:p w14:paraId="7C49AC45" w14:textId="77777777" w:rsidR="00C4038C" w:rsidRPr="005B73D2" w:rsidRDefault="00C4038C" w:rsidP="00C4038C">
      <w:pPr>
        <w:pStyle w:val="Titre4"/>
        <w:rPr>
          <w:rStyle w:val="txt"/>
        </w:rPr>
      </w:pPr>
      <w:r w:rsidRPr="004858FF">
        <w:rPr>
          <w:rStyle w:val="txt"/>
        </w:rPr>
        <w:t>ce qu’il faut savoir…</w:t>
      </w:r>
    </w:p>
    <w:p w14:paraId="51EB6293" w14:textId="77777777" w:rsidR="009412A9" w:rsidRPr="009412A9" w:rsidRDefault="009412A9" w:rsidP="009412A9">
      <w:pPr>
        <w:rPr>
          <w:rFonts w:cstheme="minorHAnsi"/>
        </w:rPr>
      </w:pPr>
      <w:r w:rsidRPr="009412A9">
        <w:rPr>
          <w:rFonts w:cstheme="minorHAnsi"/>
        </w:rPr>
        <w:t xml:space="preserve">Après avoir conclu une rupture conventionnelle de son contrat de travail, une salariée perçoit une indemnité spécifique de rupture conventionnelle… qu’elle estime trop basse ! </w:t>
      </w:r>
    </w:p>
    <w:p w14:paraId="4E318787" w14:textId="77777777" w:rsidR="009412A9" w:rsidRPr="009412A9" w:rsidRDefault="009412A9" w:rsidP="009412A9">
      <w:pPr>
        <w:rPr>
          <w:rFonts w:cstheme="minorHAnsi"/>
        </w:rPr>
      </w:pPr>
      <w:r w:rsidRPr="009412A9">
        <w:rPr>
          <w:rFonts w:cstheme="minorHAnsi"/>
        </w:rPr>
        <w:t xml:space="preserve">Pour elle, en effet, l’indemnité qu’elle a perçue a été calculée en référence au montant de l’indemnité légale de licenciement… Et non pas en référence à l’indemnité conventionnelle prévue par un accord collectif applicable à la société, comme cela aurait dû être le cas. </w:t>
      </w:r>
    </w:p>
    <w:p w14:paraId="5D2935FC" w14:textId="77777777" w:rsidR="009412A9" w:rsidRPr="009412A9" w:rsidRDefault="009412A9" w:rsidP="009412A9">
      <w:pPr>
        <w:rPr>
          <w:rFonts w:cstheme="minorHAnsi"/>
        </w:rPr>
      </w:pPr>
      <w:r w:rsidRPr="009412A9">
        <w:rPr>
          <w:rFonts w:cstheme="minorHAnsi"/>
        </w:rPr>
        <w:t xml:space="preserve">Sauf que la salariée ne peut pas bénéficier de cette indemnité conventionnelle, estime l’employeur, qui rappelle qu’elle ne peut être versée que dans 2 hypothèses : </w:t>
      </w:r>
    </w:p>
    <w:p w14:paraId="1108ECA0" w14:textId="248D76C0" w:rsidR="009412A9" w:rsidRPr="009412A9" w:rsidRDefault="009412A9" w:rsidP="009412A9">
      <w:pPr>
        <w:pStyle w:val="Paragraphedeliste"/>
        <w:numPr>
          <w:ilvl w:val="0"/>
          <w:numId w:val="104"/>
        </w:numPr>
        <w:rPr>
          <w:rFonts w:cstheme="minorHAnsi"/>
        </w:rPr>
      </w:pPr>
      <w:r w:rsidRPr="009412A9">
        <w:rPr>
          <w:rFonts w:cstheme="minorHAnsi"/>
        </w:rPr>
        <w:t>en cas de licenciement pour insuffisance résultant d’une incapacité professionnelle ;</w:t>
      </w:r>
    </w:p>
    <w:p w14:paraId="1E6A7511" w14:textId="4E8B5AE5" w:rsidR="009412A9" w:rsidRPr="009412A9" w:rsidRDefault="009412A9" w:rsidP="009412A9">
      <w:pPr>
        <w:pStyle w:val="Paragraphedeliste"/>
        <w:numPr>
          <w:ilvl w:val="0"/>
          <w:numId w:val="104"/>
        </w:numPr>
        <w:rPr>
          <w:rFonts w:cstheme="minorHAnsi"/>
        </w:rPr>
      </w:pPr>
      <w:r w:rsidRPr="009412A9">
        <w:rPr>
          <w:rFonts w:cstheme="minorHAnsi"/>
        </w:rPr>
        <w:t>en cas de difficultés économiques sérieuses mettant en cause la pérennité de l’entreprise.</w:t>
      </w:r>
    </w:p>
    <w:p w14:paraId="36139E0A" w14:textId="7519D6D4" w:rsidR="00C4038C" w:rsidRPr="00451FF7" w:rsidRDefault="009412A9" w:rsidP="009412A9">
      <w:pPr>
        <w:rPr>
          <w:rFonts w:cstheme="minorHAnsi"/>
        </w:rPr>
      </w:pPr>
      <w:r w:rsidRPr="009412A9">
        <w:rPr>
          <w:rFonts w:cstheme="minorHAnsi"/>
        </w:rPr>
        <w:lastRenderedPageBreak/>
        <w:t>Sauf qu’à partir du moment où un accord collectif applicable à l’entreprise prévoit une indemnité conventionnelle de licenciement plus favorable que l’indemnité légale, le juge rappelle que l’entreprise est tenue de verser à ses salariés une indemnité de rupture conventionnelle au moins égale à cette indemnité conventionnelle… Et cela même si l’accord réserve en principe cette indemnité à certains cas de licenciement !</w:t>
      </w:r>
    </w:p>
    <w:p w14:paraId="29A2BEF3" w14:textId="77777777" w:rsidR="00C4038C" w:rsidRPr="005B73D2" w:rsidRDefault="00C4038C" w:rsidP="00C4038C">
      <w:pPr>
        <w:pStyle w:val="Titre4"/>
        <w:rPr>
          <w:rStyle w:val="txt"/>
        </w:rPr>
      </w:pPr>
      <w:r w:rsidRPr="004858FF">
        <w:rPr>
          <w:rStyle w:val="txt"/>
        </w:rPr>
        <w:t>POUR ALLER PLUS LOIN</w:t>
      </w:r>
    </w:p>
    <w:p w14:paraId="5ECA3160" w14:textId="18C755E3" w:rsidR="002776CC" w:rsidRDefault="00E21325" w:rsidP="002776CC">
      <w:r w:rsidRPr="00E21325">
        <w:t>Le montant de l'indemnité de rupture conventionnelle dont bénéficie le salarié ne peut pas être inférieur à l'indemnité de licenciement légale ou conventionnelle (en fonction de celle qui est la plus favorable). Vérifiez votre convention collective sur ce point.</w:t>
      </w:r>
    </w:p>
    <w:p w14:paraId="4F987A45" w14:textId="77777777" w:rsidR="0081054C" w:rsidRDefault="0081054C" w:rsidP="0081054C">
      <w:r>
        <w:t>Pour calculer cette indemnité minimale légale, il faut tenir compte de l’ancienneté du salarié. Par conséquent, le mode de calcul de cette indemnité correspond à :</w:t>
      </w:r>
    </w:p>
    <w:p w14:paraId="279777E5" w14:textId="43F6D802" w:rsidR="0081054C" w:rsidRDefault="0081054C" w:rsidP="004B043F">
      <w:pPr>
        <w:pStyle w:val="Paragraphedeliste"/>
        <w:numPr>
          <w:ilvl w:val="0"/>
          <w:numId w:val="105"/>
        </w:numPr>
      </w:pPr>
      <w:r>
        <w:t>pour une ancienneté de moins de 12 mois : salaire brut mensuel x 1/4 au prorata du nombre de mois de présence ;</w:t>
      </w:r>
    </w:p>
    <w:p w14:paraId="78DF42F6" w14:textId="14754B3E" w:rsidR="0081054C" w:rsidRDefault="0081054C" w:rsidP="004B043F">
      <w:pPr>
        <w:pStyle w:val="Paragraphedeliste"/>
        <w:numPr>
          <w:ilvl w:val="0"/>
          <w:numId w:val="105"/>
        </w:numPr>
      </w:pPr>
      <w:r>
        <w:t>pour une ancienneté de 1 à 10 ans : salaire brut x 1/4 x nombre d’années d’ancienneté ;</w:t>
      </w:r>
    </w:p>
    <w:p w14:paraId="2818CF1B" w14:textId="0DCCD0B6" w:rsidR="0081054C" w:rsidRDefault="0081054C" w:rsidP="004B043F">
      <w:pPr>
        <w:pStyle w:val="Paragraphedeliste"/>
        <w:numPr>
          <w:ilvl w:val="0"/>
          <w:numId w:val="105"/>
        </w:numPr>
      </w:pPr>
      <w:r>
        <w:t>pour une ancienneté de plus de 10 ans : salaire brut mensuel x 1/4 x 10 + 1/3 d’un mois de salaire par année supplémentaire.</w:t>
      </w:r>
    </w:p>
    <w:p w14:paraId="5ACDFC79" w14:textId="1EE1A406" w:rsidR="0081054C" w:rsidRDefault="0081054C" w:rsidP="0081054C">
      <w:r>
        <w:t>Oui, cette indemnité est exonérée de cotisations sociales, dans la limite de 2 fois le plafond de la sécurité sociale, à hauteur du plus élevé des 3 montants suivants :</w:t>
      </w:r>
    </w:p>
    <w:p w14:paraId="2B5B9A9B" w14:textId="73D3D610" w:rsidR="0081054C" w:rsidRDefault="0081054C" w:rsidP="004B043F">
      <w:pPr>
        <w:pStyle w:val="Paragraphedeliste"/>
        <w:numPr>
          <w:ilvl w:val="0"/>
          <w:numId w:val="106"/>
        </w:numPr>
      </w:pPr>
      <w:r>
        <w:t>soit la totalité du montant de l’indemnité légale,</w:t>
      </w:r>
    </w:p>
    <w:p w14:paraId="7446EE51" w14:textId="07D8340D" w:rsidR="0081054C" w:rsidRDefault="0081054C" w:rsidP="004B043F">
      <w:pPr>
        <w:pStyle w:val="Paragraphedeliste"/>
        <w:numPr>
          <w:ilvl w:val="0"/>
          <w:numId w:val="106"/>
        </w:numPr>
      </w:pPr>
      <w:r>
        <w:t>soit 2 fois le montant de la rémunération brute annuelle perçue l’année précédente,</w:t>
      </w:r>
    </w:p>
    <w:p w14:paraId="60319A9A" w14:textId="12B353BA" w:rsidR="0081054C" w:rsidRDefault="0081054C" w:rsidP="004B043F">
      <w:pPr>
        <w:pStyle w:val="Paragraphedeliste"/>
        <w:numPr>
          <w:ilvl w:val="0"/>
          <w:numId w:val="106"/>
        </w:numPr>
      </w:pPr>
      <w:r>
        <w:t>soit 50 % du montant de l’indemnité versée.</w:t>
      </w:r>
    </w:p>
    <w:p w14:paraId="58E469DD" w14:textId="77777777" w:rsidR="0081054C" w:rsidRDefault="0081054C" w:rsidP="0081054C">
      <w:r>
        <w:t>Si le salarié peut bénéficier d’une pension de retraite d’un régime légalement obligatoire, l’indemnité de rupture conventionnelle est soumise intégralement aux cotisations sociales.</w:t>
      </w:r>
    </w:p>
    <w:p w14:paraId="4DBE1661" w14:textId="1B02C56E" w:rsidR="0081054C" w:rsidRDefault="0081054C" w:rsidP="0081054C">
      <w:r>
        <w:t>L’indemnité de rupture conventionnelle est soumise à la CSG et à la CRDS pour la part de son montant qui excède l’indemnité légale ou conventionnelle.</w:t>
      </w:r>
    </w:p>
    <w:p w14:paraId="106D71F0" w14:textId="545CDE1B" w:rsidR="0081054C" w:rsidRDefault="0081054C" w:rsidP="0081054C">
      <w:r>
        <w:t>Il s’applique à la fraction de l’indemnité de rupture conventionnelle qui est exonérée de cotisations sociales (soit la fraction inférieure à 2 fois le plafond de la sécurité sociale et celle exclue de l’assiette des cotisations sociales et soumise à la CSG et la CRDS).</w:t>
      </w:r>
    </w:p>
    <w:p w14:paraId="51B8D0D7" w14:textId="09C1A726" w:rsidR="0081054C" w:rsidRDefault="0081054C" w:rsidP="0081054C">
      <w:r>
        <w:t>Le salarié bénéficie également d’une indemnité compensatrice de congés payés, de ses droits aux allocations chômage, à la portabilité du droit individuel à la formation et à la portabilité des garanties liées aux frais de santé et à la prévoyance applicables dans l’entreprise.</w:t>
      </w:r>
    </w:p>
    <w:p w14:paraId="3A309AFA" w14:textId="65362183" w:rsidR="0081054C" w:rsidRDefault="0081054C" w:rsidP="0081054C">
      <w:r>
        <w:t xml:space="preserve">Bien que faisant partie des départs volontaires, l’indemnité versée en cas de rupture conventionnelle sera imposée suivant des règles similaires à celles qui s’appliquent en matière de licenciement. Ainsi, l’indemnité versée sera exonérée dans la limite du plus élevé des deux montants suivants : </w:t>
      </w:r>
    </w:p>
    <w:p w14:paraId="75B63E9C" w14:textId="103D2D6C" w:rsidR="0081054C" w:rsidRDefault="0081054C" w:rsidP="004B043F">
      <w:pPr>
        <w:pStyle w:val="Paragraphedeliste"/>
        <w:numPr>
          <w:ilvl w:val="0"/>
          <w:numId w:val="107"/>
        </w:numPr>
      </w:pPr>
      <w:r>
        <w:t>le montant légal ou conventionnel ;</w:t>
      </w:r>
    </w:p>
    <w:p w14:paraId="32369AD1" w14:textId="2ADECD1F" w:rsidR="00E21325" w:rsidRDefault="0081054C" w:rsidP="004B043F">
      <w:pPr>
        <w:pStyle w:val="Paragraphedeliste"/>
        <w:numPr>
          <w:ilvl w:val="0"/>
          <w:numId w:val="107"/>
        </w:numPr>
      </w:pPr>
      <w:r>
        <w:t>50 % de l’indemnité totale ou double de la rémunération annuelle brute de l’année civile précédente, sans toutefois pouvoir excéder un montant correspondant à 6 fois le plafond annuel de la sécurité sociale.</w:t>
      </w:r>
    </w:p>
    <w:p w14:paraId="7BC67A46" w14:textId="77777777" w:rsidR="00BE3C22" w:rsidRDefault="00BE3C22" w:rsidP="00BE3C22">
      <w:r>
        <w:t>Là encore, il sera fait application de règles similaires à celles applicables en matière d’indemnité de licenciement. Le surplus sera régulièrement taxé à l’impôt sur le revenu dans la catégorie des traitements et salaires, sauf à ce que le salarié demande à bénéficier du système du quotient.</w:t>
      </w:r>
    </w:p>
    <w:p w14:paraId="2AA82B9E" w14:textId="69030C1C" w:rsidR="0081054C" w:rsidRDefault="00BE3C22" w:rsidP="00BE3C22">
      <w:r>
        <w:lastRenderedPageBreak/>
        <w:t>Si la rupture conventionnelle est finalement déclarée nulle, le salarié doit restituer les sommes perçues à ce titre. Néanmoins, la nullité d’une rupture conventionnelle produit les effets d’un licenciement sans cause réelle et sérieuse.</w:t>
      </w:r>
    </w:p>
    <w:p w14:paraId="274BE65D" w14:textId="77777777" w:rsidR="00E21325" w:rsidRDefault="00E21325" w:rsidP="002776CC"/>
    <w:p w14:paraId="62C95116" w14:textId="5BCEF04D" w:rsidR="0092044A" w:rsidRPr="00BA1E49" w:rsidRDefault="008C6109" w:rsidP="0092044A">
      <w:pPr>
        <w:pStyle w:val="Titre3"/>
      </w:pPr>
      <w:bookmarkStart w:id="36" w:name="_Toc74651324"/>
      <w:r>
        <w:t>Licenciement économique et dispositifs de reclassement</w:t>
      </w:r>
      <w:bookmarkEnd w:id="36"/>
    </w:p>
    <w:p w14:paraId="75F2A0B6" w14:textId="3CBF4227" w:rsidR="0092044A" w:rsidRDefault="0092044A" w:rsidP="0092044A">
      <w:pPr>
        <w:rPr>
          <w:rFonts w:cstheme="minorHAnsi"/>
        </w:rPr>
      </w:pPr>
      <w:r w:rsidRPr="00E45B66">
        <w:rPr>
          <w:rFonts w:cstheme="minorHAnsi"/>
          <w:b/>
          <w:color w:val="0070C0"/>
        </w:rPr>
        <w:t>Slide</w:t>
      </w:r>
      <w:r w:rsidR="006D3AAB">
        <w:rPr>
          <w:rFonts w:cstheme="minorHAnsi"/>
          <w:b/>
          <w:color w:val="0070C0"/>
        </w:rPr>
        <w:t xml:space="preserve"> 42</w:t>
      </w:r>
    </w:p>
    <w:p w14:paraId="0D28DBD9" w14:textId="500FCA05" w:rsidR="0092044A" w:rsidRPr="00E034A6" w:rsidRDefault="0092044A" w:rsidP="0092044A">
      <w:pPr>
        <w:rPr>
          <w:rFonts w:cstheme="minorHAnsi"/>
        </w:rPr>
      </w:pPr>
      <w:r w:rsidRPr="00451FF7">
        <w:rPr>
          <w:rFonts w:cstheme="minorHAnsi"/>
        </w:rPr>
        <w:t>Source </w:t>
      </w:r>
      <w:r w:rsidRPr="002545F5">
        <w:rPr>
          <w:rFonts w:cstheme="minorHAnsi"/>
        </w:rPr>
        <w:t xml:space="preserve">: </w:t>
      </w:r>
      <w:r w:rsidR="00E034A6" w:rsidRPr="00E034A6">
        <w:rPr>
          <w:rFonts w:cstheme="minorHAnsi"/>
        </w:rPr>
        <w:t>Décret n° 2021-626 du 19 mai 2021 relatif au congé de reclassement</w:t>
      </w:r>
    </w:p>
    <w:p w14:paraId="7386DA7D" w14:textId="77777777" w:rsidR="0092044A" w:rsidRPr="005B73D2" w:rsidRDefault="0092044A" w:rsidP="0092044A">
      <w:pPr>
        <w:pStyle w:val="Titre4"/>
        <w:rPr>
          <w:rStyle w:val="txt"/>
        </w:rPr>
      </w:pPr>
      <w:r w:rsidRPr="004858FF">
        <w:rPr>
          <w:rStyle w:val="txt"/>
        </w:rPr>
        <w:t>ce qu’il faut savoir…</w:t>
      </w:r>
    </w:p>
    <w:p w14:paraId="3BE484FE" w14:textId="48FB36DB" w:rsidR="003D628C" w:rsidRPr="003D628C" w:rsidRDefault="003D628C" w:rsidP="003D628C">
      <w:pPr>
        <w:pStyle w:val="Paragraphedeliste"/>
        <w:numPr>
          <w:ilvl w:val="0"/>
          <w:numId w:val="133"/>
        </w:numPr>
        <w:rPr>
          <w:rFonts w:cstheme="minorHAnsi"/>
          <w:b/>
          <w:bCs/>
          <w:i/>
          <w:iCs/>
          <w:u w:val="single"/>
        </w:rPr>
      </w:pPr>
      <w:r w:rsidRPr="003D628C">
        <w:rPr>
          <w:rFonts w:cstheme="minorHAnsi"/>
          <w:b/>
          <w:bCs/>
          <w:i/>
          <w:iCs/>
          <w:u w:val="single"/>
        </w:rPr>
        <w:t>Durée du congé de reclassement et rémunération du salarié en congé de reclassement</w:t>
      </w:r>
    </w:p>
    <w:p w14:paraId="48CED426" w14:textId="50309FBA" w:rsidR="003D628C" w:rsidRPr="003D628C" w:rsidRDefault="003D628C" w:rsidP="003D628C">
      <w:pPr>
        <w:rPr>
          <w:rFonts w:cstheme="minorHAnsi"/>
        </w:rPr>
      </w:pPr>
      <w:r w:rsidRPr="003D628C">
        <w:rPr>
          <w:rFonts w:cstheme="minorHAnsi"/>
        </w:rPr>
        <w:t>Pour rappel, le congé de reclassement est un dispositif proposé par les employeurs des entreprises de plus de 1</w:t>
      </w:r>
      <w:r>
        <w:rPr>
          <w:rFonts w:cstheme="minorHAnsi"/>
        </w:rPr>
        <w:t> </w:t>
      </w:r>
      <w:r w:rsidRPr="003D628C">
        <w:rPr>
          <w:rFonts w:cstheme="minorHAnsi"/>
        </w:rPr>
        <w:t xml:space="preserve">000 salariés, lorsqu’ils envisagent un licenciement pour motif économique. </w:t>
      </w:r>
    </w:p>
    <w:p w14:paraId="41AD8168" w14:textId="77777777" w:rsidR="003D628C" w:rsidRPr="003D628C" w:rsidRDefault="003D628C" w:rsidP="003D628C">
      <w:pPr>
        <w:rPr>
          <w:rFonts w:cstheme="minorHAnsi"/>
        </w:rPr>
      </w:pPr>
      <w:r w:rsidRPr="003D628C">
        <w:rPr>
          <w:rFonts w:cstheme="minorHAnsi"/>
        </w:rPr>
        <w:t xml:space="preserve">L’objectif de ce dispositif est principalement de permettre aux salariés de bénéficier d’actions de formation et de prestations d’une cellule d’accompagnement des démarches de recherche d’emploi afin de favoriser leur reclassement professionnel. </w:t>
      </w:r>
    </w:p>
    <w:p w14:paraId="384A5730" w14:textId="77777777" w:rsidR="003D628C" w:rsidRPr="003D628C" w:rsidRDefault="003D628C" w:rsidP="003D628C">
      <w:pPr>
        <w:rPr>
          <w:rFonts w:cstheme="minorHAnsi"/>
        </w:rPr>
      </w:pPr>
      <w:r w:rsidRPr="003D628C">
        <w:rPr>
          <w:rFonts w:cstheme="minorHAnsi"/>
        </w:rPr>
        <w:t xml:space="preserve">Jusqu’à présent, la durée de ce congé, fixée par l’employeur, variait de 4 à 12 mois. </w:t>
      </w:r>
    </w:p>
    <w:p w14:paraId="16FF8F34" w14:textId="77777777" w:rsidR="003D628C" w:rsidRPr="003D628C" w:rsidRDefault="003D628C" w:rsidP="003D628C">
      <w:pPr>
        <w:rPr>
          <w:rFonts w:cstheme="minorHAnsi"/>
        </w:rPr>
      </w:pPr>
      <w:r w:rsidRPr="003D628C">
        <w:rPr>
          <w:rFonts w:cstheme="minorHAnsi"/>
        </w:rPr>
        <w:t xml:space="preserve">Dorénavant, depuis le 22 mai 2021, la durée de ce congé de reclassement pourra être portée à 24 mois en cas de formation de reconversion professionnelle. </w:t>
      </w:r>
    </w:p>
    <w:p w14:paraId="65256B4C" w14:textId="77777777" w:rsidR="003D628C" w:rsidRPr="003D628C" w:rsidRDefault="003D628C" w:rsidP="003D628C">
      <w:pPr>
        <w:rPr>
          <w:rFonts w:cstheme="minorHAnsi"/>
        </w:rPr>
      </w:pPr>
      <w:r w:rsidRPr="003D628C">
        <w:rPr>
          <w:rFonts w:cstheme="minorHAnsi"/>
        </w:rPr>
        <w:t xml:space="preserve">Pendant la période du congé de reclassement qui excède la durée du préavis, le salarié doit bénéficier d’une rémunération mensuelle à la charge de l’employeur. </w:t>
      </w:r>
    </w:p>
    <w:p w14:paraId="67921F4B" w14:textId="515E2B8F" w:rsidR="003D628C" w:rsidRPr="003D628C" w:rsidRDefault="003D628C" w:rsidP="003D628C">
      <w:pPr>
        <w:rPr>
          <w:rFonts w:cstheme="minorHAnsi"/>
        </w:rPr>
      </w:pPr>
      <w:r w:rsidRPr="003D628C">
        <w:rPr>
          <w:rFonts w:cstheme="minorHAnsi"/>
        </w:rPr>
        <w:t>Le montant de cette rémunération doit, en principe, au moins être égal à 65 % de sa rémunération brute moyenne soumise aux contributions sociales au titre des 12 derniers mois précédant la notification du licenciement.</w:t>
      </w:r>
    </w:p>
    <w:p w14:paraId="6BC77488" w14:textId="77777777" w:rsidR="003D628C" w:rsidRPr="003D628C" w:rsidRDefault="003D628C" w:rsidP="003D628C">
      <w:pPr>
        <w:rPr>
          <w:rFonts w:cstheme="minorHAnsi"/>
        </w:rPr>
      </w:pPr>
      <w:r w:rsidRPr="003D628C">
        <w:rPr>
          <w:rFonts w:cstheme="minorHAnsi"/>
        </w:rPr>
        <w:t>A compter du 1</w:t>
      </w:r>
      <w:r w:rsidRPr="003D628C">
        <w:rPr>
          <w:rFonts w:cstheme="minorHAnsi"/>
          <w:vertAlign w:val="superscript"/>
        </w:rPr>
        <w:t>er</w:t>
      </w:r>
      <w:r w:rsidRPr="003D628C">
        <w:rPr>
          <w:rFonts w:cstheme="minorHAnsi"/>
        </w:rPr>
        <w:t xml:space="preserve"> juillet 2021, lorsque le salarié a exercé au cours de ces 12 mois son emploi à temps partiel dans le cadre de certains congés, il devra être tenu compte, pour le calcul de cette rémunération, du salaire qui aurait été le sien s’il avait exercé son activité à temps plein sur l’ensemble de la période. </w:t>
      </w:r>
    </w:p>
    <w:p w14:paraId="5DCE8203" w14:textId="77777777" w:rsidR="003D628C" w:rsidRPr="003D628C" w:rsidRDefault="003D628C" w:rsidP="003D628C">
      <w:pPr>
        <w:rPr>
          <w:rFonts w:cstheme="minorHAnsi"/>
        </w:rPr>
      </w:pPr>
      <w:r w:rsidRPr="003D628C">
        <w:rPr>
          <w:rFonts w:cstheme="minorHAnsi"/>
        </w:rPr>
        <w:t xml:space="preserve">Sont concernés les congés suivants : </w:t>
      </w:r>
    </w:p>
    <w:p w14:paraId="565E89A0" w14:textId="1D71F0EE" w:rsidR="003D628C" w:rsidRPr="001A2F42" w:rsidRDefault="003D628C" w:rsidP="001A2F42">
      <w:pPr>
        <w:pStyle w:val="Paragraphedeliste"/>
        <w:numPr>
          <w:ilvl w:val="0"/>
          <w:numId w:val="134"/>
        </w:numPr>
        <w:rPr>
          <w:rFonts w:cstheme="minorHAnsi"/>
        </w:rPr>
      </w:pPr>
      <w:r w:rsidRPr="001A2F42">
        <w:rPr>
          <w:rFonts w:cstheme="minorHAnsi"/>
        </w:rPr>
        <w:t xml:space="preserve">congé parental d’éducation ; </w:t>
      </w:r>
    </w:p>
    <w:p w14:paraId="03D2A57B" w14:textId="050FB5D4" w:rsidR="003D628C" w:rsidRPr="001A2F42" w:rsidRDefault="003D628C" w:rsidP="001A2F42">
      <w:pPr>
        <w:pStyle w:val="Paragraphedeliste"/>
        <w:numPr>
          <w:ilvl w:val="0"/>
          <w:numId w:val="134"/>
        </w:numPr>
        <w:rPr>
          <w:rFonts w:cstheme="minorHAnsi"/>
        </w:rPr>
      </w:pPr>
      <w:r w:rsidRPr="001A2F42">
        <w:rPr>
          <w:rFonts w:cstheme="minorHAnsi"/>
        </w:rPr>
        <w:t xml:space="preserve">congé du proche aidant ; </w:t>
      </w:r>
    </w:p>
    <w:p w14:paraId="432317CE" w14:textId="7FC5A7B6" w:rsidR="003D628C" w:rsidRPr="001A2F42" w:rsidRDefault="003D628C" w:rsidP="001A2F42">
      <w:pPr>
        <w:pStyle w:val="Paragraphedeliste"/>
        <w:numPr>
          <w:ilvl w:val="0"/>
          <w:numId w:val="134"/>
        </w:numPr>
        <w:rPr>
          <w:rFonts w:cstheme="minorHAnsi"/>
        </w:rPr>
      </w:pPr>
      <w:r w:rsidRPr="001A2F42">
        <w:rPr>
          <w:rFonts w:cstheme="minorHAnsi"/>
        </w:rPr>
        <w:t xml:space="preserve">congé de présence parentale ; </w:t>
      </w:r>
    </w:p>
    <w:p w14:paraId="3455158D" w14:textId="00634B1D" w:rsidR="003D628C" w:rsidRPr="001A2F42" w:rsidRDefault="003D628C" w:rsidP="001A2F42">
      <w:pPr>
        <w:pStyle w:val="Paragraphedeliste"/>
        <w:numPr>
          <w:ilvl w:val="0"/>
          <w:numId w:val="134"/>
        </w:numPr>
        <w:rPr>
          <w:rFonts w:cstheme="minorHAnsi"/>
        </w:rPr>
      </w:pPr>
      <w:r w:rsidRPr="001A2F42">
        <w:rPr>
          <w:rFonts w:cstheme="minorHAnsi"/>
        </w:rPr>
        <w:t xml:space="preserve">congé de solidarité familiale. </w:t>
      </w:r>
    </w:p>
    <w:p w14:paraId="3F288249" w14:textId="77777777" w:rsidR="003D628C" w:rsidRPr="003D628C" w:rsidRDefault="003D628C" w:rsidP="003D628C">
      <w:pPr>
        <w:rPr>
          <w:rFonts w:cstheme="minorHAnsi"/>
        </w:rPr>
      </w:pPr>
    </w:p>
    <w:p w14:paraId="101B0FFA" w14:textId="3FDC76FB" w:rsidR="003D628C" w:rsidRPr="003D628C" w:rsidRDefault="003D628C" w:rsidP="003D628C">
      <w:pPr>
        <w:pStyle w:val="Paragraphedeliste"/>
        <w:numPr>
          <w:ilvl w:val="0"/>
          <w:numId w:val="133"/>
        </w:numPr>
        <w:rPr>
          <w:rFonts w:cstheme="minorHAnsi"/>
          <w:b/>
          <w:bCs/>
          <w:i/>
          <w:iCs/>
          <w:u w:val="single"/>
        </w:rPr>
      </w:pPr>
      <w:r w:rsidRPr="003D628C">
        <w:rPr>
          <w:rFonts w:cstheme="minorHAnsi"/>
          <w:b/>
          <w:bCs/>
          <w:i/>
          <w:iCs/>
          <w:u w:val="single"/>
        </w:rPr>
        <w:t xml:space="preserve">Rémunération du salarié en congé de conversion </w:t>
      </w:r>
    </w:p>
    <w:p w14:paraId="79409B0C" w14:textId="77777777" w:rsidR="003D628C" w:rsidRPr="003D628C" w:rsidRDefault="003D628C" w:rsidP="003D628C">
      <w:pPr>
        <w:rPr>
          <w:rFonts w:cstheme="minorHAnsi"/>
        </w:rPr>
      </w:pPr>
      <w:r w:rsidRPr="003D628C">
        <w:rPr>
          <w:rFonts w:cstheme="minorHAnsi"/>
        </w:rPr>
        <w:t xml:space="preserve">Les entreprises qui envisagent de procéder à des licenciements économiques peuvent conclure des conventions avec l’Etat afin de permettre à certains de leurs salariés de bénéficier d’un congé de conversion. </w:t>
      </w:r>
    </w:p>
    <w:p w14:paraId="3E890229" w14:textId="7FD1B285" w:rsidR="003D628C" w:rsidRPr="003D628C" w:rsidRDefault="003D628C" w:rsidP="003D628C">
      <w:pPr>
        <w:rPr>
          <w:rFonts w:cstheme="minorHAnsi"/>
        </w:rPr>
      </w:pPr>
      <w:r w:rsidRPr="003D628C">
        <w:rPr>
          <w:rFonts w:cstheme="minorHAnsi"/>
        </w:rPr>
        <w:lastRenderedPageBreak/>
        <w:t>Pour information, ce dispositif intéresse surtout les entreprises de moins de 1 000 salariés</w:t>
      </w:r>
      <w:r w:rsidR="00441508">
        <w:rPr>
          <w:rFonts w:cstheme="minorHAnsi"/>
        </w:rPr>
        <w:t>,</w:t>
      </w:r>
      <w:r w:rsidRPr="003D628C">
        <w:rPr>
          <w:rFonts w:cstheme="minorHAnsi"/>
        </w:rPr>
        <w:t xml:space="preserve"> non soumises à l’obligation de proposer un congé de reclassement. </w:t>
      </w:r>
    </w:p>
    <w:p w14:paraId="2924C0D4" w14:textId="77777777" w:rsidR="003D628C" w:rsidRPr="003D628C" w:rsidRDefault="003D628C" w:rsidP="003D628C">
      <w:pPr>
        <w:rPr>
          <w:rFonts w:cstheme="minorHAnsi"/>
        </w:rPr>
      </w:pPr>
      <w:r w:rsidRPr="003D628C">
        <w:rPr>
          <w:rFonts w:cstheme="minorHAnsi"/>
        </w:rPr>
        <w:t xml:space="preserve">La durée de ce congé de conversion varie de 4 à 10 mois, durée pendant laquelle le contrat de travail est suspendu et le salarié doit percevoir des allocations et bénéficier d’actions de formation afin de favoriser son reclassement. </w:t>
      </w:r>
    </w:p>
    <w:p w14:paraId="02064801" w14:textId="77777777" w:rsidR="003D628C" w:rsidRPr="003D628C" w:rsidRDefault="003D628C" w:rsidP="003D628C">
      <w:pPr>
        <w:rPr>
          <w:rFonts w:cstheme="minorHAnsi"/>
        </w:rPr>
      </w:pPr>
      <w:r w:rsidRPr="003D628C">
        <w:rPr>
          <w:rFonts w:cstheme="minorHAnsi"/>
        </w:rPr>
        <w:t xml:space="preserve">En principe, les bénéficiaires de ce congé doivent percevoir une allocation de conversion au moins égale à 65 % de la rémunération brute moyenne des 12 mois précédant l'entrée en congé et à 85 % du Smic. </w:t>
      </w:r>
    </w:p>
    <w:p w14:paraId="460510AD" w14:textId="77777777" w:rsidR="003D628C" w:rsidRPr="003D628C" w:rsidRDefault="003D628C" w:rsidP="003D628C">
      <w:pPr>
        <w:rPr>
          <w:rFonts w:cstheme="minorHAnsi"/>
        </w:rPr>
      </w:pPr>
      <w:r w:rsidRPr="003D628C">
        <w:rPr>
          <w:rFonts w:cstheme="minorHAnsi"/>
        </w:rPr>
        <w:t>A l’instar de ce qui est prévu pour le congé de reclassement, à compter du 1</w:t>
      </w:r>
      <w:r w:rsidRPr="001A2F42">
        <w:rPr>
          <w:rFonts w:cstheme="minorHAnsi"/>
          <w:vertAlign w:val="superscript"/>
        </w:rPr>
        <w:t>er</w:t>
      </w:r>
      <w:r w:rsidRPr="003D628C">
        <w:rPr>
          <w:rFonts w:cstheme="minorHAnsi"/>
        </w:rPr>
        <w:t xml:space="preserve"> juillet 2021, lorsque le salarié a exercé au cours des 12 derniers mois son emploi à temps partiel dans le cadre de certains congés, le calcul du montant de l’allocation devra tenir compte du salaire qui aurait été le sien si le salarié avait exercé son activité à temps plein sur l’ensemble de la période. </w:t>
      </w:r>
    </w:p>
    <w:p w14:paraId="4B5D8D2C" w14:textId="77777777" w:rsidR="003D628C" w:rsidRPr="003D628C" w:rsidRDefault="003D628C" w:rsidP="003D628C">
      <w:pPr>
        <w:rPr>
          <w:rFonts w:cstheme="minorHAnsi"/>
        </w:rPr>
      </w:pPr>
      <w:r w:rsidRPr="003D628C">
        <w:rPr>
          <w:rFonts w:cstheme="minorHAnsi"/>
        </w:rPr>
        <w:t xml:space="preserve">Sont concernés les congés suivants : </w:t>
      </w:r>
    </w:p>
    <w:p w14:paraId="5EFDB709" w14:textId="3F31650D" w:rsidR="003D628C" w:rsidRPr="001A2F42" w:rsidRDefault="003D628C" w:rsidP="001A2F42">
      <w:pPr>
        <w:pStyle w:val="Paragraphedeliste"/>
        <w:numPr>
          <w:ilvl w:val="0"/>
          <w:numId w:val="135"/>
        </w:numPr>
        <w:rPr>
          <w:rFonts w:cstheme="minorHAnsi"/>
        </w:rPr>
      </w:pPr>
      <w:r w:rsidRPr="001A2F42">
        <w:rPr>
          <w:rFonts w:cstheme="minorHAnsi"/>
        </w:rPr>
        <w:t xml:space="preserve">congé parental d’éducation ; </w:t>
      </w:r>
    </w:p>
    <w:p w14:paraId="4663BD3E" w14:textId="651E107B" w:rsidR="003D628C" w:rsidRPr="001A2F42" w:rsidRDefault="003D628C" w:rsidP="001A2F42">
      <w:pPr>
        <w:pStyle w:val="Paragraphedeliste"/>
        <w:numPr>
          <w:ilvl w:val="0"/>
          <w:numId w:val="135"/>
        </w:numPr>
        <w:rPr>
          <w:rFonts w:cstheme="minorHAnsi"/>
        </w:rPr>
      </w:pPr>
      <w:r w:rsidRPr="001A2F42">
        <w:rPr>
          <w:rFonts w:cstheme="minorHAnsi"/>
        </w:rPr>
        <w:t xml:space="preserve">congé du proche aidant ; </w:t>
      </w:r>
    </w:p>
    <w:p w14:paraId="7B5FDFB7" w14:textId="333A4D7D" w:rsidR="003D628C" w:rsidRPr="001A2F42" w:rsidRDefault="003D628C" w:rsidP="001A2F42">
      <w:pPr>
        <w:pStyle w:val="Paragraphedeliste"/>
        <w:numPr>
          <w:ilvl w:val="0"/>
          <w:numId w:val="135"/>
        </w:numPr>
        <w:rPr>
          <w:rFonts w:cstheme="minorHAnsi"/>
        </w:rPr>
      </w:pPr>
      <w:r w:rsidRPr="001A2F42">
        <w:rPr>
          <w:rFonts w:cstheme="minorHAnsi"/>
        </w:rPr>
        <w:t xml:space="preserve">congé de présence parentale ; </w:t>
      </w:r>
    </w:p>
    <w:p w14:paraId="2333CCC8" w14:textId="4D4AED77" w:rsidR="002776CC" w:rsidRPr="00DA3827" w:rsidRDefault="003D628C" w:rsidP="00B74E32">
      <w:pPr>
        <w:pStyle w:val="Paragraphedeliste"/>
        <w:numPr>
          <w:ilvl w:val="0"/>
          <w:numId w:val="135"/>
        </w:numPr>
        <w:rPr>
          <w:rFonts w:cstheme="minorHAnsi"/>
        </w:rPr>
      </w:pPr>
      <w:r w:rsidRPr="001A2F42">
        <w:rPr>
          <w:rFonts w:cstheme="minorHAnsi"/>
        </w:rPr>
        <w:t>congé de solidarité familiale.</w:t>
      </w:r>
    </w:p>
    <w:p w14:paraId="537D8C42" w14:textId="6177FFEF" w:rsidR="007454C4" w:rsidRDefault="007454C4">
      <w:r>
        <w:br w:type="page"/>
      </w:r>
    </w:p>
    <w:p w14:paraId="53A25681" w14:textId="77777777" w:rsidR="00BC5BDE" w:rsidRDefault="00BC5BDE" w:rsidP="00753F29"/>
    <w:p w14:paraId="127AAB34" w14:textId="77777777" w:rsidR="00183DA0" w:rsidRPr="00564FF0" w:rsidRDefault="00183DA0" w:rsidP="00183DA0">
      <w:pPr>
        <w:rPr>
          <w:b/>
          <w:color w:val="002060"/>
        </w:rPr>
      </w:pPr>
    </w:p>
    <w:p w14:paraId="07069A99" w14:textId="77777777" w:rsidR="000E5BB9" w:rsidRDefault="000E5BB9" w:rsidP="00FD5AEA"/>
    <w:p w14:paraId="2365959B" w14:textId="77777777" w:rsidR="000E5BB9" w:rsidRDefault="000E5BB9" w:rsidP="00FD5AEA"/>
    <w:p w14:paraId="0B2933BA" w14:textId="77777777" w:rsidR="000E5BB9" w:rsidRDefault="000E5BB9" w:rsidP="00FD5AEA"/>
    <w:p w14:paraId="46B226EF" w14:textId="77777777" w:rsidR="000E5BB9" w:rsidRDefault="000E5BB9" w:rsidP="00FD5AEA"/>
    <w:p w14:paraId="3B8C79CA" w14:textId="77777777" w:rsidR="000E5BB9" w:rsidRDefault="000E5BB9" w:rsidP="00FD5AEA"/>
    <w:p w14:paraId="1729017E" w14:textId="77777777" w:rsidR="000E5BB9" w:rsidRDefault="000E5BB9" w:rsidP="00FD5AEA"/>
    <w:p w14:paraId="5BC719F6" w14:textId="77777777" w:rsidR="000E5BB9" w:rsidRDefault="000E5BB9" w:rsidP="000E5BB9"/>
    <w:p w14:paraId="128E6DFD" w14:textId="77777777" w:rsidR="00183DA0" w:rsidRPr="00B36683" w:rsidRDefault="00183DA0" w:rsidP="00817253">
      <w:pPr>
        <w:pStyle w:val="Titre1"/>
      </w:pPr>
      <w:bookmarkStart w:id="37" w:name="_Toc74651325"/>
      <w:r>
        <w:t>ACTUALITES JURIDIQUES</w:t>
      </w:r>
      <w:bookmarkEnd w:id="37"/>
    </w:p>
    <w:p w14:paraId="7D1E3329" w14:textId="77777777" w:rsidR="000E5BB9" w:rsidRDefault="000E5BB9" w:rsidP="000E5BB9"/>
    <w:p w14:paraId="0A9DB992" w14:textId="77777777" w:rsidR="000E5BB9" w:rsidRDefault="000E5BB9" w:rsidP="00FD5AEA"/>
    <w:p w14:paraId="5FE4BD86" w14:textId="77777777" w:rsidR="000E5BB9" w:rsidRDefault="000E5BB9" w:rsidP="00FD5AEA"/>
    <w:p w14:paraId="6547B351" w14:textId="77777777" w:rsidR="000E5BB9" w:rsidRDefault="000E5BB9" w:rsidP="00FD5AEA"/>
    <w:p w14:paraId="0AB70B03" w14:textId="77777777" w:rsidR="000E5BB9" w:rsidRDefault="000E5BB9" w:rsidP="00FD5AEA"/>
    <w:p w14:paraId="2B2E2ABD" w14:textId="77777777" w:rsidR="000E5BB9" w:rsidRDefault="000E5BB9">
      <w:r>
        <w:br w:type="page"/>
      </w:r>
    </w:p>
    <w:p w14:paraId="252A546D" w14:textId="77777777" w:rsidR="000E5BB9" w:rsidRDefault="000E5BB9" w:rsidP="00CB57AF">
      <w:pPr>
        <w:jc w:val="center"/>
      </w:pPr>
    </w:p>
    <w:p w14:paraId="63F5A32D" w14:textId="77777777" w:rsidR="00183DA0" w:rsidRPr="00B36683" w:rsidRDefault="00CF0447" w:rsidP="00CB57AF">
      <w:pPr>
        <w:pStyle w:val="Titre2"/>
      </w:pPr>
      <w:bookmarkStart w:id="38" w:name="_Toc74651326"/>
      <w:r>
        <w:t xml:space="preserve">Ce qu’il faut savoir en matière de </w:t>
      </w:r>
      <w:r w:rsidR="00CA7095">
        <w:t>gestion juridique de l’entreprise</w:t>
      </w:r>
      <w:bookmarkEnd w:id="38"/>
    </w:p>
    <w:p w14:paraId="68C59BFA" w14:textId="77777777" w:rsidR="00C26D60" w:rsidRPr="00451FF7" w:rsidRDefault="00C26D60" w:rsidP="00C26D60">
      <w:pPr>
        <w:rPr>
          <w:rFonts w:cstheme="minorHAnsi"/>
        </w:rPr>
      </w:pPr>
    </w:p>
    <w:p w14:paraId="3FB95A2B" w14:textId="4E0AE6CD" w:rsidR="00155FD1" w:rsidRPr="00BA1E49" w:rsidRDefault="00621C51" w:rsidP="00155FD1">
      <w:pPr>
        <w:pStyle w:val="Titre3"/>
      </w:pPr>
      <w:bookmarkStart w:id="39" w:name="_Toc74651327"/>
      <w:r>
        <w:t>Rançongiciels et préconisations de la CNIL</w:t>
      </w:r>
      <w:bookmarkEnd w:id="39"/>
    </w:p>
    <w:p w14:paraId="51DB04F5" w14:textId="25DDAF04" w:rsidR="00155FD1" w:rsidRDefault="00155FD1" w:rsidP="006D3AAB">
      <w:pPr>
        <w:spacing w:before="0" w:after="0"/>
        <w:rPr>
          <w:rFonts w:cstheme="minorHAnsi"/>
        </w:rPr>
      </w:pPr>
      <w:r w:rsidRPr="00E45B66">
        <w:rPr>
          <w:rFonts w:cstheme="minorHAnsi"/>
          <w:b/>
          <w:color w:val="0070C0"/>
        </w:rPr>
        <w:t>Slide</w:t>
      </w:r>
      <w:r>
        <w:rPr>
          <w:rFonts w:cstheme="minorHAnsi"/>
          <w:b/>
          <w:color w:val="0070C0"/>
        </w:rPr>
        <w:t xml:space="preserve"> </w:t>
      </w:r>
      <w:r w:rsidR="006D3AAB">
        <w:rPr>
          <w:rFonts w:cstheme="minorHAnsi"/>
          <w:b/>
          <w:color w:val="0070C0"/>
        </w:rPr>
        <w:t>44</w:t>
      </w:r>
    </w:p>
    <w:p w14:paraId="4919F3EB" w14:textId="05F612ED" w:rsidR="00155FD1" w:rsidRPr="00FB1F30" w:rsidRDefault="00155FD1" w:rsidP="00155FD1">
      <w:pPr>
        <w:rPr>
          <w:rFonts w:cstheme="minorHAnsi"/>
        </w:rPr>
      </w:pPr>
      <w:r w:rsidRPr="00451FF7">
        <w:rPr>
          <w:rFonts w:cstheme="minorHAnsi"/>
        </w:rPr>
        <w:t>Source </w:t>
      </w:r>
      <w:r w:rsidRPr="002545F5">
        <w:rPr>
          <w:rFonts w:cstheme="minorHAnsi"/>
        </w:rPr>
        <w:t xml:space="preserve">: </w:t>
      </w:r>
      <w:r w:rsidR="00FB1F30" w:rsidRPr="00FB1F30">
        <w:rPr>
          <w:rFonts w:cstheme="minorHAnsi"/>
        </w:rPr>
        <w:t>Actualité du site de la CNIL du 23 avril 2021</w:t>
      </w:r>
    </w:p>
    <w:p w14:paraId="03AF5BD0" w14:textId="77777777" w:rsidR="00155FD1" w:rsidRPr="005B73D2" w:rsidRDefault="00155FD1" w:rsidP="00155FD1">
      <w:pPr>
        <w:pStyle w:val="Titre4"/>
        <w:rPr>
          <w:rStyle w:val="txt"/>
        </w:rPr>
      </w:pPr>
      <w:r w:rsidRPr="004858FF">
        <w:rPr>
          <w:rStyle w:val="txt"/>
        </w:rPr>
        <w:t>ce qu’il faut savoir…</w:t>
      </w:r>
    </w:p>
    <w:p w14:paraId="013EBE0E" w14:textId="0CF83915" w:rsidR="00946F69" w:rsidRPr="00946F69" w:rsidRDefault="00946F69" w:rsidP="00946F69">
      <w:pPr>
        <w:rPr>
          <w:rFonts w:cstheme="minorHAnsi"/>
        </w:rPr>
      </w:pPr>
      <w:r w:rsidRPr="00946F69">
        <w:rPr>
          <w:rFonts w:cstheme="minorHAnsi"/>
        </w:rPr>
        <w:t>Les cyberattaques se multiplient depuis ces dernières semaines et peuvent adopter la forme de «</w:t>
      </w:r>
      <w:r w:rsidR="00DB31B0">
        <w:rPr>
          <w:rFonts w:cstheme="minorHAnsi"/>
        </w:rPr>
        <w:t> </w:t>
      </w:r>
      <w:r w:rsidRPr="00946F69">
        <w:rPr>
          <w:rFonts w:cstheme="minorHAnsi"/>
        </w:rPr>
        <w:t>rançongiciels</w:t>
      </w:r>
      <w:r w:rsidR="00DB31B0">
        <w:rPr>
          <w:rFonts w:cstheme="minorHAnsi"/>
        </w:rPr>
        <w:t> </w:t>
      </w:r>
      <w:r w:rsidRPr="00946F69">
        <w:rPr>
          <w:rFonts w:cstheme="minorHAnsi"/>
        </w:rPr>
        <w:t>», c’est-à-dire de programmes malveillants qui mettent l’ordinateur ou le système d’information de la victime hors d’usage et conditionnent son rétablissement au paiement d’une rançon.</w:t>
      </w:r>
    </w:p>
    <w:p w14:paraId="5F0DBDE1" w14:textId="62EB835D" w:rsidR="00946F69" w:rsidRPr="00946F69" w:rsidRDefault="00946F69" w:rsidP="00487B09">
      <w:pPr>
        <w:pStyle w:val="Paragraphedeliste"/>
        <w:numPr>
          <w:ilvl w:val="0"/>
          <w:numId w:val="3"/>
        </w:numPr>
        <w:rPr>
          <w:rFonts w:cstheme="minorHAnsi"/>
          <w:b/>
          <w:bCs/>
          <w:i/>
          <w:iCs/>
          <w:u w:val="single"/>
        </w:rPr>
      </w:pPr>
      <w:r w:rsidRPr="00946F69">
        <w:rPr>
          <w:rFonts w:cstheme="minorHAnsi"/>
          <w:b/>
          <w:bCs/>
          <w:i/>
          <w:iCs/>
          <w:u w:val="single"/>
        </w:rPr>
        <w:t xml:space="preserve">Se prémunir contre les attaques </w:t>
      </w:r>
    </w:p>
    <w:p w14:paraId="2D3A53AE" w14:textId="77777777" w:rsidR="00946F69" w:rsidRPr="00946F69" w:rsidRDefault="00946F69" w:rsidP="00946F69">
      <w:pPr>
        <w:rPr>
          <w:rFonts w:cstheme="minorHAnsi"/>
        </w:rPr>
      </w:pPr>
      <w:r w:rsidRPr="00946F69">
        <w:rPr>
          <w:rFonts w:cstheme="minorHAnsi"/>
        </w:rPr>
        <w:t xml:space="preserve">Selon la CNIL, ce type d’attaque peut être favorisé par divers défauts de sécurité au niveau du système informatique de la victime, parmi lesquels : </w:t>
      </w:r>
    </w:p>
    <w:p w14:paraId="31A91194" w14:textId="7D619E06" w:rsidR="00946F69" w:rsidRPr="00946F69" w:rsidRDefault="00946F69" w:rsidP="00487B09">
      <w:pPr>
        <w:pStyle w:val="Paragraphedeliste"/>
        <w:numPr>
          <w:ilvl w:val="0"/>
          <w:numId w:val="4"/>
        </w:numPr>
        <w:rPr>
          <w:rFonts w:cstheme="minorHAnsi"/>
        </w:rPr>
      </w:pPr>
      <w:r w:rsidRPr="00946F69">
        <w:rPr>
          <w:rFonts w:cstheme="minorHAnsi"/>
        </w:rPr>
        <w:t>le cloisonnement insuffisant du réseau entre les différents serveurs et entre les postes des utilisateurs et les serveurs ;</w:t>
      </w:r>
    </w:p>
    <w:p w14:paraId="3E142CAA" w14:textId="2A8088D7" w:rsidR="00946F69" w:rsidRPr="00946F69" w:rsidRDefault="00946F69" w:rsidP="00487B09">
      <w:pPr>
        <w:pStyle w:val="Paragraphedeliste"/>
        <w:numPr>
          <w:ilvl w:val="0"/>
          <w:numId w:val="4"/>
        </w:numPr>
        <w:rPr>
          <w:rFonts w:cstheme="minorHAnsi"/>
        </w:rPr>
      </w:pPr>
      <w:r w:rsidRPr="00946F69">
        <w:rPr>
          <w:rFonts w:cstheme="minorHAnsi"/>
        </w:rPr>
        <w:t>l’absence de dispositif de détection automatisée de chiffrement massif de fichiers ;</w:t>
      </w:r>
    </w:p>
    <w:p w14:paraId="27023DB1" w14:textId="159D40AB" w:rsidR="00946F69" w:rsidRPr="00946F69" w:rsidRDefault="00946F69" w:rsidP="00487B09">
      <w:pPr>
        <w:pStyle w:val="Paragraphedeliste"/>
        <w:numPr>
          <w:ilvl w:val="0"/>
          <w:numId w:val="4"/>
        </w:numPr>
        <w:rPr>
          <w:rFonts w:cstheme="minorHAnsi"/>
        </w:rPr>
      </w:pPr>
      <w:r w:rsidRPr="00946F69">
        <w:rPr>
          <w:rFonts w:cstheme="minorHAnsi"/>
        </w:rPr>
        <w:t>l’absence de sauvegarde de leurs données par les organismes concernés.</w:t>
      </w:r>
    </w:p>
    <w:p w14:paraId="1C05712A" w14:textId="77777777" w:rsidR="00946F69" w:rsidRPr="00946F69" w:rsidRDefault="00946F69" w:rsidP="00946F69">
      <w:pPr>
        <w:rPr>
          <w:rFonts w:cstheme="minorHAnsi"/>
        </w:rPr>
      </w:pPr>
      <w:r w:rsidRPr="00946F69">
        <w:rPr>
          <w:rFonts w:cstheme="minorHAnsi"/>
        </w:rPr>
        <w:t>Elle préconise donc que le responsable de traitement des données mette en place toutes les mesures techniques et organisationnelles appropriées pour renforcer le niveau de sécurité des données, ainsi que la confidentialité, l’intégralité et la disponibilité des systèmes informatiques.</w:t>
      </w:r>
    </w:p>
    <w:p w14:paraId="17D32523" w14:textId="77777777" w:rsidR="00946F69" w:rsidRPr="00946F69" w:rsidRDefault="00946F69" w:rsidP="00946F69">
      <w:pPr>
        <w:rPr>
          <w:rFonts w:cstheme="minorHAnsi"/>
        </w:rPr>
      </w:pPr>
      <w:r w:rsidRPr="00946F69">
        <w:rPr>
          <w:rFonts w:cstheme="minorHAnsi"/>
        </w:rPr>
        <w:t xml:space="preserve">Ces mesures se matérialisent notamment par : </w:t>
      </w:r>
    </w:p>
    <w:p w14:paraId="1A447121" w14:textId="7E6CC9B7" w:rsidR="00946F69" w:rsidRPr="00946F69" w:rsidRDefault="00946F69" w:rsidP="00487B09">
      <w:pPr>
        <w:pStyle w:val="Paragraphedeliste"/>
        <w:numPr>
          <w:ilvl w:val="0"/>
          <w:numId w:val="5"/>
        </w:numPr>
        <w:rPr>
          <w:rFonts w:cstheme="minorHAnsi"/>
        </w:rPr>
      </w:pPr>
      <w:r w:rsidRPr="00946F69">
        <w:rPr>
          <w:rFonts w:cstheme="minorHAnsi"/>
        </w:rPr>
        <w:t>la réalisation de sauvegardes « hors ligne » des données, afin de permettre la restauration du système informatique sur des bases considérées comme « saines » en cas d’attaques ;</w:t>
      </w:r>
    </w:p>
    <w:p w14:paraId="4EB4C86B" w14:textId="35A6050A" w:rsidR="00946F69" w:rsidRPr="00946F69" w:rsidRDefault="00946F69" w:rsidP="00487B09">
      <w:pPr>
        <w:pStyle w:val="Paragraphedeliste"/>
        <w:numPr>
          <w:ilvl w:val="0"/>
          <w:numId w:val="5"/>
        </w:numPr>
        <w:rPr>
          <w:rFonts w:cstheme="minorHAnsi"/>
        </w:rPr>
      </w:pPr>
      <w:r w:rsidRPr="00946F69">
        <w:rPr>
          <w:rFonts w:cstheme="minorHAnsi"/>
        </w:rPr>
        <w:t>la sensibilisation du personnel aux risques de sécurité et aux bonnes pratiques à suivre dans l’hypothèse d’une cyberattaque, notamment aux fins d’éviter le téléchargement de fichiers malveillants reçus par voie de « hameçonnage », qui est une technique de fraude qui leurre l’utilisateur en vue d’obtenir la communication de ses données personnelles ;</w:t>
      </w:r>
    </w:p>
    <w:p w14:paraId="08798B03" w14:textId="481EC940" w:rsidR="00946F69" w:rsidRPr="00946F69" w:rsidRDefault="00946F69" w:rsidP="00487B09">
      <w:pPr>
        <w:pStyle w:val="Paragraphedeliste"/>
        <w:numPr>
          <w:ilvl w:val="0"/>
          <w:numId w:val="5"/>
        </w:numPr>
        <w:rPr>
          <w:rFonts w:cstheme="minorHAnsi"/>
        </w:rPr>
      </w:pPr>
      <w:r w:rsidRPr="00946F69">
        <w:rPr>
          <w:rFonts w:cstheme="minorHAnsi"/>
        </w:rPr>
        <w:t>la mise en œuvre d’un mécanisme de détection de l’altération massive des fichiers, en particulier par chiffrement.</w:t>
      </w:r>
    </w:p>
    <w:p w14:paraId="39D6B946" w14:textId="77777777" w:rsidR="00946F69" w:rsidRPr="00946F69" w:rsidRDefault="00946F69" w:rsidP="00946F69">
      <w:pPr>
        <w:rPr>
          <w:rFonts w:cstheme="minorHAnsi"/>
        </w:rPr>
      </w:pPr>
    </w:p>
    <w:p w14:paraId="7D8E7B55" w14:textId="79924A5B" w:rsidR="00946F69" w:rsidRPr="00946F69" w:rsidRDefault="00946F69" w:rsidP="00487B09">
      <w:pPr>
        <w:pStyle w:val="Paragraphedeliste"/>
        <w:numPr>
          <w:ilvl w:val="0"/>
          <w:numId w:val="3"/>
        </w:numPr>
        <w:rPr>
          <w:rFonts w:cstheme="minorHAnsi"/>
          <w:b/>
          <w:bCs/>
          <w:i/>
          <w:iCs/>
          <w:u w:val="single"/>
        </w:rPr>
      </w:pPr>
      <w:r w:rsidRPr="00946F69">
        <w:rPr>
          <w:rFonts w:cstheme="minorHAnsi"/>
          <w:b/>
          <w:bCs/>
          <w:i/>
          <w:iCs/>
          <w:u w:val="single"/>
        </w:rPr>
        <w:t xml:space="preserve">En cas d’attaque </w:t>
      </w:r>
    </w:p>
    <w:p w14:paraId="5E1E61F7" w14:textId="77777777" w:rsidR="00946F69" w:rsidRPr="00946F69" w:rsidRDefault="00946F69" w:rsidP="00946F69">
      <w:pPr>
        <w:rPr>
          <w:rFonts w:cstheme="minorHAnsi"/>
        </w:rPr>
      </w:pPr>
      <w:r w:rsidRPr="00946F69">
        <w:rPr>
          <w:rFonts w:cstheme="minorHAnsi"/>
        </w:rPr>
        <w:t xml:space="preserve">En cas de cyberattaque par rançongiciels, la CNIL préconise l’adoption de diverses mesures de protection : </w:t>
      </w:r>
    </w:p>
    <w:p w14:paraId="4EA124C2" w14:textId="7135FACC" w:rsidR="00946F69" w:rsidRPr="00946F69" w:rsidRDefault="00946F69" w:rsidP="00487B09">
      <w:pPr>
        <w:pStyle w:val="Paragraphedeliste"/>
        <w:numPr>
          <w:ilvl w:val="0"/>
          <w:numId w:val="6"/>
        </w:numPr>
        <w:rPr>
          <w:rFonts w:cstheme="minorHAnsi"/>
        </w:rPr>
      </w:pPr>
      <w:r w:rsidRPr="00946F69">
        <w:rPr>
          <w:rFonts w:cstheme="minorHAnsi"/>
        </w:rPr>
        <w:lastRenderedPageBreak/>
        <w:t>l’extinction de l’ensemble des machines susceptibles d’être touchées par l’attaque et l’alerte immédiate du service informatique de la structure ;</w:t>
      </w:r>
    </w:p>
    <w:p w14:paraId="170C1320" w14:textId="4CD0251C" w:rsidR="00946F69" w:rsidRPr="00946F69" w:rsidRDefault="00946F69" w:rsidP="00487B09">
      <w:pPr>
        <w:pStyle w:val="Paragraphedeliste"/>
        <w:numPr>
          <w:ilvl w:val="0"/>
          <w:numId w:val="6"/>
        </w:numPr>
        <w:rPr>
          <w:rFonts w:cstheme="minorHAnsi"/>
        </w:rPr>
      </w:pPr>
      <w:r w:rsidRPr="00946F69">
        <w:rPr>
          <w:rFonts w:cstheme="minorHAnsi"/>
        </w:rPr>
        <w:t>le refus de payer la rançon, puisque ce paiement ne garantit pas la restitution des données devenues illisibles et peut être susceptible de favoriser d’autres attaques de ce type ;</w:t>
      </w:r>
    </w:p>
    <w:p w14:paraId="454674A3" w14:textId="7AF601BA" w:rsidR="00946F69" w:rsidRPr="00946F69" w:rsidRDefault="00946F69" w:rsidP="00487B09">
      <w:pPr>
        <w:pStyle w:val="Paragraphedeliste"/>
        <w:numPr>
          <w:ilvl w:val="0"/>
          <w:numId w:val="6"/>
        </w:numPr>
        <w:rPr>
          <w:rFonts w:cstheme="minorHAnsi"/>
        </w:rPr>
      </w:pPr>
      <w:r w:rsidRPr="00946F69">
        <w:rPr>
          <w:rFonts w:cstheme="minorHAnsi"/>
        </w:rPr>
        <w:t>la constitution d’un dossier de preuves relatives à l’attaque, qui peuvent notamment prendre la forme de copies des postes et serveurs touchés et des fichiers chiffrés ;</w:t>
      </w:r>
    </w:p>
    <w:p w14:paraId="3AF56C07" w14:textId="78126E1A" w:rsidR="00946F69" w:rsidRPr="00946F69" w:rsidRDefault="00946F69" w:rsidP="00487B09">
      <w:pPr>
        <w:pStyle w:val="Paragraphedeliste"/>
        <w:numPr>
          <w:ilvl w:val="0"/>
          <w:numId w:val="6"/>
        </w:numPr>
        <w:rPr>
          <w:rFonts w:cstheme="minorHAnsi"/>
        </w:rPr>
      </w:pPr>
      <w:r w:rsidRPr="00946F69">
        <w:rPr>
          <w:rFonts w:cstheme="minorHAnsi"/>
        </w:rPr>
        <w:t>le dépôt d’une plainte auprès des services de police et de la gendarmerie, et le recours, si le besoin s’en fait sentir, à un avocat spécialisé en la matière.</w:t>
      </w:r>
    </w:p>
    <w:p w14:paraId="743E2813" w14:textId="77777777" w:rsidR="00946F69" w:rsidRPr="00946F69" w:rsidRDefault="00946F69" w:rsidP="00946F69">
      <w:pPr>
        <w:rPr>
          <w:rFonts w:cstheme="minorHAnsi"/>
        </w:rPr>
      </w:pPr>
      <w:r w:rsidRPr="00946F69">
        <w:rPr>
          <w:rFonts w:cstheme="minorHAnsi"/>
        </w:rPr>
        <w:t>Notez que la mise en relation avec un professionnel spécialisé peut s’effectuer via le site cybermalveillance.gouv.fr.</w:t>
      </w:r>
    </w:p>
    <w:p w14:paraId="0F945173" w14:textId="25E2E0F2" w:rsidR="00946F69" w:rsidRPr="00946F69" w:rsidRDefault="00946F69" w:rsidP="00487B09">
      <w:pPr>
        <w:pStyle w:val="Paragraphedeliste"/>
        <w:numPr>
          <w:ilvl w:val="0"/>
          <w:numId w:val="3"/>
        </w:numPr>
        <w:rPr>
          <w:rFonts w:cstheme="minorHAnsi"/>
          <w:b/>
          <w:bCs/>
          <w:i/>
          <w:iCs/>
          <w:u w:val="single"/>
        </w:rPr>
      </w:pPr>
      <w:r w:rsidRPr="00946F69">
        <w:rPr>
          <w:rFonts w:cstheme="minorHAnsi"/>
          <w:b/>
          <w:bCs/>
          <w:i/>
          <w:iCs/>
          <w:u w:val="single"/>
        </w:rPr>
        <w:t xml:space="preserve">L’alerte à la CNIL </w:t>
      </w:r>
    </w:p>
    <w:p w14:paraId="480555A9" w14:textId="77777777" w:rsidR="00946F69" w:rsidRPr="00946F69" w:rsidRDefault="00946F69" w:rsidP="00946F69">
      <w:pPr>
        <w:rPr>
          <w:rFonts w:cstheme="minorHAnsi"/>
        </w:rPr>
      </w:pPr>
      <w:r w:rsidRPr="00946F69">
        <w:rPr>
          <w:rFonts w:cstheme="minorHAnsi"/>
        </w:rPr>
        <w:t>Dès lors qu’il existe un risque pour la vie privée des personnes, il est impératif de notifier à la CNIL la violation des données informatiques d’un système, que celle-ci soit d’origine accidentelle ou illicite.</w:t>
      </w:r>
    </w:p>
    <w:p w14:paraId="0FB406AB" w14:textId="77777777" w:rsidR="00946F69" w:rsidRPr="00946F69" w:rsidRDefault="00946F69" w:rsidP="00946F69">
      <w:pPr>
        <w:rPr>
          <w:rFonts w:cstheme="minorHAnsi"/>
        </w:rPr>
      </w:pPr>
      <w:r w:rsidRPr="00946F69">
        <w:rPr>
          <w:rFonts w:cstheme="minorHAnsi"/>
        </w:rPr>
        <w:t xml:space="preserve">Cette notification doit être faite dans les meilleurs délais, et au plus tard 72 heures après en avoir pris connaissance. </w:t>
      </w:r>
    </w:p>
    <w:p w14:paraId="08709289" w14:textId="77777777" w:rsidR="00946F69" w:rsidRPr="00946F69" w:rsidRDefault="00946F69" w:rsidP="00946F69">
      <w:pPr>
        <w:rPr>
          <w:rFonts w:cstheme="minorHAnsi"/>
        </w:rPr>
      </w:pPr>
      <w:r w:rsidRPr="00946F69">
        <w:rPr>
          <w:rFonts w:cstheme="minorHAnsi"/>
        </w:rPr>
        <w:t>Elle a pour but de permettre à la CNIL de déterminer si les personnes concernées par cette violation de données doivent être averties de l’attaque afin d’être en mesure de prendre les mesures appropriées pour en limiter les effets.</w:t>
      </w:r>
    </w:p>
    <w:p w14:paraId="61B23F06" w14:textId="77777777" w:rsidR="00946F69" w:rsidRPr="00946F69" w:rsidRDefault="00946F69" w:rsidP="00946F69">
      <w:pPr>
        <w:rPr>
          <w:rFonts w:cstheme="minorHAnsi"/>
        </w:rPr>
      </w:pPr>
      <w:r w:rsidRPr="00946F69">
        <w:rPr>
          <w:rFonts w:cstheme="minorHAnsi"/>
        </w:rPr>
        <w:t xml:space="preserve">L’organisme victime de l’attaque doit donc s’astreindre au respect des étapes suivantes : </w:t>
      </w:r>
    </w:p>
    <w:p w14:paraId="0E28BE4C" w14:textId="25639840" w:rsidR="00946F69" w:rsidRPr="00946F69" w:rsidRDefault="00946F69" w:rsidP="00487B09">
      <w:pPr>
        <w:pStyle w:val="Paragraphedeliste"/>
        <w:numPr>
          <w:ilvl w:val="0"/>
          <w:numId w:val="7"/>
        </w:numPr>
        <w:rPr>
          <w:rFonts w:cstheme="minorHAnsi"/>
        </w:rPr>
      </w:pPr>
      <w:r w:rsidRPr="00946F69">
        <w:rPr>
          <w:rFonts w:cstheme="minorHAnsi"/>
        </w:rPr>
        <w:t>consigner l’incident dans le registre des violations des données ;</w:t>
      </w:r>
    </w:p>
    <w:p w14:paraId="4C19196A" w14:textId="575379F7" w:rsidR="00946F69" w:rsidRPr="00946F69" w:rsidRDefault="00946F69" w:rsidP="00487B09">
      <w:pPr>
        <w:pStyle w:val="Paragraphedeliste"/>
        <w:numPr>
          <w:ilvl w:val="0"/>
          <w:numId w:val="7"/>
        </w:numPr>
        <w:rPr>
          <w:rFonts w:cstheme="minorHAnsi"/>
        </w:rPr>
      </w:pPr>
      <w:r w:rsidRPr="00946F69">
        <w:rPr>
          <w:rFonts w:cstheme="minorHAnsi"/>
        </w:rPr>
        <w:t>notifier l’incident auprès de la CNIL en cas de risque pour les droits des personnes concernées ou s’il s’agit d’une violation de données sensibles (données de santé, etc.) ;</w:t>
      </w:r>
    </w:p>
    <w:p w14:paraId="3A1E8806" w14:textId="438D802C" w:rsidR="00155FD1" w:rsidRPr="00946F69" w:rsidRDefault="00946F69" w:rsidP="00487B09">
      <w:pPr>
        <w:pStyle w:val="Paragraphedeliste"/>
        <w:numPr>
          <w:ilvl w:val="0"/>
          <w:numId w:val="7"/>
        </w:numPr>
        <w:rPr>
          <w:rFonts w:cstheme="minorHAnsi"/>
        </w:rPr>
      </w:pPr>
      <w:r w:rsidRPr="00946F69">
        <w:rPr>
          <w:rFonts w:cstheme="minorHAnsi"/>
        </w:rPr>
        <w:t>informer les personnes concernées de l’attaque en cas de risque élevé, notamment au vu de la nature de la violation et de ses conséquences possibles et leur communiquer l’ensemble des mesures prises pour y remédier et en limiter les conséquences.</w:t>
      </w:r>
    </w:p>
    <w:p w14:paraId="1C5ECC89" w14:textId="2420A843" w:rsidR="00B77BF8" w:rsidRDefault="00B77BF8" w:rsidP="00BE5D1F"/>
    <w:p w14:paraId="27BACB79" w14:textId="4A65FA9F" w:rsidR="00621C51" w:rsidRPr="00BA1E49" w:rsidRDefault="00EC56C6" w:rsidP="00621C51">
      <w:pPr>
        <w:pStyle w:val="Titre3"/>
      </w:pPr>
      <w:bookmarkStart w:id="40" w:name="_Toc74651328"/>
      <w:r>
        <w:t>RGPD et analyse d’impact</w:t>
      </w:r>
      <w:bookmarkEnd w:id="40"/>
    </w:p>
    <w:p w14:paraId="1C3A012A" w14:textId="1172F1C9" w:rsidR="00621C51" w:rsidRDefault="00621C51" w:rsidP="006D3AAB">
      <w:pPr>
        <w:spacing w:before="0" w:after="0"/>
        <w:rPr>
          <w:rFonts w:cstheme="minorHAnsi"/>
        </w:rPr>
      </w:pPr>
      <w:r w:rsidRPr="00E45B66">
        <w:rPr>
          <w:rFonts w:cstheme="minorHAnsi"/>
          <w:b/>
          <w:color w:val="0070C0"/>
        </w:rPr>
        <w:t>Slide</w:t>
      </w:r>
      <w:r>
        <w:rPr>
          <w:rFonts w:cstheme="minorHAnsi"/>
          <w:b/>
          <w:color w:val="0070C0"/>
        </w:rPr>
        <w:t xml:space="preserve"> </w:t>
      </w:r>
      <w:r w:rsidR="006D3AAB">
        <w:rPr>
          <w:rFonts w:cstheme="minorHAnsi"/>
          <w:b/>
          <w:color w:val="0070C0"/>
        </w:rPr>
        <w:t>45</w:t>
      </w:r>
    </w:p>
    <w:p w14:paraId="784B6CAA" w14:textId="021EB4CE" w:rsidR="00621C51" w:rsidRPr="00451FF7" w:rsidRDefault="00621C51" w:rsidP="00621C51">
      <w:pPr>
        <w:rPr>
          <w:rFonts w:cstheme="minorHAnsi"/>
        </w:rPr>
      </w:pPr>
      <w:r w:rsidRPr="00451FF7">
        <w:rPr>
          <w:rFonts w:cstheme="minorHAnsi"/>
        </w:rPr>
        <w:t>Source</w:t>
      </w:r>
      <w:r w:rsidR="00BD1193">
        <w:rPr>
          <w:rFonts w:cstheme="minorHAnsi"/>
        </w:rPr>
        <w:t>s</w:t>
      </w:r>
      <w:r w:rsidRPr="00451FF7">
        <w:rPr>
          <w:rFonts w:cstheme="minorHAnsi"/>
        </w:rPr>
        <w:t> </w:t>
      </w:r>
      <w:r w:rsidRPr="002545F5">
        <w:rPr>
          <w:rFonts w:cstheme="minorHAnsi"/>
        </w:rPr>
        <w:t xml:space="preserve">: </w:t>
      </w:r>
    </w:p>
    <w:p w14:paraId="2631404B" w14:textId="33707F99" w:rsidR="00BD1193" w:rsidRDefault="00BD1193" w:rsidP="00D54DDF">
      <w:pPr>
        <w:pStyle w:val="Paragraphedeliste"/>
        <w:numPr>
          <w:ilvl w:val="0"/>
          <w:numId w:val="43"/>
        </w:numPr>
      </w:pPr>
      <w:r>
        <w:t xml:space="preserve">Règlement (UE) 2016/679 du Parlement européen et du Conseil du 27 avril 2016 relatif à la protection des personnes physiques à l'égard du traitement des données à caractère personnel et à la libre circulation de ces données, et abrogeant la directive 95/46/CE, article 35 </w:t>
      </w:r>
    </w:p>
    <w:p w14:paraId="0094AFBF" w14:textId="3C5352A5" w:rsidR="00621C51" w:rsidRDefault="00BD1193" w:rsidP="00D54DDF">
      <w:pPr>
        <w:pStyle w:val="Paragraphedeliste"/>
        <w:numPr>
          <w:ilvl w:val="0"/>
          <w:numId w:val="43"/>
        </w:numPr>
      </w:pPr>
      <w:r>
        <w:t>Cnil.fr, 22 septembre 2019 : Ce qu'il faut savoir sur l’analyse d’impact relative à la protection des données (AIPD)</w:t>
      </w:r>
    </w:p>
    <w:p w14:paraId="6326DAC5" w14:textId="77777777" w:rsidR="00621C51" w:rsidRPr="005B73D2" w:rsidRDefault="00621C51" w:rsidP="00621C51">
      <w:pPr>
        <w:pStyle w:val="Titre4"/>
        <w:rPr>
          <w:rStyle w:val="txt"/>
        </w:rPr>
      </w:pPr>
      <w:r w:rsidRPr="004858FF">
        <w:rPr>
          <w:rStyle w:val="txt"/>
        </w:rPr>
        <w:t>ce qu’il faut savoir…</w:t>
      </w:r>
    </w:p>
    <w:p w14:paraId="4A1903F0" w14:textId="77777777" w:rsidR="00D54DDF" w:rsidRPr="00D54DDF" w:rsidRDefault="00D54DDF" w:rsidP="00D54DDF">
      <w:pPr>
        <w:rPr>
          <w:rFonts w:cstheme="minorHAnsi"/>
        </w:rPr>
      </w:pPr>
      <w:r w:rsidRPr="00D54DDF">
        <w:rPr>
          <w:rFonts w:cstheme="minorHAnsi"/>
        </w:rPr>
        <w:t xml:space="preserve">Pour rappel, en matière de protection des données, les responsables de traitement de données doivent, en principe, effectuer une analyse de l’impact des opérations de traitement envisagées sur la protection des données à caractère personnel (AIPD), lorsqu’elles peuvent engendrer un risque élevé pour les droits et libertés des personnes, notamment : </w:t>
      </w:r>
    </w:p>
    <w:p w14:paraId="3CB8E182" w14:textId="2901A946" w:rsidR="00D54DDF" w:rsidRPr="00D54DDF" w:rsidRDefault="00D54DDF" w:rsidP="00D54DDF">
      <w:pPr>
        <w:pStyle w:val="Paragraphedeliste"/>
        <w:numPr>
          <w:ilvl w:val="0"/>
          <w:numId w:val="6"/>
        </w:numPr>
        <w:rPr>
          <w:rFonts w:cstheme="minorHAnsi"/>
        </w:rPr>
      </w:pPr>
      <w:r w:rsidRPr="00D54DDF">
        <w:rPr>
          <w:rFonts w:cstheme="minorHAnsi"/>
        </w:rPr>
        <w:lastRenderedPageBreak/>
        <w:t xml:space="preserve">par le recours aux nouvelles technologies ; </w:t>
      </w:r>
    </w:p>
    <w:p w14:paraId="1BB01178" w14:textId="16C7F819" w:rsidR="00D54DDF" w:rsidRPr="00D54DDF" w:rsidRDefault="00D54DDF" w:rsidP="00D54DDF">
      <w:pPr>
        <w:pStyle w:val="Paragraphedeliste"/>
        <w:numPr>
          <w:ilvl w:val="0"/>
          <w:numId w:val="6"/>
        </w:numPr>
        <w:rPr>
          <w:rFonts w:cstheme="minorHAnsi"/>
        </w:rPr>
      </w:pPr>
      <w:r w:rsidRPr="00D54DDF">
        <w:rPr>
          <w:rFonts w:cstheme="minorHAnsi"/>
        </w:rPr>
        <w:t xml:space="preserve">compte tenu de la nature, du contexte et des finalités du traitement. </w:t>
      </w:r>
    </w:p>
    <w:p w14:paraId="4C9AE8E2" w14:textId="77777777" w:rsidR="00D54DDF" w:rsidRPr="00D54DDF" w:rsidRDefault="00D54DDF" w:rsidP="00D54DDF">
      <w:pPr>
        <w:rPr>
          <w:rFonts w:cstheme="minorHAnsi"/>
        </w:rPr>
      </w:pPr>
      <w:r w:rsidRPr="00D54DDF">
        <w:rPr>
          <w:rFonts w:cstheme="minorHAnsi"/>
        </w:rPr>
        <w:t xml:space="preserve">Ainsi, une AIPD est requise dans les cas suivants : </w:t>
      </w:r>
    </w:p>
    <w:p w14:paraId="6DE4FA18" w14:textId="368E81AB" w:rsidR="00D54DDF" w:rsidRPr="00D54DDF" w:rsidRDefault="00D54DDF" w:rsidP="00D54DDF">
      <w:pPr>
        <w:pStyle w:val="Paragraphedeliste"/>
        <w:numPr>
          <w:ilvl w:val="0"/>
          <w:numId w:val="6"/>
        </w:numPr>
        <w:rPr>
          <w:rFonts w:cstheme="minorHAnsi"/>
        </w:rPr>
      </w:pPr>
      <w:r w:rsidRPr="00D54DDF">
        <w:rPr>
          <w:rFonts w:cstheme="minorHAnsi"/>
        </w:rPr>
        <w:t>évaluation systématique et approfondie d'aspects personnels concernant des personnes physiques fondée sur un traitement automatisé, y compris le profilage, sur la base de laquelle sont prises des décisions produisant des effets juridiques à l'égard de ces personnes ou les affectant de manière significative ;</w:t>
      </w:r>
    </w:p>
    <w:p w14:paraId="045B5C50" w14:textId="28E8BDC5" w:rsidR="00D54DDF" w:rsidRPr="00D54DDF" w:rsidRDefault="00D54DDF" w:rsidP="00D54DDF">
      <w:pPr>
        <w:pStyle w:val="Paragraphedeliste"/>
        <w:numPr>
          <w:ilvl w:val="0"/>
          <w:numId w:val="6"/>
        </w:numPr>
        <w:rPr>
          <w:rFonts w:cstheme="minorHAnsi"/>
        </w:rPr>
      </w:pPr>
      <w:r w:rsidRPr="00D54DDF">
        <w:rPr>
          <w:rFonts w:cstheme="minorHAnsi"/>
        </w:rPr>
        <w:t>traitement à grande échelle de catégories particulières de données, ou de données à caractère personnel relatives à des condamnations pénales et à des infractions ;</w:t>
      </w:r>
    </w:p>
    <w:p w14:paraId="3FF12AA0" w14:textId="7A6B8EB1" w:rsidR="00D54DDF" w:rsidRPr="00D54DDF" w:rsidRDefault="00D54DDF" w:rsidP="00D54DDF">
      <w:pPr>
        <w:pStyle w:val="Paragraphedeliste"/>
        <w:numPr>
          <w:ilvl w:val="0"/>
          <w:numId w:val="6"/>
        </w:numPr>
        <w:rPr>
          <w:rFonts w:cstheme="minorHAnsi"/>
        </w:rPr>
      </w:pPr>
      <w:r w:rsidRPr="00D54DDF">
        <w:rPr>
          <w:rFonts w:cstheme="minorHAnsi"/>
        </w:rPr>
        <w:t>surveillance systématique à grande échelle d'une zone accessible au public.</w:t>
      </w:r>
    </w:p>
    <w:p w14:paraId="21FD137E" w14:textId="77777777" w:rsidR="00D54DDF" w:rsidRPr="00D54DDF" w:rsidRDefault="00D54DDF" w:rsidP="00D54DDF">
      <w:pPr>
        <w:rPr>
          <w:rFonts w:cstheme="minorHAnsi"/>
        </w:rPr>
      </w:pPr>
      <w:r w:rsidRPr="00D54DDF">
        <w:rPr>
          <w:rFonts w:cstheme="minorHAnsi"/>
        </w:rPr>
        <w:t xml:space="preserve">La liste des opérations de traitement pour lesquelles une AIPD est requise est disponible auprès de la CNIL. </w:t>
      </w:r>
    </w:p>
    <w:p w14:paraId="04E19AAD" w14:textId="77777777" w:rsidR="00D54DDF" w:rsidRPr="00D54DDF" w:rsidRDefault="00D54DDF" w:rsidP="00D54DDF">
      <w:pPr>
        <w:rPr>
          <w:rFonts w:cstheme="minorHAnsi"/>
        </w:rPr>
      </w:pPr>
      <w:r w:rsidRPr="00D54DDF">
        <w:rPr>
          <w:rFonts w:cstheme="minorHAnsi"/>
        </w:rPr>
        <w:t xml:space="preserve">Cette AIPD doit, au minimum comporter : </w:t>
      </w:r>
    </w:p>
    <w:p w14:paraId="5DF7806A" w14:textId="238A772C" w:rsidR="00D54DDF" w:rsidRPr="00D54DDF" w:rsidRDefault="00D54DDF" w:rsidP="00D54DDF">
      <w:pPr>
        <w:pStyle w:val="Paragraphedeliste"/>
        <w:numPr>
          <w:ilvl w:val="0"/>
          <w:numId w:val="5"/>
        </w:numPr>
        <w:rPr>
          <w:rFonts w:cstheme="minorHAnsi"/>
        </w:rPr>
      </w:pPr>
      <w:r w:rsidRPr="00D54DDF">
        <w:rPr>
          <w:rFonts w:cstheme="minorHAnsi"/>
        </w:rPr>
        <w:t>une description systématique des opérations de traitement envisagées et des finalités du traitement, y compris, le cas échéant, l'intérêt légitime poursuivi par le responsable du traitement ;</w:t>
      </w:r>
    </w:p>
    <w:p w14:paraId="7B064ABB" w14:textId="58BA6C02" w:rsidR="00D54DDF" w:rsidRPr="00D54DDF" w:rsidRDefault="00D54DDF" w:rsidP="00D54DDF">
      <w:pPr>
        <w:pStyle w:val="Paragraphedeliste"/>
        <w:numPr>
          <w:ilvl w:val="0"/>
          <w:numId w:val="5"/>
        </w:numPr>
        <w:rPr>
          <w:rFonts w:cstheme="minorHAnsi"/>
        </w:rPr>
      </w:pPr>
      <w:r w:rsidRPr="00D54DDF">
        <w:rPr>
          <w:rFonts w:cstheme="minorHAnsi"/>
        </w:rPr>
        <w:t>une évaluation de la nécessité et de la proportionnalité des opérations de traitement au regard des finalités ;</w:t>
      </w:r>
    </w:p>
    <w:p w14:paraId="3B6DDB2D" w14:textId="53887BEF" w:rsidR="00D54DDF" w:rsidRPr="00D54DDF" w:rsidRDefault="00D54DDF" w:rsidP="00D54DDF">
      <w:pPr>
        <w:pStyle w:val="Paragraphedeliste"/>
        <w:numPr>
          <w:ilvl w:val="0"/>
          <w:numId w:val="5"/>
        </w:numPr>
        <w:rPr>
          <w:rFonts w:cstheme="minorHAnsi"/>
        </w:rPr>
      </w:pPr>
      <w:r w:rsidRPr="00D54DDF">
        <w:rPr>
          <w:rFonts w:cstheme="minorHAnsi"/>
        </w:rPr>
        <w:t xml:space="preserve">une évaluation des risques pour les droits et libertés des personnes concernées ; </w:t>
      </w:r>
    </w:p>
    <w:p w14:paraId="007E0EEA" w14:textId="0657DDDD" w:rsidR="00D54DDF" w:rsidRPr="00D54DDF" w:rsidRDefault="00D54DDF" w:rsidP="00D54DDF">
      <w:pPr>
        <w:pStyle w:val="Paragraphedeliste"/>
        <w:numPr>
          <w:ilvl w:val="0"/>
          <w:numId w:val="5"/>
        </w:numPr>
        <w:rPr>
          <w:rFonts w:cstheme="minorHAnsi"/>
        </w:rPr>
      </w:pPr>
      <w:r w:rsidRPr="00D54DDF">
        <w:rPr>
          <w:rFonts w:cstheme="minorHAnsi"/>
        </w:rPr>
        <w:t>les mesures envisagées pour faire face aux risques, y compris les garanties, mesures et mécanismes de sécurité visant à assurer la protection des données à caractère personnel et à apporter la preuve du respect du RGPD (Règlement européen pour la protection des données), compte tenu des droits et des intérêts légitimes des personnes concernées et des autres personnes affectées.</w:t>
      </w:r>
    </w:p>
    <w:p w14:paraId="7F0ED802" w14:textId="77777777" w:rsidR="00D54DDF" w:rsidRPr="00D54DDF" w:rsidRDefault="00D54DDF" w:rsidP="00D54DDF">
      <w:pPr>
        <w:rPr>
          <w:rFonts w:cstheme="minorHAnsi"/>
        </w:rPr>
      </w:pPr>
    </w:p>
    <w:p w14:paraId="7781BCFC" w14:textId="13D52EB4" w:rsidR="00D54DDF" w:rsidRPr="00D54DDF" w:rsidRDefault="00D54DDF" w:rsidP="00D54DDF">
      <w:pPr>
        <w:pStyle w:val="Paragraphedeliste"/>
        <w:numPr>
          <w:ilvl w:val="0"/>
          <w:numId w:val="44"/>
        </w:numPr>
        <w:rPr>
          <w:rFonts w:cstheme="minorHAnsi"/>
          <w:b/>
          <w:bCs/>
          <w:i/>
          <w:iCs/>
          <w:u w:val="single"/>
        </w:rPr>
      </w:pPr>
      <w:r w:rsidRPr="00D54DDF">
        <w:rPr>
          <w:rFonts w:cstheme="minorHAnsi"/>
          <w:b/>
          <w:bCs/>
          <w:i/>
          <w:iCs/>
          <w:u w:val="single"/>
        </w:rPr>
        <w:t xml:space="preserve">Une dispense ? </w:t>
      </w:r>
    </w:p>
    <w:p w14:paraId="473C0975" w14:textId="77777777" w:rsidR="00D54DDF" w:rsidRPr="00D54DDF" w:rsidRDefault="00D54DDF" w:rsidP="00D54DDF">
      <w:pPr>
        <w:rPr>
          <w:rFonts w:cstheme="minorHAnsi"/>
        </w:rPr>
      </w:pPr>
      <w:r w:rsidRPr="00D54DDF">
        <w:rPr>
          <w:rFonts w:cstheme="minorHAnsi"/>
        </w:rPr>
        <w:t xml:space="preserve">La réalisation d’une telle analyse d’impact, en principe obligatoire depuis le 25 mai 2018, n’était cependant pas exigée dans certains cas : </w:t>
      </w:r>
    </w:p>
    <w:p w14:paraId="6543955C" w14:textId="6E7E35C5" w:rsidR="00D54DDF" w:rsidRPr="00D54DDF" w:rsidRDefault="00D54DDF" w:rsidP="00D54DDF">
      <w:pPr>
        <w:pStyle w:val="Paragraphedeliste"/>
        <w:numPr>
          <w:ilvl w:val="0"/>
          <w:numId w:val="45"/>
        </w:numPr>
        <w:rPr>
          <w:rFonts w:cstheme="minorHAnsi"/>
        </w:rPr>
      </w:pPr>
      <w:r w:rsidRPr="00D54DDF">
        <w:rPr>
          <w:rFonts w:cstheme="minorHAnsi"/>
        </w:rPr>
        <w:t>traitements ayant fait l’objet d’une formalité préalable auprès de la CNIL avant le 25 mai 2018, ou qui étaient dispensés de formalité ;</w:t>
      </w:r>
    </w:p>
    <w:p w14:paraId="6CC5CBAD" w14:textId="64C73B84" w:rsidR="00D54DDF" w:rsidRPr="00D54DDF" w:rsidRDefault="00D54DDF" w:rsidP="00D54DDF">
      <w:pPr>
        <w:pStyle w:val="Paragraphedeliste"/>
        <w:numPr>
          <w:ilvl w:val="0"/>
          <w:numId w:val="45"/>
        </w:numPr>
        <w:rPr>
          <w:rFonts w:cstheme="minorHAnsi"/>
        </w:rPr>
      </w:pPr>
      <w:r w:rsidRPr="00D54DDF">
        <w:rPr>
          <w:rFonts w:cstheme="minorHAnsi"/>
        </w:rPr>
        <w:t>traitements ayant été consignés au registre d’un correspondant « informatique et libertés ».</w:t>
      </w:r>
    </w:p>
    <w:p w14:paraId="7B23A335" w14:textId="77777777" w:rsidR="00D54DDF" w:rsidRPr="00D54DDF" w:rsidRDefault="00D54DDF" w:rsidP="00D54DDF">
      <w:pPr>
        <w:rPr>
          <w:rFonts w:cstheme="minorHAnsi"/>
        </w:rPr>
      </w:pPr>
      <w:r w:rsidRPr="00D54DDF">
        <w:rPr>
          <w:rFonts w:cstheme="minorHAnsi"/>
        </w:rPr>
        <w:t xml:space="preserve">Cette dispense, d’une durée de 3 ans, arrive à sa fin. </w:t>
      </w:r>
    </w:p>
    <w:p w14:paraId="77410409" w14:textId="21390FBB" w:rsidR="00621C51" w:rsidRPr="00451FF7" w:rsidRDefault="00D54DDF" w:rsidP="00D54DDF">
      <w:pPr>
        <w:rPr>
          <w:rFonts w:cstheme="minorHAnsi"/>
        </w:rPr>
      </w:pPr>
      <w:r w:rsidRPr="00D54DDF">
        <w:rPr>
          <w:rFonts w:cstheme="minorHAnsi"/>
        </w:rPr>
        <w:t>En conséquence, à compter du 25 mai 2021, toute personne responsable du traitement des données devra effectuer cette analyse si le traitement envisagé est susceptible d’engendrer un risque élevé pour les droits et libertés des personnes.</w:t>
      </w:r>
    </w:p>
    <w:p w14:paraId="2FE32F58" w14:textId="77777777" w:rsidR="00621C51" w:rsidRDefault="00621C51" w:rsidP="00621C51"/>
    <w:p w14:paraId="399C1551" w14:textId="56F76135" w:rsidR="00621C51" w:rsidRPr="00BA1E49" w:rsidRDefault="007D7EC8" w:rsidP="00621C51">
      <w:pPr>
        <w:pStyle w:val="Titre3"/>
      </w:pPr>
      <w:bookmarkStart w:id="41" w:name="_Toc74651329"/>
      <w:r>
        <w:t>Pratiques anticoncur</w:t>
      </w:r>
      <w:r w:rsidR="00805DF2">
        <w:t>r</w:t>
      </w:r>
      <w:r>
        <w:t>entielles et procédure de clémence</w:t>
      </w:r>
      <w:bookmarkEnd w:id="41"/>
    </w:p>
    <w:p w14:paraId="489BA156" w14:textId="04A7EEB3" w:rsidR="00621C51" w:rsidRDefault="00621C51" w:rsidP="006D3AAB">
      <w:pPr>
        <w:spacing w:before="0" w:after="0"/>
        <w:rPr>
          <w:rFonts w:cstheme="minorHAnsi"/>
        </w:rPr>
      </w:pPr>
      <w:r w:rsidRPr="00E45B66">
        <w:rPr>
          <w:rFonts w:cstheme="minorHAnsi"/>
          <w:b/>
          <w:color w:val="0070C0"/>
        </w:rPr>
        <w:t>Slide</w:t>
      </w:r>
      <w:r>
        <w:rPr>
          <w:rFonts w:cstheme="minorHAnsi"/>
          <w:b/>
          <w:color w:val="0070C0"/>
        </w:rPr>
        <w:t xml:space="preserve"> </w:t>
      </w:r>
      <w:r w:rsidR="006D3AAB">
        <w:rPr>
          <w:rFonts w:cstheme="minorHAnsi"/>
          <w:b/>
          <w:color w:val="0070C0"/>
        </w:rPr>
        <w:t>46</w:t>
      </w:r>
    </w:p>
    <w:p w14:paraId="4AEAFBCB" w14:textId="5F3BDD6E" w:rsidR="00621C51" w:rsidRPr="00A33398" w:rsidRDefault="00621C51" w:rsidP="00621C51">
      <w:pPr>
        <w:rPr>
          <w:rFonts w:cstheme="minorHAnsi"/>
        </w:rPr>
      </w:pPr>
      <w:r w:rsidRPr="00451FF7">
        <w:rPr>
          <w:rFonts w:cstheme="minorHAnsi"/>
        </w:rPr>
        <w:t>Source </w:t>
      </w:r>
      <w:r w:rsidRPr="002545F5">
        <w:rPr>
          <w:rFonts w:cstheme="minorHAnsi"/>
        </w:rPr>
        <w:t xml:space="preserve">: </w:t>
      </w:r>
      <w:r w:rsidR="00A33398" w:rsidRPr="00A33398">
        <w:rPr>
          <w:rFonts w:cstheme="minorHAnsi"/>
        </w:rPr>
        <w:t>Décret n° 2021-568 du 10 mai 2021 relatif à la procédure d'exonération totale ou partielle des sanctions pécuniaires prévue au IV de l'article L. 464-2 du code de commerce</w:t>
      </w:r>
    </w:p>
    <w:p w14:paraId="33CA8200" w14:textId="77777777" w:rsidR="00621C51" w:rsidRPr="005B73D2" w:rsidRDefault="00621C51" w:rsidP="00621C51">
      <w:pPr>
        <w:pStyle w:val="Titre4"/>
        <w:rPr>
          <w:rStyle w:val="txt"/>
        </w:rPr>
      </w:pPr>
      <w:r w:rsidRPr="004858FF">
        <w:rPr>
          <w:rStyle w:val="txt"/>
        </w:rPr>
        <w:t>ce qu’il faut savoir…</w:t>
      </w:r>
    </w:p>
    <w:p w14:paraId="167DE3FA" w14:textId="77777777" w:rsidR="00BA5ACE" w:rsidRPr="00BA5ACE" w:rsidRDefault="00BA5ACE" w:rsidP="00BA5ACE">
      <w:pPr>
        <w:rPr>
          <w:rFonts w:cstheme="minorHAnsi"/>
        </w:rPr>
      </w:pPr>
      <w:r w:rsidRPr="00BA5ACE">
        <w:rPr>
          <w:rFonts w:cstheme="minorHAnsi"/>
        </w:rPr>
        <w:lastRenderedPageBreak/>
        <w:t>Certaines sociétés concluent des accords entre elles pour empêcher, restreindre ou fausser le jeu de la concurrence sur un marché de produits ou de services déterminés.</w:t>
      </w:r>
    </w:p>
    <w:p w14:paraId="769FAEA1" w14:textId="77777777" w:rsidR="00BA5ACE" w:rsidRPr="00BA5ACE" w:rsidRDefault="00BA5ACE" w:rsidP="00BA5ACE">
      <w:pPr>
        <w:rPr>
          <w:rFonts w:cstheme="minorHAnsi"/>
        </w:rPr>
      </w:pPr>
      <w:r w:rsidRPr="00BA5ACE">
        <w:rPr>
          <w:rFonts w:cstheme="minorHAnsi"/>
        </w:rPr>
        <w:t xml:space="preserve">En principe, ce type de pratique peut être sanctionné par une amende pouvant aller jusqu’à 10 % du montant du chiffre d’affaires (mondial) hors taxes de la société. </w:t>
      </w:r>
    </w:p>
    <w:p w14:paraId="66FB5B42" w14:textId="77777777" w:rsidR="00BA5ACE" w:rsidRPr="00BA5ACE" w:rsidRDefault="00BA5ACE" w:rsidP="00BA5ACE">
      <w:pPr>
        <w:rPr>
          <w:rFonts w:cstheme="minorHAnsi"/>
        </w:rPr>
      </w:pPr>
      <w:r w:rsidRPr="00BA5ACE">
        <w:rPr>
          <w:rFonts w:cstheme="minorHAnsi"/>
        </w:rPr>
        <w:t>Toutefois, pour inciter une société à dénoncer une entente à laquelle elle participe auprès de l’autorité de la concurrence, une procédure appelée procédure de clémence a été mise en place, permettant :</w:t>
      </w:r>
    </w:p>
    <w:p w14:paraId="53E8EE15" w14:textId="2E3670BC" w:rsidR="00BA5ACE" w:rsidRPr="00BA5ACE" w:rsidRDefault="00BA5ACE" w:rsidP="00BA5ACE">
      <w:pPr>
        <w:pStyle w:val="Paragraphedeliste"/>
        <w:numPr>
          <w:ilvl w:val="0"/>
          <w:numId w:val="65"/>
        </w:numPr>
        <w:rPr>
          <w:rFonts w:cstheme="minorHAnsi"/>
        </w:rPr>
      </w:pPr>
      <w:r w:rsidRPr="00BA5ACE">
        <w:rPr>
          <w:rFonts w:cstheme="minorHAnsi"/>
        </w:rPr>
        <w:t>une exonération totale de l’amende encourue pour la société qui dénonce l’entente la 1</w:t>
      </w:r>
      <w:r w:rsidRPr="00BA5ACE">
        <w:rPr>
          <w:rFonts w:cstheme="minorHAnsi"/>
          <w:vertAlign w:val="superscript"/>
        </w:rPr>
        <w:t>ère</w:t>
      </w:r>
      <w:r w:rsidRPr="00BA5ACE">
        <w:rPr>
          <w:rFonts w:cstheme="minorHAnsi"/>
        </w:rPr>
        <w:t xml:space="preserve"> ;</w:t>
      </w:r>
    </w:p>
    <w:p w14:paraId="2A02862E" w14:textId="01D6F3E9" w:rsidR="00BA5ACE" w:rsidRPr="00BA5ACE" w:rsidRDefault="00BA5ACE" w:rsidP="00BA5ACE">
      <w:pPr>
        <w:pStyle w:val="Paragraphedeliste"/>
        <w:numPr>
          <w:ilvl w:val="0"/>
          <w:numId w:val="65"/>
        </w:numPr>
        <w:rPr>
          <w:rFonts w:cstheme="minorHAnsi"/>
        </w:rPr>
      </w:pPr>
      <w:r w:rsidRPr="00BA5ACE">
        <w:rPr>
          <w:rFonts w:cstheme="minorHAnsi"/>
        </w:rPr>
        <w:t xml:space="preserve">une exonération partielle pour les autres sociétés qui apportent des informations essentielles sur cette entente. </w:t>
      </w:r>
    </w:p>
    <w:p w14:paraId="3DE2516D" w14:textId="24B9DB54" w:rsidR="00BA5ACE" w:rsidRPr="00BA5ACE" w:rsidRDefault="00BA5ACE" w:rsidP="00BA5ACE">
      <w:pPr>
        <w:rPr>
          <w:rFonts w:cstheme="minorHAnsi"/>
        </w:rPr>
      </w:pPr>
      <w:r w:rsidRPr="00BA5ACE">
        <w:rPr>
          <w:rFonts w:cstheme="minorHAnsi"/>
        </w:rPr>
        <w:t>Des précisions viennent d’être apportées sur les modalités d’exercice de cette procédure (voir pour plus de détails sur le site de l’Autorité de la concurrence : https://www.autoritedelaconcurrence.fr/fr/quest-ce-que-le-programme-de-clemence), notamment en ce qui concerne :</w:t>
      </w:r>
    </w:p>
    <w:p w14:paraId="2E5A9DB6" w14:textId="76D0D416" w:rsidR="00BA5ACE" w:rsidRPr="00BA5ACE" w:rsidRDefault="00BA5ACE" w:rsidP="00BA5ACE">
      <w:pPr>
        <w:pStyle w:val="Paragraphedeliste"/>
        <w:numPr>
          <w:ilvl w:val="0"/>
          <w:numId w:val="66"/>
        </w:numPr>
        <w:rPr>
          <w:rFonts w:cstheme="minorHAnsi"/>
        </w:rPr>
      </w:pPr>
      <w:r w:rsidRPr="00BA5ACE">
        <w:rPr>
          <w:rFonts w:cstheme="minorHAnsi"/>
        </w:rPr>
        <w:t>les conditions à respecter par le demandeur lorsqu’il souhaite faire l’objet de cette procédure ;</w:t>
      </w:r>
    </w:p>
    <w:p w14:paraId="65612429" w14:textId="29676B20" w:rsidR="00BA5ACE" w:rsidRPr="00BA5ACE" w:rsidRDefault="00BA5ACE" w:rsidP="00BA5ACE">
      <w:pPr>
        <w:pStyle w:val="Paragraphedeliste"/>
        <w:numPr>
          <w:ilvl w:val="0"/>
          <w:numId w:val="66"/>
        </w:numPr>
        <w:rPr>
          <w:rFonts w:cstheme="minorHAnsi"/>
        </w:rPr>
      </w:pPr>
      <w:r w:rsidRPr="00BA5ACE">
        <w:rPr>
          <w:rFonts w:cstheme="minorHAnsi"/>
        </w:rPr>
        <w:t xml:space="preserve">les renseignements qu'il doit communiquer afin de bénéficier de cette procédure ; </w:t>
      </w:r>
    </w:p>
    <w:p w14:paraId="5AB518F4" w14:textId="418A1CA1" w:rsidR="00BA5ACE" w:rsidRPr="00BA5ACE" w:rsidRDefault="00BA5ACE" w:rsidP="00BA5ACE">
      <w:pPr>
        <w:pStyle w:val="Paragraphedeliste"/>
        <w:numPr>
          <w:ilvl w:val="0"/>
          <w:numId w:val="66"/>
        </w:numPr>
        <w:rPr>
          <w:rFonts w:cstheme="minorHAnsi"/>
        </w:rPr>
      </w:pPr>
      <w:r w:rsidRPr="00BA5ACE">
        <w:rPr>
          <w:rFonts w:cstheme="minorHAnsi"/>
        </w:rPr>
        <w:t>les conditions d’éligibilité à l’exonération totale ou partielle de sanctions pécuniaires.</w:t>
      </w:r>
    </w:p>
    <w:p w14:paraId="7D02DF13" w14:textId="708B1D3B" w:rsidR="00621C51" w:rsidRPr="00451FF7" w:rsidRDefault="00BA5ACE" w:rsidP="00BA5ACE">
      <w:pPr>
        <w:rPr>
          <w:rFonts w:cstheme="minorHAnsi"/>
        </w:rPr>
      </w:pPr>
      <w:r w:rsidRPr="00BA5ACE">
        <w:rPr>
          <w:rFonts w:cstheme="minorHAnsi"/>
        </w:rPr>
        <w:t>Notez que pour pouvoir bénéficier de cette procédure, la société qui la demande doit impérativement mettre fin à sa participation à l’entente.</w:t>
      </w:r>
    </w:p>
    <w:p w14:paraId="70DFB411" w14:textId="77777777" w:rsidR="00621C51" w:rsidRDefault="00621C51" w:rsidP="00621C51"/>
    <w:p w14:paraId="28FE3465" w14:textId="47A45E47" w:rsidR="007D7EC8" w:rsidRPr="00BA1E49" w:rsidRDefault="00E02C7B" w:rsidP="007D7EC8">
      <w:pPr>
        <w:pStyle w:val="Titre3"/>
      </w:pPr>
      <w:bookmarkStart w:id="42" w:name="_Toc74651330"/>
      <w:r>
        <w:t xml:space="preserve">Commande publique et guide pour </w:t>
      </w:r>
      <w:r w:rsidR="00DC5219">
        <w:t>aider les entreprises à se relancer</w:t>
      </w:r>
      <w:bookmarkEnd w:id="42"/>
    </w:p>
    <w:p w14:paraId="3F1CA7B7" w14:textId="57DAE715" w:rsidR="007D7EC8" w:rsidRDefault="007D7EC8" w:rsidP="006D3AAB">
      <w:pPr>
        <w:spacing w:before="0" w:after="0"/>
        <w:rPr>
          <w:rFonts w:cstheme="minorHAnsi"/>
        </w:rPr>
      </w:pPr>
      <w:r w:rsidRPr="00E45B66">
        <w:rPr>
          <w:rFonts w:cstheme="minorHAnsi"/>
          <w:b/>
          <w:color w:val="0070C0"/>
        </w:rPr>
        <w:t>Slide</w:t>
      </w:r>
      <w:r>
        <w:rPr>
          <w:rFonts w:cstheme="minorHAnsi"/>
          <w:b/>
          <w:color w:val="0070C0"/>
        </w:rPr>
        <w:t xml:space="preserve"> </w:t>
      </w:r>
      <w:r w:rsidR="006D3AAB">
        <w:rPr>
          <w:rFonts w:cstheme="minorHAnsi"/>
          <w:b/>
          <w:color w:val="0070C0"/>
        </w:rPr>
        <w:t>47</w:t>
      </w:r>
    </w:p>
    <w:p w14:paraId="3F3C5BBB" w14:textId="476AA5C0" w:rsidR="007D7EC8" w:rsidRPr="00EB56D7" w:rsidRDefault="007D7EC8" w:rsidP="007D7EC8">
      <w:pPr>
        <w:rPr>
          <w:rFonts w:cstheme="minorHAnsi"/>
        </w:rPr>
      </w:pPr>
      <w:r w:rsidRPr="00451FF7">
        <w:rPr>
          <w:rFonts w:cstheme="minorHAnsi"/>
        </w:rPr>
        <w:t>Source </w:t>
      </w:r>
      <w:r w:rsidRPr="002545F5">
        <w:rPr>
          <w:rFonts w:cstheme="minorHAnsi"/>
        </w:rPr>
        <w:t xml:space="preserve">: </w:t>
      </w:r>
      <w:r w:rsidR="00EB56D7" w:rsidRPr="00EB56D7">
        <w:rPr>
          <w:rFonts w:cstheme="minorHAnsi"/>
        </w:rPr>
        <w:t>Actualité du Ministère de l’Economie du 10 mai 2021</w:t>
      </w:r>
    </w:p>
    <w:p w14:paraId="0997EE8D" w14:textId="77777777" w:rsidR="007D7EC8" w:rsidRPr="005B73D2" w:rsidRDefault="007D7EC8" w:rsidP="007D7EC8">
      <w:pPr>
        <w:pStyle w:val="Titre4"/>
        <w:rPr>
          <w:rStyle w:val="txt"/>
        </w:rPr>
      </w:pPr>
      <w:r w:rsidRPr="004858FF">
        <w:rPr>
          <w:rStyle w:val="txt"/>
        </w:rPr>
        <w:t>ce qu’il faut savoir…</w:t>
      </w:r>
    </w:p>
    <w:p w14:paraId="5076C58A" w14:textId="77777777" w:rsidR="00722DF1" w:rsidRPr="00722DF1" w:rsidRDefault="00722DF1" w:rsidP="00722DF1">
      <w:pPr>
        <w:rPr>
          <w:rFonts w:cstheme="minorHAnsi"/>
        </w:rPr>
      </w:pPr>
      <w:r w:rsidRPr="00722DF1">
        <w:rPr>
          <w:rFonts w:cstheme="minorHAnsi"/>
        </w:rPr>
        <w:t>Le guide revient sur les mesures mises en place pour aider spécifiquement les TPE-PME.</w:t>
      </w:r>
    </w:p>
    <w:p w14:paraId="77853225" w14:textId="77777777" w:rsidR="00722DF1" w:rsidRPr="00722DF1" w:rsidRDefault="00722DF1" w:rsidP="00722DF1">
      <w:pPr>
        <w:rPr>
          <w:rFonts w:cstheme="minorHAnsi"/>
        </w:rPr>
      </w:pPr>
      <w:r w:rsidRPr="00722DF1">
        <w:rPr>
          <w:rFonts w:cstheme="minorHAnsi"/>
        </w:rPr>
        <w:t>A titre d’exemple, il évoque désormais la possibilité pour les acheteurs publics d’accorder des avances et des acomptes dans des conditions plus avantageuses et plus simples.</w:t>
      </w:r>
    </w:p>
    <w:p w14:paraId="4BE1AEAD" w14:textId="77777777" w:rsidR="00722DF1" w:rsidRPr="00722DF1" w:rsidRDefault="00722DF1" w:rsidP="00722DF1">
      <w:pPr>
        <w:rPr>
          <w:rFonts w:cstheme="minorHAnsi"/>
        </w:rPr>
      </w:pPr>
      <w:r w:rsidRPr="00722DF1">
        <w:rPr>
          <w:rFonts w:cstheme="minorHAnsi"/>
        </w:rPr>
        <w:t>Il a également été mis à jour des nouveautés de la Loi ASAP (publiée en décembre 2020) qui prévoit que tous les marchés globaux (marchés de partenariat, marchés de conception-réalisation, marchés globaux de performance et marchés globaux sectoriels) doivent désormais réserver une part minimale de 10 % de leur exécution à des PME ou à des artisans.</w:t>
      </w:r>
    </w:p>
    <w:p w14:paraId="2BF6F8CB" w14:textId="77777777" w:rsidR="00722DF1" w:rsidRPr="00722DF1" w:rsidRDefault="00722DF1" w:rsidP="00722DF1">
      <w:pPr>
        <w:rPr>
          <w:rFonts w:cstheme="minorHAnsi"/>
        </w:rPr>
      </w:pPr>
      <w:r w:rsidRPr="00722DF1">
        <w:rPr>
          <w:rFonts w:cstheme="minorHAnsi"/>
        </w:rPr>
        <w:t xml:space="preserve">Enfin, il tient compte des mesures de soutien aux entreprises pour faire face à la crise sanitaire et économique : ainsi, il mentionne la possibilité de bénéficier d’un préfinancement dès la prise de commandes, sans attendre la livraison et l’émission des factures correspondantes. </w:t>
      </w:r>
    </w:p>
    <w:p w14:paraId="3CB34456" w14:textId="77777777" w:rsidR="00722DF1" w:rsidRPr="00722DF1" w:rsidRDefault="00722DF1" w:rsidP="00722DF1">
      <w:pPr>
        <w:rPr>
          <w:rFonts w:cstheme="minorHAnsi"/>
        </w:rPr>
      </w:pPr>
      <w:r w:rsidRPr="00722DF1">
        <w:rPr>
          <w:rFonts w:cstheme="minorHAnsi"/>
        </w:rPr>
        <w:t>Garantis par l’État jusqu’au 30 juin 2021, ces nouveaux financements permettent de gagner en moyenne 45 jours de trésorerie par rapport à l’affacturage classique.</w:t>
      </w:r>
    </w:p>
    <w:p w14:paraId="424DF6AA" w14:textId="445160BF" w:rsidR="007D7EC8" w:rsidRPr="00451FF7" w:rsidRDefault="00722DF1" w:rsidP="00722DF1">
      <w:pPr>
        <w:rPr>
          <w:rFonts w:cstheme="minorHAnsi"/>
        </w:rPr>
      </w:pPr>
      <w:r w:rsidRPr="00722DF1">
        <w:rPr>
          <w:rFonts w:cstheme="minorHAnsi"/>
        </w:rPr>
        <w:t>Vous pouvez consulter la nouvelle version du guide à l’adresse suivante : https://www.economie.gouv.fr/files/files/directions_services/daj/981%20-%20LeMediateur_GuideMarchesPublics2021.pdf.</w:t>
      </w:r>
    </w:p>
    <w:p w14:paraId="09BEA198" w14:textId="77777777" w:rsidR="007D7EC8" w:rsidRDefault="007D7EC8" w:rsidP="007D7EC8"/>
    <w:p w14:paraId="7149F91E" w14:textId="3E071F53" w:rsidR="007D7EC8" w:rsidRPr="00BA1E49" w:rsidRDefault="005501FC" w:rsidP="007D7EC8">
      <w:pPr>
        <w:pStyle w:val="Titre3"/>
      </w:pPr>
      <w:bookmarkStart w:id="43" w:name="_Toc74651331"/>
      <w:r>
        <w:t>Loi sur la sécurité globale</w:t>
      </w:r>
      <w:bookmarkEnd w:id="43"/>
    </w:p>
    <w:p w14:paraId="5BCE4DA1" w14:textId="1FC56BA8" w:rsidR="007D7EC8" w:rsidRDefault="007D7EC8" w:rsidP="006D3AAB">
      <w:pPr>
        <w:spacing w:before="0" w:after="0"/>
        <w:rPr>
          <w:rFonts w:cstheme="minorHAnsi"/>
        </w:rPr>
      </w:pPr>
      <w:r w:rsidRPr="00E45B66">
        <w:rPr>
          <w:rFonts w:cstheme="minorHAnsi"/>
          <w:b/>
          <w:color w:val="0070C0"/>
        </w:rPr>
        <w:t>Slide</w:t>
      </w:r>
      <w:r>
        <w:rPr>
          <w:rFonts w:cstheme="minorHAnsi"/>
          <w:b/>
          <w:color w:val="0070C0"/>
        </w:rPr>
        <w:t xml:space="preserve"> </w:t>
      </w:r>
      <w:r w:rsidR="006D3AAB">
        <w:rPr>
          <w:rFonts w:cstheme="minorHAnsi"/>
          <w:b/>
          <w:color w:val="0070C0"/>
        </w:rPr>
        <w:t>48</w:t>
      </w:r>
    </w:p>
    <w:p w14:paraId="4BD68AEB" w14:textId="28B0950B" w:rsidR="007D7EC8" w:rsidRPr="005E514E" w:rsidRDefault="007D7EC8" w:rsidP="007D7EC8">
      <w:pPr>
        <w:rPr>
          <w:rFonts w:cstheme="minorHAnsi"/>
        </w:rPr>
      </w:pPr>
      <w:r w:rsidRPr="00451FF7">
        <w:rPr>
          <w:rFonts w:cstheme="minorHAnsi"/>
        </w:rPr>
        <w:t>Source </w:t>
      </w:r>
      <w:r w:rsidRPr="002545F5">
        <w:rPr>
          <w:rFonts w:cstheme="minorHAnsi"/>
        </w:rPr>
        <w:t xml:space="preserve">: </w:t>
      </w:r>
      <w:r w:rsidR="005E514E" w:rsidRPr="005E514E">
        <w:rPr>
          <w:rFonts w:cstheme="minorHAnsi"/>
        </w:rPr>
        <w:t>Loi n° 2021-646 du 25 mai 2021 pour une sécurité globale préservant les libertés</w:t>
      </w:r>
    </w:p>
    <w:p w14:paraId="009C4439" w14:textId="77777777" w:rsidR="007D7EC8" w:rsidRPr="005B73D2" w:rsidRDefault="007D7EC8" w:rsidP="007D7EC8">
      <w:pPr>
        <w:pStyle w:val="Titre4"/>
        <w:rPr>
          <w:rStyle w:val="txt"/>
        </w:rPr>
      </w:pPr>
      <w:r w:rsidRPr="004858FF">
        <w:rPr>
          <w:rStyle w:val="txt"/>
        </w:rPr>
        <w:t>ce qu’il faut savoir…</w:t>
      </w:r>
    </w:p>
    <w:p w14:paraId="62A9BA3E" w14:textId="77777777" w:rsidR="003149FF" w:rsidRPr="003149FF" w:rsidRDefault="003149FF" w:rsidP="003149FF">
      <w:pPr>
        <w:rPr>
          <w:rFonts w:cstheme="minorHAnsi"/>
        </w:rPr>
      </w:pPr>
      <w:r w:rsidRPr="003149FF">
        <w:rPr>
          <w:rFonts w:cstheme="minorHAnsi"/>
        </w:rPr>
        <w:t>Après avoir fait l’objet d’un contrôle minutieux de la part du juge, la Loi sur la sécurité globale vient de paraître.</w:t>
      </w:r>
    </w:p>
    <w:p w14:paraId="245AD22A" w14:textId="77777777" w:rsidR="003149FF" w:rsidRPr="003149FF" w:rsidRDefault="003149FF" w:rsidP="003149FF">
      <w:pPr>
        <w:rPr>
          <w:rFonts w:cstheme="minorHAnsi"/>
        </w:rPr>
      </w:pPr>
      <w:r w:rsidRPr="003149FF">
        <w:rPr>
          <w:rFonts w:cstheme="minorHAnsi"/>
        </w:rPr>
        <w:t xml:space="preserve">Elle s’articule autour de 4 axes principaux : </w:t>
      </w:r>
    </w:p>
    <w:p w14:paraId="4B3D4F7A" w14:textId="10E58CE5" w:rsidR="003149FF" w:rsidRPr="003149FF" w:rsidRDefault="003149FF" w:rsidP="003149FF">
      <w:pPr>
        <w:pStyle w:val="Paragraphedeliste"/>
        <w:numPr>
          <w:ilvl w:val="0"/>
          <w:numId w:val="5"/>
        </w:numPr>
        <w:rPr>
          <w:rFonts w:cstheme="minorHAnsi"/>
        </w:rPr>
      </w:pPr>
      <w:r w:rsidRPr="003149FF">
        <w:rPr>
          <w:rFonts w:cstheme="minorHAnsi"/>
        </w:rPr>
        <w:t>un renforcement des pouvoirs des polices municipales, notamment via :</w:t>
      </w:r>
    </w:p>
    <w:p w14:paraId="0A1EDA55" w14:textId="2D93A494" w:rsidR="003149FF" w:rsidRPr="003149FF" w:rsidRDefault="003149FF" w:rsidP="003149FF">
      <w:pPr>
        <w:pStyle w:val="Paragraphedeliste"/>
        <w:numPr>
          <w:ilvl w:val="1"/>
          <w:numId w:val="139"/>
        </w:numPr>
        <w:rPr>
          <w:rFonts w:cstheme="minorHAnsi"/>
        </w:rPr>
      </w:pPr>
      <w:r w:rsidRPr="003149FF">
        <w:rPr>
          <w:rFonts w:cstheme="minorHAnsi"/>
        </w:rPr>
        <w:t>la création, en 2026, d’une police municipale à Paris ;</w:t>
      </w:r>
    </w:p>
    <w:p w14:paraId="5CAAAEA4" w14:textId="6F6868D6" w:rsidR="003149FF" w:rsidRPr="003149FF" w:rsidRDefault="003149FF" w:rsidP="003149FF">
      <w:pPr>
        <w:pStyle w:val="Paragraphedeliste"/>
        <w:numPr>
          <w:ilvl w:val="1"/>
          <w:numId w:val="139"/>
        </w:numPr>
        <w:rPr>
          <w:rFonts w:cstheme="minorHAnsi"/>
        </w:rPr>
      </w:pPr>
      <w:r w:rsidRPr="003149FF">
        <w:rPr>
          <w:rFonts w:cstheme="minorHAnsi"/>
        </w:rPr>
        <w:t>un renforcement de l’information des maires des suites données aux infractions qui ont été constatées sur le territoire de leur commune ;</w:t>
      </w:r>
    </w:p>
    <w:p w14:paraId="1AFAB986" w14:textId="71E962BE" w:rsidR="003149FF" w:rsidRPr="003149FF" w:rsidRDefault="003149FF" w:rsidP="003149FF">
      <w:pPr>
        <w:pStyle w:val="Paragraphedeliste"/>
        <w:numPr>
          <w:ilvl w:val="0"/>
          <w:numId w:val="5"/>
        </w:numPr>
        <w:rPr>
          <w:rFonts w:cstheme="minorHAnsi"/>
        </w:rPr>
      </w:pPr>
      <w:r w:rsidRPr="003149FF">
        <w:rPr>
          <w:rFonts w:cstheme="minorHAnsi"/>
        </w:rPr>
        <w:t>un encadrement du secteur de la sécurité privée, en vue de mieux contrôler sa croissance notamment au regard de la préparation de grands évènements sportifs comme les Jeux olympiques de 2024 ; ces dispositions ont principalement trait :</w:t>
      </w:r>
    </w:p>
    <w:p w14:paraId="1FAC0B65" w14:textId="3F5658CD" w:rsidR="003149FF" w:rsidRPr="003149FF" w:rsidRDefault="003149FF" w:rsidP="003149FF">
      <w:pPr>
        <w:pStyle w:val="Paragraphedeliste"/>
        <w:numPr>
          <w:ilvl w:val="1"/>
          <w:numId w:val="140"/>
        </w:numPr>
        <w:rPr>
          <w:rFonts w:cstheme="minorHAnsi"/>
        </w:rPr>
      </w:pPr>
      <w:r w:rsidRPr="003149FF">
        <w:rPr>
          <w:rFonts w:cstheme="minorHAnsi"/>
        </w:rPr>
        <w:t>à la limitation de la sous-traitance en cascade dans la sécurité privée ;</w:t>
      </w:r>
    </w:p>
    <w:p w14:paraId="263DE0A2" w14:textId="072583E3" w:rsidR="003149FF" w:rsidRPr="003149FF" w:rsidRDefault="003149FF" w:rsidP="003149FF">
      <w:pPr>
        <w:pStyle w:val="Paragraphedeliste"/>
        <w:numPr>
          <w:ilvl w:val="1"/>
          <w:numId w:val="140"/>
        </w:numPr>
        <w:rPr>
          <w:rFonts w:cstheme="minorHAnsi"/>
        </w:rPr>
      </w:pPr>
      <w:r w:rsidRPr="003149FF">
        <w:rPr>
          <w:rFonts w:cstheme="minorHAnsi"/>
        </w:rPr>
        <w:t>au durcissement des conditions d’obtention d’une carte professionnelle pour les agents ;</w:t>
      </w:r>
    </w:p>
    <w:p w14:paraId="2EDF7082" w14:textId="3C9F7B67" w:rsidR="003149FF" w:rsidRPr="003149FF" w:rsidRDefault="003149FF" w:rsidP="003149FF">
      <w:pPr>
        <w:pStyle w:val="Paragraphedeliste"/>
        <w:numPr>
          <w:ilvl w:val="1"/>
          <w:numId w:val="140"/>
        </w:numPr>
        <w:rPr>
          <w:rFonts w:cstheme="minorHAnsi"/>
        </w:rPr>
      </w:pPr>
      <w:r w:rsidRPr="003149FF">
        <w:rPr>
          <w:rFonts w:cstheme="minorHAnsi"/>
        </w:rPr>
        <w:t>à la possibilité, pour le préfet, de confier à des agences privées la surveillance des personnes notamment en matière de terrorisme ;</w:t>
      </w:r>
    </w:p>
    <w:p w14:paraId="4CEBF3E8" w14:textId="27672E2C" w:rsidR="003149FF" w:rsidRPr="003149FF" w:rsidRDefault="003149FF" w:rsidP="003149FF">
      <w:pPr>
        <w:pStyle w:val="Paragraphedeliste"/>
        <w:numPr>
          <w:ilvl w:val="1"/>
          <w:numId w:val="140"/>
        </w:numPr>
        <w:rPr>
          <w:rFonts w:cstheme="minorHAnsi"/>
        </w:rPr>
      </w:pPr>
      <w:r w:rsidRPr="003149FF">
        <w:rPr>
          <w:rFonts w:cstheme="minorHAnsi"/>
        </w:rPr>
        <w:t>à la possibilité, pour les policiers nationaux, de cumuler leur retraite avec un salaire découlant d’une activité de sécurité privé ;</w:t>
      </w:r>
    </w:p>
    <w:p w14:paraId="12F8EC77" w14:textId="52206B9C" w:rsidR="003149FF" w:rsidRPr="003149FF" w:rsidRDefault="003149FF" w:rsidP="003149FF">
      <w:pPr>
        <w:pStyle w:val="Paragraphedeliste"/>
        <w:numPr>
          <w:ilvl w:val="0"/>
          <w:numId w:val="5"/>
        </w:numPr>
        <w:rPr>
          <w:rFonts w:cstheme="minorHAnsi"/>
        </w:rPr>
      </w:pPr>
      <w:r w:rsidRPr="003149FF">
        <w:rPr>
          <w:rFonts w:cstheme="minorHAnsi"/>
        </w:rPr>
        <w:t xml:space="preserve">un ajustement des règles applicables en matière : </w:t>
      </w:r>
    </w:p>
    <w:p w14:paraId="72945B42" w14:textId="4A415EB9" w:rsidR="003149FF" w:rsidRPr="003149FF" w:rsidRDefault="003149FF" w:rsidP="003149FF">
      <w:pPr>
        <w:pStyle w:val="Paragraphedeliste"/>
        <w:numPr>
          <w:ilvl w:val="1"/>
          <w:numId w:val="141"/>
        </w:numPr>
        <w:rPr>
          <w:rFonts w:cstheme="minorHAnsi"/>
        </w:rPr>
      </w:pPr>
      <w:r w:rsidRPr="003149FF">
        <w:rPr>
          <w:rFonts w:cstheme="minorHAnsi"/>
        </w:rPr>
        <w:t>de vidéoprotection, notamment en ce qui concerne les personnes ayant accès à la vidéoprotection de la voie publique ;</w:t>
      </w:r>
    </w:p>
    <w:p w14:paraId="407DDE80" w14:textId="55A5D823" w:rsidR="003149FF" w:rsidRPr="003149FF" w:rsidRDefault="003149FF" w:rsidP="003149FF">
      <w:pPr>
        <w:pStyle w:val="Paragraphedeliste"/>
        <w:numPr>
          <w:ilvl w:val="1"/>
          <w:numId w:val="141"/>
        </w:numPr>
        <w:rPr>
          <w:rFonts w:cstheme="minorHAnsi"/>
        </w:rPr>
      </w:pPr>
      <w:r w:rsidRPr="003149FF">
        <w:rPr>
          <w:rFonts w:cstheme="minorHAnsi"/>
        </w:rPr>
        <w:t>d’usage des caméras piétons, dont la généralisation est prévue d’ici juillet 2021 ;</w:t>
      </w:r>
    </w:p>
    <w:p w14:paraId="37CDA127" w14:textId="73884D71" w:rsidR="003149FF" w:rsidRPr="003149FF" w:rsidRDefault="003149FF" w:rsidP="003149FF">
      <w:pPr>
        <w:pStyle w:val="Paragraphedeliste"/>
        <w:numPr>
          <w:ilvl w:val="1"/>
          <w:numId w:val="141"/>
        </w:numPr>
        <w:rPr>
          <w:rFonts w:cstheme="minorHAnsi"/>
        </w:rPr>
      </w:pPr>
      <w:r w:rsidRPr="003149FF">
        <w:rPr>
          <w:rFonts w:cstheme="minorHAnsi"/>
        </w:rPr>
        <w:t>de recours aux drones par les forces de l’ordre ;</w:t>
      </w:r>
    </w:p>
    <w:p w14:paraId="66AC2809" w14:textId="03BFB557" w:rsidR="003149FF" w:rsidRPr="003149FF" w:rsidRDefault="003149FF" w:rsidP="003149FF">
      <w:pPr>
        <w:pStyle w:val="Paragraphedeliste"/>
        <w:numPr>
          <w:ilvl w:val="0"/>
          <w:numId w:val="5"/>
        </w:numPr>
        <w:rPr>
          <w:rFonts w:cstheme="minorHAnsi"/>
        </w:rPr>
      </w:pPr>
      <w:r w:rsidRPr="003149FF">
        <w:rPr>
          <w:rFonts w:cstheme="minorHAnsi"/>
        </w:rPr>
        <w:t xml:space="preserve">une définition des sanctions applicables en cas d’agression ou de provocation à l’identification des policiers notamment via : </w:t>
      </w:r>
    </w:p>
    <w:p w14:paraId="7588DD6C" w14:textId="2ED50143" w:rsidR="003149FF" w:rsidRPr="003149FF" w:rsidRDefault="003149FF" w:rsidP="003149FF">
      <w:pPr>
        <w:pStyle w:val="Paragraphedeliste"/>
        <w:numPr>
          <w:ilvl w:val="1"/>
          <w:numId w:val="142"/>
        </w:numPr>
        <w:rPr>
          <w:rFonts w:cstheme="minorHAnsi"/>
        </w:rPr>
      </w:pPr>
      <w:r w:rsidRPr="003149FF">
        <w:rPr>
          <w:rFonts w:cstheme="minorHAnsi"/>
        </w:rPr>
        <w:t>l’impossibilité de principe, pour les personnes coupables d’infractions graves à l’encontre d‘un policier, de bénéficier de crédits de réduction de peine ;</w:t>
      </w:r>
    </w:p>
    <w:p w14:paraId="1EA3779D" w14:textId="11978FCA" w:rsidR="003149FF" w:rsidRPr="003149FF" w:rsidRDefault="003149FF" w:rsidP="003149FF">
      <w:pPr>
        <w:pStyle w:val="Paragraphedeliste"/>
        <w:numPr>
          <w:ilvl w:val="1"/>
          <w:numId w:val="142"/>
        </w:numPr>
        <w:rPr>
          <w:rFonts w:cstheme="minorHAnsi"/>
        </w:rPr>
      </w:pPr>
      <w:r w:rsidRPr="003149FF">
        <w:rPr>
          <w:rFonts w:cstheme="minorHAnsi"/>
        </w:rPr>
        <w:t>la sanction de toute création de fichiers informatiques à des fins d’identification malveillante d’agents publics ;</w:t>
      </w:r>
    </w:p>
    <w:p w14:paraId="003093C9" w14:textId="5717E70B" w:rsidR="003149FF" w:rsidRPr="003149FF" w:rsidRDefault="003149FF" w:rsidP="003149FF">
      <w:pPr>
        <w:pStyle w:val="Paragraphedeliste"/>
        <w:numPr>
          <w:ilvl w:val="1"/>
          <w:numId w:val="142"/>
        </w:numPr>
        <w:rPr>
          <w:rFonts w:cstheme="minorHAnsi"/>
        </w:rPr>
      </w:pPr>
      <w:r w:rsidRPr="003149FF">
        <w:rPr>
          <w:rFonts w:cstheme="minorHAnsi"/>
        </w:rPr>
        <w:t>l’élargissement du délit d’embuscade aux agressions commises sur des policiers ou gendarmes en dehors de leurs heures de service ou sur les membres de leur famille ;</w:t>
      </w:r>
    </w:p>
    <w:p w14:paraId="62A24003" w14:textId="3A95FA86" w:rsidR="003149FF" w:rsidRPr="003149FF" w:rsidRDefault="003149FF" w:rsidP="003149FF">
      <w:pPr>
        <w:pStyle w:val="Paragraphedeliste"/>
        <w:numPr>
          <w:ilvl w:val="1"/>
          <w:numId w:val="142"/>
        </w:numPr>
        <w:rPr>
          <w:rFonts w:cstheme="minorHAnsi"/>
        </w:rPr>
      </w:pPr>
      <w:r w:rsidRPr="003149FF">
        <w:rPr>
          <w:rFonts w:cstheme="minorHAnsi"/>
        </w:rPr>
        <w:t>la sanction de tout achat, détention, utilisation et vente de mortiers d’artifices à d’autres personnes que des professionnels.</w:t>
      </w:r>
    </w:p>
    <w:p w14:paraId="057EA390" w14:textId="77777777" w:rsidR="003149FF" w:rsidRPr="003149FF" w:rsidRDefault="003149FF" w:rsidP="003149FF">
      <w:pPr>
        <w:rPr>
          <w:rFonts w:cstheme="minorHAnsi"/>
        </w:rPr>
      </w:pPr>
      <w:r w:rsidRPr="003149FF">
        <w:rPr>
          <w:rFonts w:cstheme="minorHAnsi"/>
        </w:rPr>
        <w:t>Notez qu’il était initialement prévu de créer, au sein de la Loi, une nouvelle infraction relative à la provocation à l’identification d’un policier ou gendarme en opération en vue qu’il soit porté atteinte à son intégrité physique ou psychique.</w:t>
      </w:r>
    </w:p>
    <w:p w14:paraId="2E018575" w14:textId="66557F76" w:rsidR="007D7EC8" w:rsidRPr="00451FF7" w:rsidRDefault="003149FF" w:rsidP="003149FF">
      <w:pPr>
        <w:rPr>
          <w:rFonts w:cstheme="minorHAnsi"/>
        </w:rPr>
      </w:pPr>
      <w:r w:rsidRPr="003149FF">
        <w:rPr>
          <w:rFonts w:cstheme="minorHAnsi"/>
        </w:rPr>
        <w:t>Cette idée, qui avait donné lieu à de nombreux débats dans la sphère politique et dans le cadre de l’opinion publique, n’a finalement pas été retenue.</w:t>
      </w:r>
    </w:p>
    <w:p w14:paraId="7347E761" w14:textId="77777777" w:rsidR="007D7EC8" w:rsidRDefault="007D7EC8" w:rsidP="007D7EC8"/>
    <w:p w14:paraId="3675B467" w14:textId="37AE5CE0" w:rsidR="005501FC" w:rsidRPr="00BA1E49" w:rsidRDefault="007B0D4F" w:rsidP="005501FC">
      <w:pPr>
        <w:pStyle w:val="Titre3"/>
      </w:pPr>
      <w:bookmarkStart w:id="44" w:name="_Toc74651332"/>
      <w:r>
        <w:lastRenderedPageBreak/>
        <w:t>Concurrence déloyale et démarchage fautif</w:t>
      </w:r>
      <w:bookmarkEnd w:id="44"/>
    </w:p>
    <w:p w14:paraId="188AB0CB" w14:textId="44DD651D" w:rsidR="005501FC" w:rsidRDefault="005501FC" w:rsidP="005501FC">
      <w:pPr>
        <w:rPr>
          <w:rFonts w:cstheme="minorHAnsi"/>
        </w:rPr>
      </w:pPr>
      <w:r w:rsidRPr="00E45B66">
        <w:rPr>
          <w:rFonts w:cstheme="minorHAnsi"/>
          <w:b/>
          <w:color w:val="0070C0"/>
        </w:rPr>
        <w:t>Slide</w:t>
      </w:r>
      <w:r>
        <w:rPr>
          <w:rFonts w:cstheme="minorHAnsi"/>
          <w:b/>
          <w:color w:val="0070C0"/>
        </w:rPr>
        <w:t xml:space="preserve">s </w:t>
      </w:r>
      <w:r w:rsidR="006D3AAB">
        <w:rPr>
          <w:rFonts w:cstheme="minorHAnsi"/>
          <w:b/>
          <w:color w:val="0070C0"/>
        </w:rPr>
        <w:t>49 et 50</w:t>
      </w:r>
    </w:p>
    <w:p w14:paraId="5B2D785C" w14:textId="3364BFDC" w:rsidR="005501FC" w:rsidRPr="00FA1441" w:rsidRDefault="005501FC" w:rsidP="005501FC">
      <w:pPr>
        <w:rPr>
          <w:rFonts w:cstheme="minorHAnsi"/>
        </w:rPr>
      </w:pPr>
      <w:r w:rsidRPr="00451FF7">
        <w:rPr>
          <w:rFonts w:cstheme="minorHAnsi"/>
        </w:rPr>
        <w:t>Source </w:t>
      </w:r>
      <w:r w:rsidRPr="002545F5">
        <w:rPr>
          <w:rFonts w:cstheme="minorHAnsi"/>
        </w:rPr>
        <w:t xml:space="preserve">: </w:t>
      </w:r>
      <w:r w:rsidR="00FA1441" w:rsidRPr="00FA1441">
        <w:rPr>
          <w:rFonts w:cstheme="minorHAnsi"/>
        </w:rPr>
        <w:t>Arrêt de la Cour de cassation, chambre commerciale, du 12 mai 2021, n° 19-17714</w:t>
      </w:r>
    </w:p>
    <w:p w14:paraId="7A6F362A" w14:textId="77777777" w:rsidR="005501FC" w:rsidRPr="005B73D2" w:rsidRDefault="005501FC" w:rsidP="005501FC">
      <w:pPr>
        <w:pStyle w:val="Titre4"/>
        <w:rPr>
          <w:rStyle w:val="txt"/>
        </w:rPr>
      </w:pPr>
      <w:r w:rsidRPr="004858FF">
        <w:rPr>
          <w:rStyle w:val="txt"/>
        </w:rPr>
        <w:t>ce qu’il faut savoir…</w:t>
      </w:r>
    </w:p>
    <w:p w14:paraId="30CB6080" w14:textId="77777777" w:rsidR="0041670F" w:rsidRPr="0041670F" w:rsidRDefault="0041670F" w:rsidP="0041670F">
      <w:pPr>
        <w:rPr>
          <w:rFonts w:cstheme="minorHAnsi"/>
        </w:rPr>
      </w:pPr>
      <w:r w:rsidRPr="0041670F">
        <w:rPr>
          <w:rFonts w:cstheme="minorHAnsi"/>
        </w:rPr>
        <w:t>2 ex-salariés d’une société spécialisée dans la vente de portes et fenêtres décident de créer leur propre entreprise spécialisée dans la fabrication de vérandas. Sauf qu’ils ne sont pas partis les mains vides, relève leur ancienne société…</w:t>
      </w:r>
    </w:p>
    <w:p w14:paraId="0541D1CA" w14:textId="77777777" w:rsidR="0041670F" w:rsidRPr="0041670F" w:rsidRDefault="0041670F" w:rsidP="0041670F">
      <w:pPr>
        <w:rPr>
          <w:rFonts w:cstheme="minorHAnsi"/>
        </w:rPr>
      </w:pPr>
      <w:r w:rsidRPr="0041670F">
        <w:rPr>
          <w:rFonts w:cstheme="minorHAnsi"/>
        </w:rPr>
        <w:t>… qui leur reproche d’avoir détourné son propre fichier clientèle afin de démarcher de futurs clients pour leur entreprise. Une faute qui constitue un acte de concurrence déloyale… et qui mérite indemnisation, selon elle… « Pas pour si peu », minimisent toutefois les 2 ex-salariés qui rappellent qu’ils n’ont utilisé ce fichier que pour un seul client, bien loin d’un démarchage « massif ». Le simple fait d’avoir contacté un seul client n’a donc rien de fautif, selon les ex-salariés qui refusent de payer une quelconque indemnisation…</w:t>
      </w:r>
    </w:p>
    <w:p w14:paraId="51336B10" w14:textId="1148F28D" w:rsidR="005501FC" w:rsidRDefault="0041670F" w:rsidP="0041670F">
      <w:pPr>
        <w:rPr>
          <w:rFonts w:cstheme="minorHAnsi"/>
        </w:rPr>
      </w:pPr>
      <w:r w:rsidRPr="0041670F">
        <w:rPr>
          <w:rFonts w:cstheme="minorHAnsi"/>
        </w:rPr>
        <w:t>Pourtant due, selon le juge qui rappelle que le détournement du fichier clients d’un concurrent constitue bien un procédé déloyal, même s’il n’est pas démontré que le démarchage de clientèle est massif ou systématique.</w:t>
      </w:r>
    </w:p>
    <w:p w14:paraId="368DD71E" w14:textId="77777777" w:rsidR="0041670F" w:rsidRPr="00451FF7" w:rsidRDefault="0041670F" w:rsidP="0041670F">
      <w:pPr>
        <w:rPr>
          <w:rFonts w:cstheme="minorHAnsi"/>
        </w:rPr>
      </w:pPr>
    </w:p>
    <w:p w14:paraId="795E089D" w14:textId="24079D1A" w:rsidR="007B0D4F" w:rsidRPr="00BA1E49" w:rsidRDefault="000F4E94" w:rsidP="007B0D4F">
      <w:pPr>
        <w:pStyle w:val="Titre3"/>
      </w:pPr>
      <w:bookmarkStart w:id="45" w:name="_Toc74651333"/>
      <w:r>
        <w:t>Simplification de la vie des entreprises</w:t>
      </w:r>
      <w:bookmarkEnd w:id="45"/>
    </w:p>
    <w:p w14:paraId="0E97D193" w14:textId="6BA90017" w:rsidR="007B0D4F" w:rsidRDefault="007B0D4F" w:rsidP="006D3AAB">
      <w:pPr>
        <w:spacing w:before="0" w:after="0"/>
        <w:rPr>
          <w:rFonts w:cstheme="minorHAnsi"/>
        </w:rPr>
      </w:pPr>
      <w:r w:rsidRPr="00E45B66">
        <w:rPr>
          <w:rFonts w:cstheme="minorHAnsi"/>
          <w:b/>
          <w:color w:val="0070C0"/>
        </w:rPr>
        <w:t>Slide</w:t>
      </w:r>
      <w:r>
        <w:rPr>
          <w:rFonts w:cstheme="minorHAnsi"/>
          <w:b/>
          <w:color w:val="0070C0"/>
        </w:rPr>
        <w:t xml:space="preserve"> </w:t>
      </w:r>
      <w:r w:rsidR="006D3AAB">
        <w:rPr>
          <w:rFonts w:cstheme="minorHAnsi"/>
          <w:b/>
          <w:color w:val="0070C0"/>
        </w:rPr>
        <w:t>51</w:t>
      </w:r>
    </w:p>
    <w:p w14:paraId="714FA135" w14:textId="16DC9E31" w:rsidR="007B0D4F" w:rsidRPr="00451FF7" w:rsidRDefault="007B0D4F" w:rsidP="007B0D4F">
      <w:pPr>
        <w:rPr>
          <w:rFonts w:cstheme="minorHAnsi"/>
        </w:rPr>
      </w:pPr>
      <w:r w:rsidRPr="00451FF7">
        <w:rPr>
          <w:rFonts w:cstheme="minorHAnsi"/>
        </w:rPr>
        <w:t>Source</w:t>
      </w:r>
      <w:r w:rsidR="000F4E94">
        <w:rPr>
          <w:rFonts w:cstheme="minorHAnsi"/>
        </w:rPr>
        <w:t>s</w:t>
      </w:r>
      <w:r w:rsidRPr="00451FF7">
        <w:rPr>
          <w:rFonts w:cstheme="minorHAnsi"/>
        </w:rPr>
        <w:t> </w:t>
      </w:r>
      <w:r w:rsidRPr="002545F5">
        <w:rPr>
          <w:rFonts w:cstheme="minorHAnsi"/>
        </w:rPr>
        <w:t xml:space="preserve">: </w:t>
      </w:r>
    </w:p>
    <w:p w14:paraId="7C3F2171" w14:textId="62A5A3EC" w:rsidR="000F4E94" w:rsidRDefault="000F4E94" w:rsidP="000F4E94">
      <w:pPr>
        <w:pStyle w:val="Paragraphedeliste"/>
        <w:numPr>
          <w:ilvl w:val="0"/>
          <w:numId w:val="65"/>
        </w:numPr>
      </w:pPr>
      <w:r>
        <w:t>Décret n° 2021-631 du 21 mai 2021 relatif à la suppression de l'exigence de présentation par les entreprises d'un extrait d'immatriculation au registre du commerce et des sociétés ou au répertoire des métiers dans leurs démarches administratives</w:t>
      </w:r>
    </w:p>
    <w:p w14:paraId="16E85FEC" w14:textId="1D9750AD" w:rsidR="007B0D4F" w:rsidRDefault="000F4E94" w:rsidP="000F4E94">
      <w:pPr>
        <w:pStyle w:val="Paragraphedeliste"/>
        <w:numPr>
          <w:ilvl w:val="0"/>
          <w:numId w:val="65"/>
        </w:numPr>
      </w:pPr>
      <w:r>
        <w:t>Décret n° 2021-632 du 21 mai 2021 relatif à la suppression de l'exigence de présentation par les entreprises d'un extrait d'immatriculation au registre du commerce et des sociétés ou au répertoire des métiers dans leurs démarches administratives</w:t>
      </w:r>
    </w:p>
    <w:p w14:paraId="6BB4A956" w14:textId="77777777" w:rsidR="007B0D4F" w:rsidRPr="005B73D2" w:rsidRDefault="007B0D4F" w:rsidP="007B0D4F">
      <w:pPr>
        <w:pStyle w:val="Titre4"/>
        <w:rPr>
          <w:rStyle w:val="txt"/>
        </w:rPr>
      </w:pPr>
      <w:r w:rsidRPr="004858FF">
        <w:rPr>
          <w:rStyle w:val="txt"/>
        </w:rPr>
        <w:t>ce qu’il faut savoir…</w:t>
      </w:r>
    </w:p>
    <w:p w14:paraId="6D0ED636" w14:textId="77777777" w:rsidR="00ED78A1" w:rsidRPr="00ED78A1" w:rsidRDefault="00ED78A1" w:rsidP="00ED78A1">
      <w:pPr>
        <w:rPr>
          <w:rFonts w:cstheme="minorHAnsi"/>
        </w:rPr>
      </w:pPr>
      <w:r w:rsidRPr="00ED78A1">
        <w:rPr>
          <w:rFonts w:cstheme="minorHAnsi"/>
        </w:rPr>
        <w:t>La vie des entreprises est ponctuée par l’exécution de nombreuses formalités administratives, qui constituent une charge importante pour l’ensemble des structures concernées.</w:t>
      </w:r>
    </w:p>
    <w:p w14:paraId="6D3CD5F8" w14:textId="77777777" w:rsidR="00ED78A1" w:rsidRPr="00ED78A1" w:rsidRDefault="00ED78A1" w:rsidP="00ED78A1">
      <w:pPr>
        <w:rPr>
          <w:rFonts w:cstheme="minorHAnsi"/>
        </w:rPr>
      </w:pPr>
      <w:r w:rsidRPr="00ED78A1">
        <w:rPr>
          <w:rFonts w:cstheme="minorHAnsi"/>
        </w:rPr>
        <w:t>Pour simplifier l’accomplissement de ces démarches, la loi PACTE, publiée au printemps 2019, contient de nombreuses dispositions, dont certaines ont trait à la présentation, jusqu’à présent obligatoire pour certaines formalités, de l’extrait d’immatriculation de l’entreprise :</w:t>
      </w:r>
    </w:p>
    <w:p w14:paraId="51E96AC7" w14:textId="26A791BD" w:rsidR="00ED78A1" w:rsidRPr="00ED78A1" w:rsidRDefault="00ED78A1" w:rsidP="00ED78A1">
      <w:pPr>
        <w:pStyle w:val="Paragraphedeliste"/>
        <w:numPr>
          <w:ilvl w:val="0"/>
          <w:numId w:val="5"/>
        </w:numPr>
        <w:rPr>
          <w:rFonts w:cstheme="minorHAnsi"/>
        </w:rPr>
      </w:pPr>
      <w:r w:rsidRPr="00ED78A1">
        <w:rPr>
          <w:rFonts w:cstheme="minorHAnsi"/>
        </w:rPr>
        <w:t>au Registre du commerce et des sociétés (RCS) ;</w:t>
      </w:r>
    </w:p>
    <w:p w14:paraId="02B22C7D" w14:textId="6CB3143A" w:rsidR="00ED78A1" w:rsidRPr="00ED78A1" w:rsidRDefault="00ED78A1" w:rsidP="00ED78A1">
      <w:pPr>
        <w:pStyle w:val="Paragraphedeliste"/>
        <w:numPr>
          <w:ilvl w:val="0"/>
          <w:numId w:val="5"/>
        </w:numPr>
        <w:rPr>
          <w:rFonts w:cstheme="minorHAnsi"/>
        </w:rPr>
      </w:pPr>
      <w:r w:rsidRPr="00ED78A1">
        <w:rPr>
          <w:rFonts w:cstheme="minorHAnsi"/>
        </w:rPr>
        <w:t>au Répertoire des métiers (RM) ;</w:t>
      </w:r>
    </w:p>
    <w:p w14:paraId="086162DF" w14:textId="64392D2F" w:rsidR="00ED78A1" w:rsidRPr="00ED78A1" w:rsidRDefault="00ED78A1" w:rsidP="00ED78A1">
      <w:pPr>
        <w:pStyle w:val="Paragraphedeliste"/>
        <w:numPr>
          <w:ilvl w:val="0"/>
          <w:numId w:val="5"/>
        </w:numPr>
        <w:rPr>
          <w:rFonts w:cstheme="minorHAnsi"/>
        </w:rPr>
      </w:pPr>
      <w:r w:rsidRPr="00ED78A1">
        <w:rPr>
          <w:rFonts w:cstheme="minorHAnsi"/>
        </w:rPr>
        <w:t>ou au Registre des entreprises tenu par les chambres de métiers d’Alsace et de Moselle.</w:t>
      </w:r>
    </w:p>
    <w:p w14:paraId="1B1AC5FB" w14:textId="77777777" w:rsidR="00ED78A1" w:rsidRPr="00ED78A1" w:rsidRDefault="00ED78A1" w:rsidP="00ED78A1">
      <w:pPr>
        <w:rPr>
          <w:rFonts w:cstheme="minorHAnsi"/>
        </w:rPr>
      </w:pPr>
      <w:r w:rsidRPr="00ED78A1">
        <w:rPr>
          <w:rFonts w:cstheme="minorHAnsi"/>
        </w:rPr>
        <w:t xml:space="preserve">Cet extrait, appelé extrait K (pour les personnes physiques) ou K bis (pour les sociétés), constitue un document essentiel à l’entreprise puisqu’il atteste de son existence juridique. </w:t>
      </w:r>
    </w:p>
    <w:p w14:paraId="6D29E4CB" w14:textId="77777777" w:rsidR="00ED78A1" w:rsidRPr="00ED78A1" w:rsidRDefault="00ED78A1" w:rsidP="00ED78A1">
      <w:pPr>
        <w:rPr>
          <w:rFonts w:cstheme="minorHAnsi"/>
        </w:rPr>
      </w:pPr>
      <w:r w:rsidRPr="00ED78A1">
        <w:rPr>
          <w:rFonts w:cstheme="minorHAnsi"/>
        </w:rPr>
        <w:lastRenderedPageBreak/>
        <w:t xml:space="preserve">Il peut être demandé par toute personne, et doit être présenté par l’entreprise dans diverses situations, parmi lesquelles : </w:t>
      </w:r>
    </w:p>
    <w:p w14:paraId="7B3B40A8" w14:textId="6B69C16D" w:rsidR="00ED78A1" w:rsidRPr="00ED78A1" w:rsidRDefault="00ED78A1" w:rsidP="00ED78A1">
      <w:pPr>
        <w:pStyle w:val="Paragraphedeliste"/>
        <w:numPr>
          <w:ilvl w:val="0"/>
          <w:numId w:val="139"/>
        </w:numPr>
        <w:rPr>
          <w:rFonts w:cstheme="minorHAnsi"/>
        </w:rPr>
      </w:pPr>
      <w:r w:rsidRPr="00ED78A1">
        <w:rPr>
          <w:rFonts w:cstheme="minorHAnsi"/>
        </w:rPr>
        <w:t>le dépôt d’une candidature à un appel d’offres public ;</w:t>
      </w:r>
    </w:p>
    <w:p w14:paraId="2B2C6DD6" w14:textId="63B7A387" w:rsidR="00ED78A1" w:rsidRPr="00ED78A1" w:rsidRDefault="00ED78A1" w:rsidP="00ED78A1">
      <w:pPr>
        <w:pStyle w:val="Paragraphedeliste"/>
        <w:numPr>
          <w:ilvl w:val="0"/>
          <w:numId w:val="139"/>
        </w:numPr>
        <w:rPr>
          <w:rFonts w:cstheme="minorHAnsi"/>
        </w:rPr>
      </w:pPr>
      <w:r w:rsidRPr="00ED78A1">
        <w:rPr>
          <w:rFonts w:cstheme="minorHAnsi"/>
        </w:rPr>
        <w:t xml:space="preserve">l’ouverture d’un compte bancaire. </w:t>
      </w:r>
    </w:p>
    <w:p w14:paraId="627E6782" w14:textId="77777777" w:rsidR="00ED78A1" w:rsidRPr="00ED78A1" w:rsidRDefault="00ED78A1" w:rsidP="00ED78A1">
      <w:pPr>
        <w:rPr>
          <w:rFonts w:cstheme="minorHAnsi"/>
        </w:rPr>
      </w:pPr>
      <w:r w:rsidRPr="00ED78A1">
        <w:rPr>
          <w:rFonts w:cstheme="minorHAnsi"/>
        </w:rPr>
        <w:t>Dans la continuité de la loi PACTE, il est prochainement prévu la suppression de l’obligation incombant aux entreprises de présenter cet extrait d’immatriculation dans 55 procédures administratives différentes.</w:t>
      </w:r>
    </w:p>
    <w:p w14:paraId="2655CBFB" w14:textId="77777777" w:rsidR="00ED78A1" w:rsidRPr="00ED78A1" w:rsidRDefault="00ED78A1" w:rsidP="00ED78A1">
      <w:pPr>
        <w:rPr>
          <w:rFonts w:cstheme="minorHAnsi"/>
        </w:rPr>
      </w:pPr>
      <w:r w:rsidRPr="00ED78A1">
        <w:rPr>
          <w:rFonts w:cstheme="minorHAnsi"/>
        </w:rPr>
        <w:t>En lieu et place de celui-ci, l’entreprise sera tenue de transmettre à l’administration qu’elle sollicite son numéro unique d’identification (numéro SIREN) fourni par l’INSEE.</w:t>
      </w:r>
    </w:p>
    <w:p w14:paraId="447F2949" w14:textId="77777777" w:rsidR="00ED78A1" w:rsidRPr="00ED78A1" w:rsidRDefault="00ED78A1" w:rsidP="00ED78A1">
      <w:pPr>
        <w:rPr>
          <w:rFonts w:cstheme="minorHAnsi"/>
        </w:rPr>
      </w:pPr>
      <w:r w:rsidRPr="00ED78A1">
        <w:rPr>
          <w:rFonts w:cstheme="minorHAnsi"/>
        </w:rPr>
        <w:t xml:space="preserve">Le but est de permettre à l’administration saisie des formalités requises d’identifier l’entreprise via l’utilisation de ce numéro SIREN et de recueillir grâce à lui l’ensemble des données nécessaires à son intervention par le biais du site internet suivant : https://annuaire-entreprises.data.gouv.fr/.  </w:t>
      </w:r>
    </w:p>
    <w:p w14:paraId="5D5FABD6" w14:textId="77777777" w:rsidR="00ED78A1" w:rsidRPr="00ED78A1" w:rsidRDefault="00ED78A1" w:rsidP="00ED78A1">
      <w:pPr>
        <w:rPr>
          <w:rFonts w:cstheme="minorHAnsi"/>
        </w:rPr>
      </w:pPr>
      <w:r w:rsidRPr="00ED78A1">
        <w:rPr>
          <w:rFonts w:cstheme="minorHAnsi"/>
        </w:rPr>
        <w:t>Les procédures administratives concernées par cette mesure touchent à différents domaines de la vie des entreprises (fiscal, commercial, etc.), et concernent notamment les demandes d’autorisation d’exploitation commerciale.</w:t>
      </w:r>
    </w:p>
    <w:p w14:paraId="3A50142C" w14:textId="77777777" w:rsidR="00ED78A1" w:rsidRPr="00ED78A1" w:rsidRDefault="00ED78A1" w:rsidP="00ED78A1">
      <w:pPr>
        <w:rPr>
          <w:rFonts w:cstheme="minorHAnsi"/>
        </w:rPr>
      </w:pPr>
      <w:r w:rsidRPr="00ED78A1">
        <w:rPr>
          <w:rFonts w:cstheme="minorHAnsi"/>
        </w:rPr>
        <w:t>Point important, l’essentiel de ces dispositions entreront en vigueur le 23 novembre 2021.</w:t>
      </w:r>
    </w:p>
    <w:p w14:paraId="2D22B740" w14:textId="77777777" w:rsidR="00ED78A1" w:rsidRPr="00ED78A1" w:rsidRDefault="00ED78A1" w:rsidP="00ED78A1">
      <w:pPr>
        <w:rPr>
          <w:rFonts w:cstheme="minorHAnsi"/>
        </w:rPr>
      </w:pPr>
      <w:r w:rsidRPr="00ED78A1">
        <w:rPr>
          <w:rFonts w:cstheme="minorHAnsi"/>
        </w:rPr>
        <w:t xml:space="preserve">Notez qu’en raison de la spécificité de leur environnement juridique, cet assouplissement n’a pas vocation à s’appliquer dans les territoires d’Outre-mer suivants : </w:t>
      </w:r>
    </w:p>
    <w:p w14:paraId="27DCCEDE" w14:textId="2AD57700" w:rsidR="00ED78A1" w:rsidRPr="00ED78A1" w:rsidRDefault="00ED78A1" w:rsidP="00ED78A1">
      <w:pPr>
        <w:pStyle w:val="Paragraphedeliste"/>
        <w:numPr>
          <w:ilvl w:val="0"/>
          <w:numId w:val="29"/>
        </w:numPr>
        <w:rPr>
          <w:rFonts w:cstheme="minorHAnsi"/>
        </w:rPr>
      </w:pPr>
      <w:r w:rsidRPr="00ED78A1">
        <w:rPr>
          <w:rFonts w:cstheme="minorHAnsi"/>
        </w:rPr>
        <w:t>les îles Wallis et Futuna ;</w:t>
      </w:r>
    </w:p>
    <w:p w14:paraId="5CF8F277" w14:textId="5751C520" w:rsidR="00ED78A1" w:rsidRPr="00ED78A1" w:rsidRDefault="00ED78A1" w:rsidP="00ED78A1">
      <w:pPr>
        <w:pStyle w:val="Paragraphedeliste"/>
        <w:numPr>
          <w:ilvl w:val="0"/>
          <w:numId w:val="29"/>
        </w:numPr>
        <w:rPr>
          <w:rFonts w:cstheme="minorHAnsi"/>
        </w:rPr>
      </w:pPr>
      <w:r w:rsidRPr="00ED78A1">
        <w:rPr>
          <w:rFonts w:cstheme="minorHAnsi"/>
        </w:rPr>
        <w:t>la Polynésie française ;</w:t>
      </w:r>
    </w:p>
    <w:p w14:paraId="557A9493" w14:textId="14ECA0A7" w:rsidR="00ED78A1" w:rsidRPr="00ED78A1" w:rsidRDefault="00ED78A1" w:rsidP="00ED78A1">
      <w:pPr>
        <w:pStyle w:val="Paragraphedeliste"/>
        <w:numPr>
          <w:ilvl w:val="0"/>
          <w:numId w:val="29"/>
        </w:numPr>
        <w:rPr>
          <w:rFonts w:cstheme="minorHAnsi"/>
        </w:rPr>
      </w:pPr>
      <w:r w:rsidRPr="00ED78A1">
        <w:rPr>
          <w:rFonts w:cstheme="minorHAnsi"/>
        </w:rPr>
        <w:t>la Nouvelle-Calédonie ;</w:t>
      </w:r>
    </w:p>
    <w:p w14:paraId="53E36E70" w14:textId="6930E95F" w:rsidR="007B0D4F" w:rsidRPr="00ED78A1" w:rsidRDefault="00ED78A1" w:rsidP="00ED78A1">
      <w:pPr>
        <w:pStyle w:val="Paragraphedeliste"/>
        <w:numPr>
          <w:ilvl w:val="0"/>
          <w:numId w:val="29"/>
        </w:numPr>
        <w:rPr>
          <w:rFonts w:cstheme="minorHAnsi"/>
        </w:rPr>
      </w:pPr>
      <w:r w:rsidRPr="00ED78A1">
        <w:rPr>
          <w:rFonts w:cstheme="minorHAnsi"/>
        </w:rPr>
        <w:t>les Terres australes et antarctiques françaises.</w:t>
      </w:r>
    </w:p>
    <w:p w14:paraId="13E3DDA5" w14:textId="77777777" w:rsidR="00621C51" w:rsidRDefault="00621C51" w:rsidP="00BE5D1F"/>
    <w:p w14:paraId="379809C4" w14:textId="77777777" w:rsidR="0025465F" w:rsidRDefault="0025465F">
      <w:r>
        <w:br w:type="page"/>
      </w:r>
    </w:p>
    <w:p w14:paraId="5EBB7A98" w14:textId="77777777" w:rsidR="0025465F" w:rsidRDefault="0025465F" w:rsidP="0025465F">
      <w:pPr>
        <w:jc w:val="center"/>
      </w:pPr>
    </w:p>
    <w:p w14:paraId="006D64CB" w14:textId="5744F01B" w:rsidR="005546DE" w:rsidRDefault="005546DE" w:rsidP="005546DE">
      <w:pPr>
        <w:pStyle w:val="Titre2"/>
      </w:pPr>
      <w:bookmarkStart w:id="46" w:name="_Toc74651334"/>
      <w:r>
        <w:t>Ce qu’il faut savoir en matière de droit des sociétés</w:t>
      </w:r>
      <w:bookmarkEnd w:id="46"/>
    </w:p>
    <w:p w14:paraId="53AB2B8B" w14:textId="33076405" w:rsidR="005A5F24" w:rsidRPr="00BA1E49" w:rsidRDefault="0063407D" w:rsidP="005A5F24">
      <w:pPr>
        <w:pStyle w:val="Titre3"/>
      </w:pPr>
      <w:bookmarkStart w:id="47" w:name="_Toc74651335"/>
      <w:r>
        <w:t>Président de SAS et expiration du mandat</w:t>
      </w:r>
      <w:bookmarkEnd w:id="47"/>
    </w:p>
    <w:p w14:paraId="1AE63293" w14:textId="63DA3766" w:rsidR="005A5F24" w:rsidRDefault="005A5F24" w:rsidP="005A5F24">
      <w:pPr>
        <w:rPr>
          <w:rFonts w:cstheme="minorHAnsi"/>
        </w:rPr>
      </w:pPr>
      <w:r w:rsidRPr="00E45B66">
        <w:rPr>
          <w:rFonts w:cstheme="minorHAnsi"/>
          <w:b/>
          <w:color w:val="0070C0"/>
        </w:rPr>
        <w:t>Slide</w:t>
      </w:r>
      <w:r>
        <w:rPr>
          <w:rFonts w:cstheme="minorHAnsi"/>
          <w:b/>
          <w:color w:val="0070C0"/>
        </w:rPr>
        <w:t xml:space="preserve">s </w:t>
      </w:r>
      <w:r w:rsidR="006D3AAB">
        <w:rPr>
          <w:rFonts w:cstheme="minorHAnsi"/>
          <w:b/>
          <w:color w:val="0070C0"/>
        </w:rPr>
        <w:t>52 et 53</w:t>
      </w:r>
    </w:p>
    <w:p w14:paraId="7D3AA6FA" w14:textId="7C164448" w:rsidR="005A5F24" w:rsidRPr="00E445D8" w:rsidRDefault="005A5F24" w:rsidP="005A5F24">
      <w:pPr>
        <w:rPr>
          <w:rFonts w:cstheme="minorHAnsi"/>
        </w:rPr>
      </w:pPr>
      <w:r w:rsidRPr="00451FF7">
        <w:rPr>
          <w:rFonts w:cstheme="minorHAnsi"/>
        </w:rPr>
        <w:t>Source </w:t>
      </w:r>
      <w:r w:rsidRPr="002545F5">
        <w:rPr>
          <w:rFonts w:cstheme="minorHAnsi"/>
        </w:rPr>
        <w:t xml:space="preserve">: </w:t>
      </w:r>
      <w:r w:rsidR="00E445D8" w:rsidRPr="00E445D8">
        <w:rPr>
          <w:rFonts w:cstheme="minorHAnsi"/>
        </w:rPr>
        <w:t>Arrêt de la Cour de cassation, chambre commerciale, du 17 mars 2021, n° 19-14525</w:t>
      </w:r>
    </w:p>
    <w:p w14:paraId="4E24C2A0" w14:textId="77777777" w:rsidR="005A5F24" w:rsidRPr="005B73D2" w:rsidRDefault="005A5F24" w:rsidP="005A5F24">
      <w:pPr>
        <w:pStyle w:val="Titre4"/>
        <w:rPr>
          <w:rStyle w:val="txt"/>
        </w:rPr>
      </w:pPr>
      <w:r w:rsidRPr="004858FF">
        <w:rPr>
          <w:rStyle w:val="txt"/>
        </w:rPr>
        <w:t>ce qu’il faut savoir…</w:t>
      </w:r>
    </w:p>
    <w:p w14:paraId="4AF57367" w14:textId="77777777" w:rsidR="00BB261B" w:rsidRPr="00BB261B" w:rsidRDefault="00BB261B" w:rsidP="00BB261B">
      <w:pPr>
        <w:rPr>
          <w:rFonts w:cstheme="minorHAnsi"/>
        </w:rPr>
      </w:pPr>
      <w:r w:rsidRPr="00BB261B">
        <w:rPr>
          <w:rFonts w:cstheme="minorHAnsi"/>
        </w:rPr>
        <w:t>L’associé unique d’une SAS nomme, pour une durée de 3 ans, une présidente à la tête de la société, dont les statuts prévoient que la révocation fautive doit donner lieu au versement d’une indemnisation.</w:t>
      </w:r>
    </w:p>
    <w:p w14:paraId="4559016C" w14:textId="77777777" w:rsidR="00BB261B" w:rsidRPr="00BB261B" w:rsidRDefault="00BB261B" w:rsidP="00BB261B">
      <w:pPr>
        <w:rPr>
          <w:rFonts w:cstheme="minorHAnsi"/>
        </w:rPr>
      </w:pPr>
      <w:r w:rsidRPr="00BB261B">
        <w:rPr>
          <w:rFonts w:cstheme="minorHAnsi"/>
        </w:rPr>
        <w:t>A l’expiration du délai de 3 ans, le mandat de la présidente cesse, sans que l’associé unique ne le renouvelle. Mais celle-ci continue malgré tout d’occuper ses fonctions et décide, peu de temps après, de réclamer une indemnisation à la suite de la révocation fautive de son mandat.</w:t>
      </w:r>
    </w:p>
    <w:p w14:paraId="02985F42" w14:textId="77777777" w:rsidR="00BB261B" w:rsidRPr="00BB261B" w:rsidRDefault="00BB261B" w:rsidP="00BB261B">
      <w:pPr>
        <w:rPr>
          <w:rFonts w:cstheme="minorHAnsi"/>
        </w:rPr>
      </w:pPr>
      <w:r w:rsidRPr="00BB261B">
        <w:rPr>
          <w:rFonts w:cstheme="minorHAnsi"/>
        </w:rPr>
        <w:t>« Sauf que cette indemnisation est réservée à la présidente de la SAS nommée par l’assemblée générale », rétorque l’associé unique, et que ce n’est plus le cas de l’ancienne dirigeante ici, dont le mandat est arrivé à expiration sans être renouvelé.</w:t>
      </w:r>
    </w:p>
    <w:p w14:paraId="2A8B2458" w14:textId="6AC7BEE9" w:rsidR="00BB261B" w:rsidRPr="00BB261B" w:rsidRDefault="00BB261B" w:rsidP="00BB261B">
      <w:pPr>
        <w:rPr>
          <w:rFonts w:cstheme="minorHAnsi"/>
        </w:rPr>
      </w:pPr>
      <w:r w:rsidRPr="00BB261B">
        <w:rPr>
          <w:rFonts w:cstheme="minorHAnsi"/>
        </w:rPr>
        <w:t>Ce que confirme le juge, qui rappelle que l’indemnisation due en cas de révocation abusive ne peut être octroyée qu’au président de SAS dont le mandat est toujours en cours de validité (appelé « dirigeant de droit</w:t>
      </w:r>
      <w:r>
        <w:rPr>
          <w:rFonts w:cstheme="minorHAnsi"/>
        </w:rPr>
        <w:t> </w:t>
      </w:r>
      <w:r w:rsidRPr="00BB261B">
        <w:rPr>
          <w:rFonts w:cstheme="minorHAnsi"/>
        </w:rPr>
        <w:t>»).</w:t>
      </w:r>
    </w:p>
    <w:p w14:paraId="36FE14BF" w14:textId="77777777" w:rsidR="00BB261B" w:rsidRPr="00BB261B" w:rsidRDefault="00BB261B" w:rsidP="00BB261B">
      <w:pPr>
        <w:rPr>
          <w:rFonts w:cstheme="minorHAnsi"/>
        </w:rPr>
      </w:pPr>
      <w:r w:rsidRPr="00BB261B">
        <w:rPr>
          <w:rFonts w:cstheme="minorHAnsi"/>
        </w:rPr>
        <w:t>Ici, le mandat de la présidente n’a pas été renouvelé par les associés et l’ex-dirigeante, qui a continué à exercer ses fonctions en qualité de « dirigeante de fait », ne peut pas prétendre que celui-ci a été tacitement reconduit.</w:t>
      </w:r>
    </w:p>
    <w:p w14:paraId="2AD84FF5" w14:textId="56D52333" w:rsidR="005A5F24" w:rsidRDefault="00BB261B" w:rsidP="00BB261B">
      <w:pPr>
        <w:rPr>
          <w:rFonts w:cstheme="minorHAnsi"/>
        </w:rPr>
      </w:pPr>
      <w:r w:rsidRPr="00BB261B">
        <w:rPr>
          <w:rFonts w:cstheme="minorHAnsi"/>
        </w:rPr>
        <w:t>Par conséquent, elle ne peut obtenir l’indemnisation réclamée…</w:t>
      </w:r>
    </w:p>
    <w:p w14:paraId="49B435E4" w14:textId="77777777" w:rsidR="00BB261B" w:rsidRPr="00451FF7" w:rsidRDefault="00BB261B" w:rsidP="00BB261B">
      <w:pPr>
        <w:rPr>
          <w:rFonts w:cstheme="minorHAnsi"/>
        </w:rPr>
      </w:pPr>
    </w:p>
    <w:p w14:paraId="72647198" w14:textId="35A8A5F4" w:rsidR="0063407D" w:rsidRPr="00BA1E49" w:rsidRDefault="002D4665" w:rsidP="0063407D">
      <w:pPr>
        <w:pStyle w:val="Titre3"/>
      </w:pPr>
      <w:bookmarkStart w:id="48" w:name="_Toc74651336"/>
      <w:r>
        <w:t>Vente de parts sociales et détermination du prix</w:t>
      </w:r>
      <w:bookmarkEnd w:id="48"/>
    </w:p>
    <w:p w14:paraId="0C54F767" w14:textId="05F30F9D" w:rsidR="0063407D" w:rsidRDefault="0063407D" w:rsidP="0063407D">
      <w:pPr>
        <w:rPr>
          <w:rFonts w:cstheme="minorHAnsi"/>
        </w:rPr>
      </w:pPr>
      <w:r w:rsidRPr="00E45B66">
        <w:rPr>
          <w:rFonts w:cstheme="minorHAnsi"/>
          <w:b/>
          <w:color w:val="0070C0"/>
        </w:rPr>
        <w:t>Slide</w:t>
      </w:r>
      <w:r>
        <w:rPr>
          <w:rFonts w:cstheme="minorHAnsi"/>
          <w:b/>
          <w:color w:val="0070C0"/>
        </w:rPr>
        <w:t xml:space="preserve">s </w:t>
      </w:r>
      <w:r w:rsidR="006D3AAB">
        <w:rPr>
          <w:rFonts w:cstheme="minorHAnsi"/>
          <w:b/>
          <w:color w:val="0070C0"/>
        </w:rPr>
        <w:t>54 et 55</w:t>
      </w:r>
    </w:p>
    <w:p w14:paraId="5586F4B7" w14:textId="4740F21F" w:rsidR="0063407D" w:rsidRPr="008470D0" w:rsidRDefault="0063407D" w:rsidP="0063407D">
      <w:pPr>
        <w:rPr>
          <w:rFonts w:cstheme="minorHAnsi"/>
        </w:rPr>
      </w:pPr>
      <w:r w:rsidRPr="00451FF7">
        <w:rPr>
          <w:rFonts w:cstheme="minorHAnsi"/>
        </w:rPr>
        <w:t>Source </w:t>
      </w:r>
      <w:r w:rsidRPr="002545F5">
        <w:rPr>
          <w:rFonts w:cstheme="minorHAnsi"/>
        </w:rPr>
        <w:t xml:space="preserve">: </w:t>
      </w:r>
      <w:r w:rsidR="008470D0" w:rsidRPr="008470D0">
        <w:rPr>
          <w:rFonts w:cstheme="minorHAnsi"/>
        </w:rPr>
        <w:t>Arrêt de la Cour de cassation, 1</w:t>
      </w:r>
      <w:r w:rsidR="008470D0" w:rsidRPr="008470D0">
        <w:rPr>
          <w:rFonts w:cstheme="minorHAnsi"/>
          <w:vertAlign w:val="superscript"/>
        </w:rPr>
        <w:t>ère</w:t>
      </w:r>
      <w:r w:rsidR="008470D0" w:rsidRPr="008470D0">
        <w:rPr>
          <w:rFonts w:cstheme="minorHAnsi"/>
        </w:rPr>
        <w:t xml:space="preserve"> chambre civile, du 5 mai 2021, n° 19-20921</w:t>
      </w:r>
    </w:p>
    <w:p w14:paraId="3566E11B" w14:textId="77777777" w:rsidR="0063407D" w:rsidRPr="005B73D2" w:rsidRDefault="0063407D" w:rsidP="0063407D">
      <w:pPr>
        <w:pStyle w:val="Titre4"/>
        <w:rPr>
          <w:rStyle w:val="txt"/>
        </w:rPr>
      </w:pPr>
      <w:r w:rsidRPr="004858FF">
        <w:rPr>
          <w:rStyle w:val="txt"/>
        </w:rPr>
        <w:t>ce qu’il faut savoir…</w:t>
      </w:r>
    </w:p>
    <w:p w14:paraId="51B5783F" w14:textId="77777777" w:rsidR="00DE6224" w:rsidRPr="00DE6224" w:rsidRDefault="00DE6224" w:rsidP="00DE6224">
      <w:pPr>
        <w:rPr>
          <w:rFonts w:cstheme="minorHAnsi"/>
        </w:rPr>
      </w:pPr>
      <w:r w:rsidRPr="00DE6224">
        <w:rPr>
          <w:rFonts w:cstheme="minorHAnsi"/>
        </w:rPr>
        <w:t>Le gérant d’un bar-tabac cède une partie de ses parts sociales à un acquéreur en janvier d’une année (N), à la suite d’un compromis signé en septembre de l’année précédente (N-1).</w:t>
      </w:r>
    </w:p>
    <w:p w14:paraId="39D2F828" w14:textId="77777777" w:rsidR="00DE6224" w:rsidRPr="00DE6224" w:rsidRDefault="00DE6224" w:rsidP="00DE6224">
      <w:pPr>
        <w:rPr>
          <w:rFonts w:cstheme="minorHAnsi"/>
        </w:rPr>
      </w:pPr>
      <w:r w:rsidRPr="00DE6224">
        <w:rPr>
          <w:rFonts w:cstheme="minorHAnsi"/>
        </w:rPr>
        <w:t>Plus d’un an plus tard, la société est placée en liquidation judiciaire.</w:t>
      </w:r>
    </w:p>
    <w:p w14:paraId="6D86E641" w14:textId="77777777" w:rsidR="00DE6224" w:rsidRPr="00DE6224" w:rsidRDefault="00DE6224" w:rsidP="00DE6224">
      <w:pPr>
        <w:rPr>
          <w:rFonts w:cstheme="minorHAnsi"/>
        </w:rPr>
      </w:pPr>
      <w:r w:rsidRPr="00DE6224">
        <w:rPr>
          <w:rFonts w:cstheme="minorHAnsi"/>
        </w:rPr>
        <w:lastRenderedPageBreak/>
        <w:t xml:space="preserve">Pour échapper au paiement des dettes de cette société, l’acquéreur va tenter d’obtenir l’annulation de l’acte d’achat des parts sociales. </w:t>
      </w:r>
    </w:p>
    <w:p w14:paraId="6B3C2FA4" w14:textId="77777777" w:rsidR="00DE6224" w:rsidRPr="00DE6224" w:rsidRDefault="00DE6224" w:rsidP="00DE6224">
      <w:pPr>
        <w:rPr>
          <w:rFonts w:cstheme="minorHAnsi"/>
        </w:rPr>
      </w:pPr>
      <w:r w:rsidRPr="00DE6224">
        <w:rPr>
          <w:rFonts w:cstheme="minorHAnsi"/>
        </w:rPr>
        <w:t>Pour cela, il fait valoir qu’il a été trompé par le gérant : au moment de la vente, ce dernier lui a présenté la situation comptable de la société au 30 juin N-2 au lieu de lui présenter la situation comptable au 30 juin N-1.</w:t>
      </w:r>
    </w:p>
    <w:p w14:paraId="7EFC934C" w14:textId="77777777" w:rsidR="00DE6224" w:rsidRPr="00DE6224" w:rsidRDefault="00DE6224" w:rsidP="00DE6224">
      <w:pPr>
        <w:rPr>
          <w:rFonts w:cstheme="minorHAnsi"/>
        </w:rPr>
      </w:pPr>
      <w:r w:rsidRPr="00DE6224">
        <w:rPr>
          <w:rFonts w:cstheme="minorHAnsi"/>
        </w:rPr>
        <w:t>« Non », répond le gérant, qui rappelle :</w:t>
      </w:r>
    </w:p>
    <w:p w14:paraId="3AABBA07" w14:textId="644ED642" w:rsidR="00DE6224" w:rsidRPr="00DE6224" w:rsidRDefault="00DE6224" w:rsidP="00DE6224">
      <w:pPr>
        <w:pStyle w:val="Paragraphedeliste"/>
        <w:numPr>
          <w:ilvl w:val="0"/>
          <w:numId w:val="69"/>
        </w:numPr>
        <w:rPr>
          <w:rFonts w:cstheme="minorHAnsi"/>
        </w:rPr>
      </w:pPr>
      <w:r w:rsidRPr="00DE6224">
        <w:rPr>
          <w:rFonts w:cstheme="minorHAnsi"/>
        </w:rPr>
        <w:t>que l’acquéreur était d’accord avec lui pour que la vente soit basée sur la situation comptable au 30 juin N-2 ;</w:t>
      </w:r>
    </w:p>
    <w:p w14:paraId="690C7C47" w14:textId="1139580B" w:rsidR="00DE6224" w:rsidRPr="00DE6224" w:rsidRDefault="00DE6224" w:rsidP="00DE6224">
      <w:pPr>
        <w:pStyle w:val="Paragraphedeliste"/>
        <w:numPr>
          <w:ilvl w:val="0"/>
          <w:numId w:val="69"/>
        </w:numPr>
        <w:rPr>
          <w:rFonts w:cstheme="minorHAnsi"/>
        </w:rPr>
      </w:pPr>
      <w:r w:rsidRPr="00DE6224">
        <w:rPr>
          <w:rFonts w:cstheme="minorHAnsi"/>
        </w:rPr>
        <w:t>que lors de la signature du compromis en septembre N-1, les comptes au 30 juin N-1 n’étaient pas encore disponibles ;</w:t>
      </w:r>
    </w:p>
    <w:p w14:paraId="1F08928D" w14:textId="1BD6298A" w:rsidR="00DE6224" w:rsidRPr="00DE6224" w:rsidRDefault="00DE6224" w:rsidP="00DE6224">
      <w:pPr>
        <w:pStyle w:val="Paragraphedeliste"/>
        <w:numPr>
          <w:ilvl w:val="0"/>
          <w:numId w:val="69"/>
        </w:numPr>
        <w:rPr>
          <w:rFonts w:cstheme="minorHAnsi"/>
        </w:rPr>
      </w:pPr>
      <w:r w:rsidRPr="00DE6224">
        <w:rPr>
          <w:rFonts w:cstheme="minorHAnsi"/>
        </w:rPr>
        <w:t xml:space="preserve">que les parties ont sciemment choisi d’écarter les comptes au 30 juin N-1, les résultats de l’année N-1 étant faussés par l’impact des travaux réalisés par la commune près du bar-tabac. </w:t>
      </w:r>
    </w:p>
    <w:p w14:paraId="2FFA30B5" w14:textId="734B6B72" w:rsidR="0063407D" w:rsidRDefault="00DE6224" w:rsidP="00DE6224">
      <w:pPr>
        <w:rPr>
          <w:rFonts w:cstheme="minorHAnsi"/>
        </w:rPr>
      </w:pPr>
      <w:r w:rsidRPr="00DE6224">
        <w:rPr>
          <w:rFonts w:cstheme="minorHAnsi"/>
        </w:rPr>
        <w:t>Autant d’arguments qui suffisent à convaincre le juge de la bonne foi du gérant. La demande d’annulation de l’acte d’achat des parts sociales est donc rejetée.</w:t>
      </w:r>
    </w:p>
    <w:p w14:paraId="2F65D78C" w14:textId="77777777" w:rsidR="00DE6224" w:rsidRPr="00451FF7" w:rsidRDefault="00DE6224" w:rsidP="00DE6224">
      <w:pPr>
        <w:rPr>
          <w:rFonts w:cstheme="minorHAnsi"/>
        </w:rPr>
      </w:pPr>
    </w:p>
    <w:p w14:paraId="2E50F56E" w14:textId="35330BDC" w:rsidR="0063407D" w:rsidRPr="00BA1E49" w:rsidRDefault="0043043E" w:rsidP="0063407D">
      <w:pPr>
        <w:pStyle w:val="Titre3"/>
      </w:pPr>
      <w:bookmarkStart w:id="49" w:name="_Toc74651337"/>
      <w:r>
        <w:t>Liquidation judiciaire et interdiction de gérer</w:t>
      </w:r>
      <w:bookmarkEnd w:id="49"/>
    </w:p>
    <w:p w14:paraId="38289E97" w14:textId="59E9999A" w:rsidR="0063407D" w:rsidRDefault="0063407D" w:rsidP="0063407D">
      <w:pPr>
        <w:rPr>
          <w:rFonts w:cstheme="minorHAnsi"/>
        </w:rPr>
      </w:pPr>
      <w:r w:rsidRPr="00E45B66">
        <w:rPr>
          <w:rFonts w:cstheme="minorHAnsi"/>
          <w:b/>
          <w:color w:val="0070C0"/>
        </w:rPr>
        <w:t>Slide</w:t>
      </w:r>
      <w:r>
        <w:rPr>
          <w:rFonts w:cstheme="minorHAnsi"/>
          <w:b/>
          <w:color w:val="0070C0"/>
        </w:rPr>
        <w:t xml:space="preserve">s </w:t>
      </w:r>
      <w:r w:rsidR="006D3AAB">
        <w:rPr>
          <w:rFonts w:cstheme="minorHAnsi"/>
          <w:b/>
          <w:color w:val="0070C0"/>
        </w:rPr>
        <w:t>56 et 57</w:t>
      </w:r>
    </w:p>
    <w:p w14:paraId="32ED101C" w14:textId="7B3A181F" w:rsidR="0063407D" w:rsidRPr="005A0130" w:rsidRDefault="0063407D" w:rsidP="0063407D">
      <w:pPr>
        <w:rPr>
          <w:rFonts w:cstheme="minorHAnsi"/>
        </w:rPr>
      </w:pPr>
      <w:r w:rsidRPr="00451FF7">
        <w:rPr>
          <w:rFonts w:cstheme="minorHAnsi"/>
        </w:rPr>
        <w:t>Source </w:t>
      </w:r>
      <w:r w:rsidRPr="002545F5">
        <w:rPr>
          <w:rFonts w:cstheme="minorHAnsi"/>
        </w:rPr>
        <w:t xml:space="preserve">: </w:t>
      </w:r>
      <w:r w:rsidR="005A0130" w:rsidRPr="005A0130">
        <w:rPr>
          <w:rFonts w:cstheme="minorHAnsi"/>
        </w:rPr>
        <w:t>Arrêt de la Cour de cassation, 3</w:t>
      </w:r>
      <w:r w:rsidR="005A0130" w:rsidRPr="005A0130">
        <w:rPr>
          <w:rFonts w:cstheme="minorHAnsi"/>
          <w:vertAlign w:val="superscript"/>
        </w:rPr>
        <w:t>e</w:t>
      </w:r>
      <w:r w:rsidR="005A0130" w:rsidRPr="005A0130">
        <w:rPr>
          <w:rFonts w:cstheme="minorHAnsi"/>
        </w:rPr>
        <w:t xml:space="preserve"> chambre civile du 19 mai 2021, n°20-12049</w:t>
      </w:r>
    </w:p>
    <w:p w14:paraId="4B8FE29B" w14:textId="77777777" w:rsidR="0063407D" w:rsidRPr="005B73D2" w:rsidRDefault="0063407D" w:rsidP="0063407D">
      <w:pPr>
        <w:pStyle w:val="Titre4"/>
        <w:rPr>
          <w:rStyle w:val="txt"/>
        </w:rPr>
      </w:pPr>
      <w:r w:rsidRPr="004858FF">
        <w:rPr>
          <w:rStyle w:val="txt"/>
        </w:rPr>
        <w:t>ce qu’il faut savoir…</w:t>
      </w:r>
    </w:p>
    <w:p w14:paraId="608AD7D0" w14:textId="77777777" w:rsidR="00E268A4" w:rsidRPr="00E268A4" w:rsidRDefault="00E268A4" w:rsidP="00E268A4">
      <w:pPr>
        <w:rPr>
          <w:rFonts w:cstheme="minorHAnsi"/>
        </w:rPr>
      </w:pPr>
      <w:r w:rsidRPr="00E268A4">
        <w:rPr>
          <w:rFonts w:cstheme="minorHAnsi"/>
        </w:rPr>
        <w:t>A la suite d’une mise en liquidation judiciaire de sa société, un gérant se voit interdire la gestion de toute entreprise ou société, peu importe l’activité exercée, pendant une durée de 7 ans.</w:t>
      </w:r>
    </w:p>
    <w:p w14:paraId="4986274B" w14:textId="77777777" w:rsidR="00E268A4" w:rsidRPr="00E268A4" w:rsidRDefault="00E268A4" w:rsidP="00E268A4">
      <w:pPr>
        <w:rPr>
          <w:rFonts w:cstheme="minorHAnsi"/>
        </w:rPr>
      </w:pPr>
      <w:r w:rsidRPr="00E268A4">
        <w:rPr>
          <w:rFonts w:cstheme="minorHAnsi"/>
        </w:rPr>
        <w:t>Pour mémoire, lorsqu’un dirigeant commet des fautes contribuant à aggraver la situation financière de sa société, il peut faire l’objet de sanctions dont, notamment, une interdiction d’exercer des fonctions de direction au sein d’une ou plusieurs sociétés ou entreprises (qu’elles soient commerciales, artisanales ou agricoles).</w:t>
      </w:r>
    </w:p>
    <w:p w14:paraId="3A9E5531" w14:textId="77777777" w:rsidR="00E268A4" w:rsidRPr="00E268A4" w:rsidRDefault="00E268A4" w:rsidP="00E268A4">
      <w:pPr>
        <w:rPr>
          <w:rFonts w:cstheme="minorHAnsi"/>
        </w:rPr>
      </w:pPr>
      <w:r w:rsidRPr="00E268A4">
        <w:rPr>
          <w:rFonts w:cstheme="minorHAnsi"/>
        </w:rPr>
        <w:t>Or, si le gérant ne conteste pas ici la validité de cette sanction, il estime qu’il a parfaitement le droit de gérer une entreprise individuelle pour l’exercice d’une activité qui n’est ni commerciale, ni artisanale, ni agricole.</w:t>
      </w:r>
    </w:p>
    <w:p w14:paraId="673716AF" w14:textId="77777777" w:rsidR="00E268A4" w:rsidRPr="00E268A4" w:rsidRDefault="00E268A4" w:rsidP="00E268A4">
      <w:pPr>
        <w:rPr>
          <w:rFonts w:cstheme="minorHAnsi"/>
        </w:rPr>
      </w:pPr>
      <w:r w:rsidRPr="00E268A4">
        <w:rPr>
          <w:rFonts w:cstheme="minorHAnsi"/>
        </w:rPr>
        <w:t xml:space="preserve">Une position partagée par le juge, qui rappelle que la sanction prévoyant une interdiction de gestion ne peut être étendue à une entreprise individuelle dont l’activité n’est ni commerciale, ni artisanale, ni agricole. </w:t>
      </w:r>
    </w:p>
    <w:p w14:paraId="7CA7E89B" w14:textId="54EDA29A" w:rsidR="0063407D" w:rsidRDefault="00E268A4" w:rsidP="00E268A4">
      <w:pPr>
        <w:rPr>
          <w:rFonts w:cstheme="minorHAnsi"/>
        </w:rPr>
      </w:pPr>
      <w:r w:rsidRPr="00E268A4">
        <w:rPr>
          <w:rFonts w:cstheme="minorHAnsi"/>
        </w:rPr>
        <w:t>Ce qui lui donne donc le droit, par exemple, de créer une entreprise libérale.</w:t>
      </w:r>
    </w:p>
    <w:p w14:paraId="3F4E403E" w14:textId="77777777" w:rsidR="003E24BF" w:rsidRDefault="003E24BF">
      <w:pPr>
        <w:rPr>
          <w:rStyle w:val="txt"/>
        </w:rPr>
      </w:pPr>
      <w:r>
        <w:rPr>
          <w:rStyle w:val="txt"/>
        </w:rPr>
        <w:br w:type="page"/>
      </w:r>
    </w:p>
    <w:p w14:paraId="38036291" w14:textId="77777777" w:rsidR="00F306E6" w:rsidRDefault="00F306E6" w:rsidP="00F306E6">
      <w:pPr>
        <w:spacing w:beforeAutospacing="1" w:after="100" w:afterAutospacing="1" w:line="240" w:lineRule="auto"/>
        <w:rPr>
          <w:rStyle w:val="txt"/>
        </w:rPr>
      </w:pPr>
    </w:p>
    <w:p w14:paraId="3AE1DA88" w14:textId="77777777" w:rsidR="00AD59E0" w:rsidRDefault="00AD59E0" w:rsidP="005B4BAC">
      <w:pPr>
        <w:rPr>
          <w:rStyle w:val="txt"/>
        </w:rPr>
      </w:pPr>
    </w:p>
    <w:p w14:paraId="05895C8A" w14:textId="77777777" w:rsidR="00AD59E0" w:rsidRDefault="00AD59E0" w:rsidP="00AD59E0"/>
    <w:p w14:paraId="01AFD867" w14:textId="77777777" w:rsidR="00AD59E0" w:rsidRDefault="00AD59E0" w:rsidP="00AD59E0"/>
    <w:p w14:paraId="520D98B8" w14:textId="77777777" w:rsidR="00AD59E0" w:rsidRDefault="00AD59E0" w:rsidP="00AD59E0"/>
    <w:p w14:paraId="6EA8B89D" w14:textId="77777777" w:rsidR="00AD59E0" w:rsidRDefault="00AD59E0" w:rsidP="00AD59E0"/>
    <w:p w14:paraId="59BF53D9" w14:textId="77777777" w:rsidR="00AD59E0" w:rsidRDefault="00AD59E0" w:rsidP="00AD59E0"/>
    <w:p w14:paraId="1C008C91" w14:textId="77777777" w:rsidR="00AD59E0" w:rsidRDefault="00AD59E0" w:rsidP="00AD59E0"/>
    <w:p w14:paraId="5C1D5D42" w14:textId="77777777" w:rsidR="00AD59E0" w:rsidRDefault="00AD59E0" w:rsidP="00AD59E0"/>
    <w:p w14:paraId="36CF0A9D" w14:textId="77777777" w:rsidR="00AD59E0" w:rsidRPr="00B36683" w:rsidRDefault="00183DA0" w:rsidP="00CB57AF">
      <w:pPr>
        <w:pStyle w:val="Titre1"/>
      </w:pPr>
      <w:bookmarkStart w:id="50" w:name="_Toc74651338"/>
      <w:r>
        <w:t>LE COIN DU DIRIGEANT</w:t>
      </w:r>
      <w:bookmarkEnd w:id="50"/>
    </w:p>
    <w:p w14:paraId="3FD70A11" w14:textId="77777777" w:rsidR="00AD59E0" w:rsidRDefault="00AD59E0" w:rsidP="00AD59E0"/>
    <w:p w14:paraId="37AA10A2" w14:textId="77777777" w:rsidR="00AD59E0" w:rsidRDefault="00AD59E0">
      <w:pPr>
        <w:rPr>
          <w:rStyle w:val="txt"/>
        </w:rPr>
      </w:pPr>
      <w:r>
        <w:rPr>
          <w:rStyle w:val="txt"/>
        </w:rPr>
        <w:br w:type="page"/>
      </w:r>
    </w:p>
    <w:p w14:paraId="2ADD5D71" w14:textId="77777777" w:rsidR="005C1C35" w:rsidRPr="00B36683" w:rsidRDefault="005C1C35" w:rsidP="00CB57AF">
      <w:pPr>
        <w:pStyle w:val="Titre2"/>
      </w:pPr>
      <w:bookmarkStart w:id="51" w:name="_Toc74651339"/>
      <w:r>
        <w:lastRenderedPageBreak/>
        <w:t>Ce qu’il faut savoir en matière d’impôt sur le revenu</w:t>
      </w:r>
      <w:bookmarkEnd w:id="51"/>
    </w:p>
    <w:p w14:paraId="3B807562" w14:textId="77777777" w:rsidR="008B0D27" w:rsidRDefault="008B0D27" w:rsidP="008B0D27"/>
    <w:p w14:paraId="02E042ED" w14:textId="70E1072D" w:rsidR="00FA4D23" w:rsidRPr="00BA1E49" w:rsidRDefault="009124E9" w:rsidP="00FA4D23">
      <w:pPr>
        <w:pStyle w:val="Titre3"/>
      </w:pPr>
      <w:bookmarkStart w:id="52" w:name="_Toc74651340"/>
      <w:r>
        <w:t>Crédit d’impôt sur les 1</w:t>
      </w:r>
      <w:r w:rsidRPr="002651FA">
        <w:rPr>
          <w:vertAlign w:val="superscript"/>
        </w:rPr>
        <w:t>ers</w:t>
      </w:r>
      <w:r>
        <w:t xml:space="preserve"> abonnements à un journal</w:t>
      </w:r>
      <w:bookmarkEnd w:id="52"/>
    </w:p>
    <w:p w14:paraId="31CA46AB" w14:textId="1BF8812B" w:rsidR="00FA4D23" w:rsidRDefault="00FA4D23" w:rsidP="006D3AAB">
      <w:pPr>
        <w:spacing w:before="0" w:after="0"/>
        <w:rPr>
          <w:rFonts w:cstheme="minorHAnsi"/>
        </w:rPr>
      </w:pPr>
      <w:r w:rsidRPr="00E45B66">
        <w:rPr>
          <w:rFonts w:cstheme="minorHAnsi"/>
          <w:b/>
          <w:color w:val="0070C0"/>
        </w:rPr>
        <w:t>Slide</w:t>
      </w:r>
      <w:r>
        <w:rPr>
          <w:rFonts w:cstheme="minorHAnsi"/>
          <w:b/>
          <w:color w:val="0070C0"/>
        </w:rPr>
        <w:t xml:space="preserve"> </w:t>
      </w:r>
      <w:r w:rsidR="006D3AAB">
        <w:rPr>
          <w:rFonts w:cstheme="minorHAnsi"/>
          <w:b/>
          <w:color w:val="0070C0"/>
        </w:rPr>
        <w:t>59</w:t>
      </w:r>
    </w:p>
    <w:p w14:paraId="53AC708A" w14:textId="6C62E976" w:rsidR="00FA4D23" w:rsidRPr="00BC675F" w:rsidRDefault="00FA4D23" w:rsidP="00FA4D23">
      <w:pPr>
        <w:rPr>
          <w:rFonts w:cstheme="minorHAnsi"/>
        </w:rPr>
      </w:pPr>
      <w:r w:rsidRPr="00451FF7">
        <w:rPr>
          <w:rFonts w:cstheme="minorHAnsi"/>
        </w:rPr>
        <w:t>Source </w:t>
      </w:r>
      <w:r w:rsidRPr="002545F5">
        <w:rPr>
          <w:rFonts w:cstheme="minorHAnsi"/>
        </w:rPr>
        <w:t xml:space="preserve">: </w:t>
      </w:r>
      <w:r w:rsidR="00BC675F" w:rsidRPr="00BC675F">
        <w:rPr>
          <w:rFonts w:cstheme="minorHAnsi"/>
        </w:rPr>
        <w:t>Décret n° 2021-560 du 7 mai 2021 fixant la date d'entrée en vigueur du crédit d'impôt sur le revenu pour le premier abonnement à un journal, à une publication périodique ou à un service de presse en ligne d'information politique et générale instauré par l'article 2 de la loi n° 2020-935 du 30 juillet 2020 de finances rectificative pour 2020</w:t>
      </w:r>
    </w:p>
    <w:p w14:paraId="1966520D" w14:textId="77777777" w:rsidR="00FA4D23" w:rsidRPr="005B73D2" w:rsidRDefault="00FA4D23" w:rsidP="00FA4D23">
      <w:pPr>
        <w:pStyle w:val="Titre4"/>
        <w:rPr>
          <w:rStyle w:val="txt"/>
        </w:rPr>
      </w:pPr>
      <w:r w:rsidRPr="004858FF">
        <w:rPr>
          <w:rStyle w:val="txt"/>
        </w:rPr>
        <w:t>ce qu’il faut savoir…</w:t>
      </w:r>
    </w:p>
    <w:p w14:paraId="5AAFC451" w14:textId="77777777" w:rsidR="00D44B3D" w:rsidRPr="00D44B3D" w:rsidRDefault="00D44B3D" w:rsidP="00D44B3D">
      <w:pPr>
        <w:rPr>
          <w:rFonts w:cstheme="minorHAnsi"/>
        </w:rPr>
      </w:pPr>
      <w:r w:rsidRPr="00D44B3D">
        <w:rPr>
          <w:rFonts w:cstheme="minorHAnsi"/>
        </w:rPr>
        <w:t>Pour mémoire, jusqu’au 31 décembre 2022, les particuliers qui souscrivent un 1</w:t>
      </w:r>
      <w:r w:rsidRPr="00D44B3D">
        <w:rPr>
          <w:rFonts w:cstheme="minorHAnsi"/>
          <w:vertAlign w:val="superscript"/>
        </w:rPr>
        <w:t>er</w:t>
      </w:r>
      <w:r w:rsidRPr="00D44B3D">
        <w:rPr>
          <w:rFonts w:cstheme="minorHAnsi"/>
        </w:rPr>
        <w:t xml:space="preserve"> abonnement à une publication de périodicité trimestrielle au maximum ou à un service de presse en ligne d'information politique et générale peuvent, toutes conditions remplies, bénéficier d’un crédit d’impôt égal à 30 % de leur dépense.</w:t>
      </w:r>
    </w:p>
    <w:p w14:paraId="45E84654" w14:textId="240B4A11" w:rsidR="00FA4D23" w:rsidRPr="00451FF7" w:rsidRDefault="00D44B3D" w:rsidP="00D44B3D">
      <w:pPr>
        <w:rPr>
          <w:rFonts w:cstheme="minorHAnsi"/>
        </w:rPr>
      </w:pPr>
      <w:r w:rsidRPr="00D44B3D">
        <w:rPr>
          <w:rFonts w:cstheme="minorHAnsi"/>
        </w:rPr>
        <w:t>Cet avantage fiscal s’applique pour les versements effectués à compter du 9 mai 2021 pour les abonnements souscrits depuis cette même date.</w:t>
      </w:r>
    </w:p>
    <w:p w14:paraId="7ADEE206" w14:textId="77777777" w:rsidR="00FA4D23" w:rsidRPr="005B73D2" w:rsidRDefault="00FA4D23" w:rsidP="00FA4D23">
      <w:pPr>
        <w:pStyle w:val="Titre4"/>
        <w:rPr>
          <w:rStyle w:val="txt"/>
        </w:rPr>
      </w:pPr>
      <w:r w:rsidRPr="004858FF">
        <w:rPr>
          <w:rStyle w:val="txt"/>
        </w:rPr>
        <w:t>POUR ALLER PLUS LOIN</w:t>
      </w:r>
    </w:p>
    <w:p w14:paraId="2FF5889F" w14:textId="77777777" w:rsidR="00F80D49" w:rsidRDefault="00F80D49" w:rsidP="00F80D49">
      <w:r>
        <w:t>Jusqu’au 31 décembre 2022, les sommes non prises en compte pour l’évaluation des revenus des différentes catégories (revenus fonciers, traitements et salaires, etc.) versées par un particulier domicilié en France au titre du 1</w:t>
      </w:r>
      <w:r w:rsidRPr="002651FA">
        <w:rPr>
          <w:vertAlign w:val="superscript"/>
        </w:rPr>
        <w:t>er</w:t>
      </w:r>
      <w:r>
        <w:t xml:space="preserve"> abonnement, pour une durée minimale de 12 mois, à un journal, à une publication de périodicité trimestrielle au maximum ou à un service de presse en ligne d'information politique et générale, peuvent ouvrir droit au bénéfice d’un crédit d’impôt. </w:t>
      </w:r>
    </w:p>
    <w:p w14:paraId="674708FE" w14:textId="77777777" w:rsidR="00640B83" w:rsidRDefault="00F80D49" w:rsidP="00F80D49">
      <w:r>
        <w:t>Ne sont pas concernés les abonnements à un service de presse en ligne inclus dans un service assurant la diffusion numérique groupée de services de presse en ligne ou de versions numérisées de journaux ou publications périodiques ne présentant pas tous le caractère de presse d'information politique ou générale, ou associé à tout autre service.</w:t>
      </w:r>
    </w:p>
    <w:p w14:paraId="10C45914" w14:textId="55638DE2" w:rsidR="00D44B3D" w:rsidRDefault="00F80D49" w:rsidP="00F80D49">
      <w:r>
        <w:t>30 % ? Le crédit d’impôt, égal à 30 % des dépenses effectivement supportées par le particulier, n’est accordé qu’une fois pour un même foyer fiscal.</w:t>
      </w:r>
    </w:p>
    <w:p w14:paraId="2FABAFFC" w14:textId="77777777" w:rsidR="004E1430" w:rsidRDefault="004E1430" w:rsidP="004E1430">
      <w:r>
        <w:t>Le crédit d’impôt s’impute sur le montant de l’impôt sur le revenu dû : si le montant de l’impôt n’est pas suffisant pour l’absorber intégralement, l’excédent sera restitué.</w:t>
      </w:r>
    </w:p>
    <w:p w14:paraId="688B1050" w14:textId="2B30D5B6" w:rsidR="004E1430" w:rsidRDefault="004E1430" w:rsidP="004E1430">
      <w:r>
        <w:t>Le particulier qui souhaite bénéficier de cet avantage fiscal doit tenir à la disposition de l’administration fiscale un reçu, établi par l’organisme auprès duquel est souscrit l’abonnement.</w:t>
      </w:r>
    </w:p>
    <w:p w14:paraId="39FDCEFD" w14:textId="0B836E01" w:rsidR="004E1430" w:rsidRDefault="004E1430" w:rsidP="004E1430">
      <w:r>
        <w:t>Ce reçu devra être conforme à un modèle établi par l’administration elle-même et devra attester du fait que les conditions tenant à la nature du journal ou de la publication, et à la durée de l’abonnement sont remplies.</w:t>
      </w:r>
    </w:p>
    <w:p w14:paraId="58FA9866" w14:textId="4C1FC965" w:rsidR="004E1430" w:rsidRDefault="004E1430" w:rsidP="004E1430">
      <w:r>
        <w:t xml:space="preserve">Il devra également mentionner : </w:t>
      </w:r>
    </w:p>
    <w:p w14:paraId="20B56EC0" w14:textId="2A7F3323" w:rsidR="004E1430" w:rsidRDefault="004E1430" w:rsidP="00640B83">
      <w:pPr>
        <w:pStyle w:val="Paragraphedeliste"/>
        <w:numPr>
          <w:ilvl w:val="0"/>
          <w:numId w:val="29"/>
        </w:numPr>
      </w:pPr>
      <w:r>
        <w:lastRenderedPageBreak/>
        <w:t>le montant et la date des versements effectués ;</w:t>
      </w:r>
    </w:p>
    <w:p w14:paraId="6B669297" w14:textId="5AABB157" w:rsidR="004E1430" w:rsidRDefault="004E1430" w:rsidP="00640B83">
      <w:pPr>
        <w:pStyle w:val="Paragraphedeliste"/>
        <w:numPr>
          <w:ilvl w:val="0"/>
          <w:numId w:val="29"/>
        </w:numPr>
      </w:pPr>
      <w:r>
        <w:t>l’identité et l'adresse des bénéficiaires et de l'organisme émetteur du reçu.</w:t>
      </w:r>
    </w:p>
    <w:p w14:paraId="6F0FCABD" w14:textId="680F367A" w:rsidR="00F80D49" w:rsidRDefault="004E1430" w:rsidP="004E1430">
      <w:r>
        <w:t>Notez qu’en cas de non-respect des conditions permettant de bénéficier du crédit d’impôt, ou lorsqu’il est mis fin à l’abonnement avant l’expiration de la durée minimale de 12 mois, l’avantage fiscal fera l’objet d’une reprise : concrètement, le particulier devra rembourser à l’administration les sommes qui correspondent à l’avantage fiscal indûment obtenu.</w:t>
      </w:r>
    </w:p>
    <w:p w14:paraId="52297594" w14:textId="77777777" w:rsidR="004E1430" w:rsidRPr="0070755E" w:rsidRDefault="004E1430" w:rsidP="00F80D49"/>
    <w:p w14:paraId="26687A59" w14:textId="59995321" w:rsidR="009124E9" w:rsidRPr="00BA1E49" w:rsidRDefault="009724A7" w:rsidP="009124E9">
      <w:pPr>
        <w:pStyle w:val="Titre3"/>
      </w:pPr>
      <w:bookmarkStart w:id="53" w:name="_Toc74651341"/>
      <w:r>
        <w:t>Réduction d’impôt « Madelin »</w:t>
      </w:r>
      <w:bookmarkEnd w:id="53"/>
    </w:p>
    <w:p w14:paraId="269A061E" w14:textId="542E7EB0" w:rsidR="009124E9" w:rsidRDefault="009124E9" w:rsidP="006D3AAB">
      <w:pPr>
        <w:spacing w:before="0" w:after="0"/>
        <w:rPr>
          <w:rFonts w:cstheme="minorHAnsi"/>
        </w:rPr>
      </w:pPr>
      <w:r w:rsidRPr="00E45B66">
        <w:rPr>
          <w:rFonts w:cstheme="minorHAnsi"/>
          <w:b/>
          <w:color w:val="0070C0"/>
        </w:rPr>
        <w:t>Slide</w:t>
      </w:r>
      <w:r>
        <w:rPr>
          <w:rFonts w:cstheme="minorHAnsi"/>
          <w:b/>
          <w:color w:val="0070C0"/>
        </w:rPr>
        <w:t xml:space="preserve"> </w:t>
      </w:r>
      <w:r w:rsidR="006D3AAB">
        <w:rPr>
          <w:rFonts w:cstheme="minorHAnsi"/>
          <w:b/>
          <w:color w:val="0070C0"/>
        </w:rPr>
        <w:t>60</w:t>
      </w:r>
    </w:p>
    <w:p w14:paraId="7D4E329B" w14:textId="233E4B45" w:rsidR="009124E9" w:rsidRPr="00A437FC" w:rsidRDefault="009124E9" w:rsidP="009124E9">
      <w:pPr>
        <w:rPr>
          <w:rFonts w:cstheme="minorHAnsi"/>
        </w:rPr>
      </w:pPr>
      <w:r w:rsidRPr="00451FF7">
        <w:rPr>
          <w:rFonts w:cstheme="minorHAnsi"/>
        </w:rPr>
        <w:t>Source </w:t>
      </w:r>
      <w:r w:rsidRPr="002545F5">
        <w:rPr>
          <w:rFonts w:cstheme="minorHAnsi"/>
        </w:rPr>
        <w:t xml:space="preserve">: </w:t>
      </w:r>
      <w:r w:rsidR="00A437FC" w:rsidRPr="00A437FC">
        <w:rPr>
          <w:rFonts w:cstheme="minorHAnsi"/>
        </w:rPr>
        <w:t>Décret n° 2021-559 du 6 mai 2021 fixant la date d'entrée en vigueur des dispositions relatives à la réduction d'impôt pour souscription en numéraire au capital des petites et moyennes entreprises issues des articles 110, 112 et 113 de la loi n° 2020-1721 du 29 décembre 2020 de finances pour 2021</w:t>
      </w:r>
    </w:p>
    <w:p w14:paraId="3BF84CAF" w14:textId="77777777" w:rsidR="009124E9" w:rsidRPr="005B73D2" w:rsidRDefault="009124E9" w:rsidP="009124E9">
      <w:pPr>
        <w:pStyle w:val="Titre4"/>
        <w:rPr>
          <w:rStyle w:val="txt"/>
        </w:rPr>
      </w:pPr>
      <w:r w:rsidRPr="004858FF">
        <w:rPr>
          <w:rStyle w:val="txt"/>
        </w:rPr>
        <w:t>ce qu’il faut savoir…</w:t>
      </w:r>
    </w:p>
    <w:p w14:paraId="23205DDD" w14:textId="77777777" w:rsidR="00A6455C" w:rsidRPr="00A6455C" w:rsidRDefault="00A6455C" w:rsidP="00613832">
      <w:pPr>
        <w:pStyle w:val="Paragraphedeliste"/>
        <w:numPr>
          <w:ilvl w:val="0"/>
          <w:numId w:val="49"/>
        </w:numPr>
        <w:rPr>
          <w:rFonts w:cstheme="minorHAnsi"/>
          <w:b/>
          <w:bCs/>
          <w:i/>
          <w:iCs/>
          <w:u w:val="single"/>
        </w:rPr>
      </w:pPr>
      <w:r w:rsidRPr="00A6455C">
        <w:rPr>
          <w:rFonts w:cstheme="minorHAnsi"/>
          <w:b/>
          <w:bCs/>
          <w:i/>
          <w:iCs/>
          <w:u w:val="single"/>
        </w:rPr>
        <w:t>Réduction d’impôt « Madelin » : focus sur le taux de la réduction d’impôt</w:t>
      </w:r>
    </w:p>
    <w:p w14:paraId="2BBDBB95" w14:textId="77777777" w:rsidR="00A6455C" w:rsidRPr="00A6455C" w:rsidRDefault="00A6455C" w:rsidP="00A6455C">
      <w:pPr>
        <w:rPr>
          <w:rFonts w:cstheme="minorHAnsi"/>
        </w:rPr>
      </w:pPr>
      <w:r w:rsidRPr="00A6455C">
        <w:rPr>
          <w:rFonts w:cstheme="minorHAnsi"/>
        </w:rPr>
        <w:t>Les particuliers qui souscrivent au capital d’une société en réalisant des apports peuvent, sous certaines conditions, bénéficier d’une réduction d’impôt appelée « réduction d’impôt Madelin », ou « IR-PME ».</w:t>
      </w:r>
    </w:p>
    <w:p w14:paraId="28D203DE" w14:textId="30C15AB6" w:rsidR="00A6455C" w:rsidRPr="00A6455C" w:rsidRDefault="00A6455C" w:rsidP="00A6455C">
      <w:pPr>
        <w:rPr>
          <w:rFonts w:cstheme="minorHAnsi"/>
        </w:rPr>
      </w:pPr>
      <w:r w:rsidRPr="00A6455C">
        <w:rPr>
          <w:rFonts w:cstheme="minorHAnsi"/>
        </w:rPr>
        <w:t>Initialement, la réduction d’impôt était égale à 18 % du montant versé, retenu dans la limite maximale de 50</w:t>
      </w:r>
      <w:r>
        <w:rPr>
          <w:rFonts w:cstheme="minorHAnsi"/>
        </w:rPr>
        <w:t> </w:t>
      </w:r>
      <w:r w:rsidRPr="00A6455C">
        <w:rPr>
          <w:rFonts w:cstheme="minorHAnsi"/>
        </w:rPr>
        <w:t>000 € (pour les personnes seules) ou 100 000 € (pour les personnes mariées ou pacsées, et soumises à imposition commune).</w:t>
      </w:r>
    </w:p>
    <w:p w14:paraId="1BEB3318" w14:textId="77777777" w:rsidR="00A6455C" w:rsidRPr="00A6455C" w:rsidRDefault="00A6455C" w:rsidP="00A6455C">
      <w:pPr>
        <w:rPr>
          <w:rFonts w:cstheme="minorHAnsi"/>
        </w:rPr>
      </w:pPr>
      <w:r w:rsidRPr="00A6455C">
        <w:rPr>
          <w:rFonts w:cstheme="minorHAnsi"/>
        </w:rPr>
        <w:t>Temporairement, le taux de cet avantage fiscal a été porté à 25 % pour les investissements réalisés entre le 10 août 2020 et le 31 décembre 2020.</w:t>
      </w:r>
    </w:p>
    <w:p w14:paraId="2913D239" w14:textId="77777777" w:rsidR="00A6455C" w:rsidRPr="00A6455C" w:rsidRDefault="00A6455C" w:rsidP="00A6455C">
      <w:pPr>
        <w:rPr>
          <w:rFonts w:cstheme="minorHAnsi"/>
        </w:rPr>
      </w:pPr>
      <w:r w:rsidRPr="00A6455C">
        <w:rPr>
          <w:rFonts w:cstheme="minorHAnsi"/>
        </w:rPr>
        <w:t xml:space="preserve">La Loi de finances pour 2021 a prévu d’appliquer ce taux de 25 % aux investissements réalisés à compter d’une date qui devait être fixée par décret. </w:t>
      </w:r>
    </w:p>
    <w:p w14:paraId="2C0BE88E" w14:textId="4A696924" w:rsidR="00A6455C" w:rsidRPr="00A6455C" w:rsidRDefault="00A6455C" w:rsidP="00A6455C">
      <w:pPr>
        <w:rPr>
          <w:rFonts w:cstheme="minorHAnsi"/>
        </w:rPr>
      </w:pPr>
      <w:r w:rsidRPr="00A6455C">
        <w:rPr>
          <w:rFonts w:cstheme="minorHAnsi"/>
        </w:rPr>
        <w:t>C’est désormais chose faite ! En conséquence, pour les investissements réalisés entre le 9 mai 2021 et le 31 décembre 2021, le taux de la réduction d’impôt est porté à 25 %.</w:t>
      </w:r>
    </w:p>
    <w:p w14:paraId="5FE558F0" w14:textId="77777777" w:rsidR="00A6455C" w:rsidRPr="00A6455C" w:rsidRDefault="00A6455C" w:rsidP="00613832">
      <w:pPr>
        <w:pStyle w:val="Paragraphedeliste"/>
        <w:numPr>
          <w:ilvl w:val="0"/>
          <w:numId w:val="49"/>
        </w:numPr>
        <w:rPr>
          <w:rFonts w:cstheme="minorHAnsi"/>
          <w:b/>
          <w:bCs/>
          <w:i/>
          <w:iCs/>
          <w:u w:val="single"/>
        </w:rPr>
      </w:pPr>
      <w:r w:rsidRPr="00A6455C">
        <w:rPr>
          <w:rFonts w:cstheme="minorHAnsi"/>
          <w:b/>
          <w:bCs/>
          <w:i/>
          <w:iCs/>
          <w:u w:val="single"/>
        </w:rPr>
        <w:t>Cas particulier des souscriptions au capital d’une entreprise solidaire d’utilité sociale (ESUS)</w:t>
      </w:r>
    </w:p>
    <w:p w14:paraId="7C91E8B8" w14:textId="77777777" w:rsidR="00A6455C" w:rsidRPr="00A6455C" w:rsidRDefault="00A6455C" w:rsidP="00A6455C">
      <w:pPr>
        <w:rPr>
          <w:rFonts w:cstheme="minorHAnsi"/>
        </w:rPr>
      </w:pPr>
      <w:r w:rsidRPr="00A6455C">
        <w:rPr>
          <w:rFonts w:cstheme="minorHAnsi"/>
        </w:rPr>
        <w:t>La réduction IR-PME s’applique également en cas de souscription au capital d’une entreprise solidaire d’utilité sociale (ESUS).</w:t>
      </w:r>
    </w:p>
    <w:p w14:paraId="0499CC84" w14:textId="77777777" w:rsidR="00A6455C" w:rsidRPr="00A6455C" w:rsidRDefault="00A6455C" w:rsidP="00A6455C">
      <w:pPr>
        <w:rPr>
          <w:rFonts w:cstheme="minorHAnsi"/>
        </w:rPr>
      </w:pPr>
      <w:r w:rsidRPr="00A6455C">
        <w:rPr>
          <w:rFonts w:cstheme="minorHAnsi"/>
        </w:rPr>
        <w:t xml:space="preserve">Pour mémoire, la somme des avantages fiscaux auxquels peut prétendre un même contribuable fait l’objet d’un plafonnement annuel de 10 000 €. </w:t>
      </w:r>
    </w:p>
    <w:p w14:paraId="1B478633" w14:textId="14981351" w:rsidR="00A6455C" w:rsidRPr="00A6455C" w:rsidRDefault="00A6455C" w:rsidP="00A6455C">
      <w:pPr>
        <w:rPr>
          <w:rFonts w:cstheme="minorHAnsi"/>
        </w:rPr>
      </w:pPr>
      <w:r w:rsidRPr="00A6455C">
        <w:rPr>
          <w:rFonts w:cstheme="minorHAnsi"/>
        </w:rPr>
        <w:t>Les souscriptions au capital d’une ESUS réalisées à compter d’une date qui devait être fixée par décret et jusqu’au 31 décembre 2021 ne seront pas prises en compte dans ce plafond de 10 000 €, dans la limite de 3</w:t>
      </w:r>
      <w:r w:rsidR="001A0FB9">
        <w:rPr>
          <w:rFonts w:cstheme="minorHAnsi"/>
        </w:rPr>
        <w:t> </w:t>
      </w:r>
      <w:r w:rsidRPr="00A6455C">
        <w:rPr>
          <w:rFonts w:cstheme="minorHAnsi"/>
        </w:rPr>
        <w:t>000 €.</w:t>
      </w:r>
    </w:p>
    <w:p w14:paraId="29A58564" w14:textId="168D850D" w:rsidR="00A6455C" w:rsidRPr="00A6455C" w:rsidRDefault="00A6455C" w:rsidP="00A6455C">
      <w:pPr>
        <w:rPr>
          <w:rFonts w:cstheme="minorHAnsi"/>
        </w:rPr>
      </w:pPr>
      <w:r w:rsidRPr="00A6455C">
        <w:rPr>
          <w:rFonts w:cstheme="minorHAnsi"/>
        </w:rPr>
        <w:t xml:space="preserve">Cette date vient, là encore, d’être fixée au 9 mai 2021. </w:t>
      </w:r>
    </w:p>
    <w:p w14:paraId="4DFB121D" w14:textId="77777777" w:rsidR="00A6455C" w:rsidRPr="001A0FB9" w:rsidRDefault="00A6455C" w:rsidP="00613832">
      <w:pPr>
        <w:pStyle w:val="Paragraphedeliste"/>
        <w:numPr>
          <w:ilvl w:val="0"/>
          <w:numId w:val="49"/>
        </w:numPr>
        <w:rPr>
          <w:rFonts w:cstheme="minorHAnsi"/>
          <w:b/>
          <w:bCs/>
          <w:i/>
          <w:iCs/>
          <w:u w:val="single"/>
        </w:rPr>
      </w:pPr>
      <w:r w:rsidRPr="001A0FB9">
        <w:rPr>
          <w:rFonts w:cstheme="minorHAnsi"/>
          <w:b/>
          <w:bCs/>
          <w:i/>
          <w:iCs/>
          <w:u w:val="single"/>
        </w:rPr>
        <w:t>Cas particulier des souscriptions au capital de fonds d’investissements de proximité (FIP) dans les départements d’Outre-mer (DOM)</w:t>
      </w:r>
    </w:p>
    <w:p w14:paraId="33F2B2A2" w14:textId="77777777" w:rsidR="00A6455C" w:rsidRPr="00A6455C" w:rsidRDefault="00A6455C" w:rsidP="00A6455C">
      <w:pPr>
        <w:rPr>
          <w:rFonts w:cstheme="minorHAnsi"/>
        </w:rPr>
      </w:pPr>
      <w:r w:rsidRPr="00A6455C">
        <w:rPr>
          <w:rFonts w:cstheme="minorHAnsi"/>
        </w:rPr>
        <w:lastRenderedPageBreak/>
        <w:t>La réduction IR-PME s’applique aussi en cas de souscription de parts de certains fonds d’investissements de proximité dans les départements d’Outre-mer (FIP-DOM).</w:t>
      </w:r>
    </w:p>
    <w:p w14:paraId="00BBD15D" w14:textId="77777777" w:rsidR="00A6455C" w:rsidRPr="00A6455C" w:rsidRDefault="00A6455C" w:rsidP="00A6455C">
      <w:pPr>
        <w:rPr>
          <w:rFonts w:cstheme="minorHAnsi"/>
        </w:rPr>
      </w:pPr>
      <w:r w:rsidRPr="00A6455C">
        <w:rPr>
          <w:rFonts w:cstheme="minorHAnsi"/>
        </w:rPr>
        <w:t>Actuellement, le montant de cet avantage fiscal est fixé à 30 % des versements effectués au titre de la souscription en numéraire de parts de FIP dont l’actif est constitué pour 70 % au moins de titres financiers, parts de société à responsabilité limitée et avances en compte courant émises par des sociétés :</w:t>
      </w:r>
    </w:p>
    <w:p w14:paraId="405B8E77" w14:textId="261CF900" w:rsidR="00A6455C" w:rsidRPr="00824E1D" w:rsidRDefault="00A6455C" w:rsidP="00613832">
      <w:pPr>
        <w:pStyle w:val="Paragraphedeliste"/>
        <w:numPr>
          <w:ilvl w:val="0"/>
          <w:numId w:val="50"/>
        </w:numPr>
        <w:rPr>
          <w:rFonts w:cstheme="minorHAnsi"/>
        </w:rPr>
      </w:pPr>
      <w:r w:rsidRPr="00824E1D">
        <w:rPr>
          <w:rFonts w:cstheme="minorHAnsi"/>
        </w:rPr>
        <w:t>qui exercent leurs activités exclusivement dans des établissements situés dans les départements d'Outre-mer, Saint-Barthélemy, Saint-Martin, Saint-Pierre-et-Miquelon, en Nouvelle-Calédonie, en Polynésie française et dans les îles Wallis et Futuna ;</w:t>
      </w:r>
    </w:p>
    <w:p w14:paraId="13752F1F" w14:textId="46393F38" w:rsidR="00A6455C" w:rsidRPr="00824E1D" w:rsidRDefault="00A6455C" w:rsidP="00613832">
      <w:pPr>
        <w:pStyle w:val="Paragraphedeliste"/>
        <w:numPr>
          <w:ilvl w:val="0"/>
          <w:numId w:val="50"/>
        </w:numPr>
        <w:rPr>
          <w:rFonts w:cstheme="minorHAnsi"/>
        </w:rPr>
      </w:pPr>
      <w:r w:rsidRPr="00824E1D">
        <w:rPr>
          <w:rFonts w:cstheme="minorHAnsi"/>
        </w:rPr>
        <w:t>et dans les secteurs agricole, commercial, industriel ou artisanal.</w:t>
      </w:r>
    </w:p>
    <w:p w14:paraId="5F58855E" w14:textId="24EC8F26" w:rsidR="009124E9" w:rsidRDefault="00A6455C" w:rsidP="00A6455C">
      <w:pPr>
        <w:rPr>
          <w:rFonts w:cstheme="minorHAnsi"/>
        </w:rPr>
      </w:pPr>
      <w:r w:rsidRPr="00A6455C">
        <w:rPr>
          <w:rFonts w:cstheme="minorHAnsi"/>
        </w:rPr>
        <w:t>La Loi de finances pour 2021 supprime cette dernière condition pour les versements réalisés à compter d’une date qui vient d’être fixée au 9 mai 2021.</w:t>
      </w:r>
    </w:p>
    <w:p w14:paraId="223C6E63" w14:textId="77777777" w:rsidR="00A6455C" w:rsidRPr="00451FF7" w:rsidRDefault="00A6455C" w:rsidP="00A6455C">
      <w:pPr>
        <w:rPr>
          <w:rFonts w:cstheme="minorHAnsi"/>
        </w:rPr>
      </w:pPr>
    </w:p>
    <w:p w14:paraId="77C4F166" w14:textId="3B840636" w:rsidR="009124E9" w:rsidRPr="00BA1E49" w:rsidRDefault="004A57A2" w:rsidP="009124E9">
      <w:pPr>
        <w:pStyle w:val="Titre3"/>
      </w:pPr>
      <w:bookmarkStart w:id="54" w:name="_Toc74651342"/>
      <w:r>
        <w:t>S</w:t>
      </w:r>
      <w:r w:rsidR="002D62A2">
        <w:t>ystème du quotien</w:t>
      </w:r>
      <w:r w:rsidR="001411FB">
        <w:t>t et notion de « revenu exceptionnel »</w:t>
      </w:r>
      <w:bookmarkEnd w:id="54"/>
    </w:p>
    <w:p w14:paraId="6670CBC2" w14:textId="67A3EF98" w:rsidR="009124E9" w:rsidRDefault="009124E9" w:rsidP="009124E9">
      <w:pPr>
        <w:rPr>
          <w:rFonts w:cstheme="minorHAnsi"/>
        </w:rPr>
      </w:pPr>
      <w:r w:rsidRPr="00E45B66">
        <w:rPr>
          <w:rFonts w:cstheme="minorHAnsi"/>
          <w:b/>
          <w:color w:val="0070C0"/>
        </w:rPr>
        <w:t>Slide</w:t>
      </w:r>
      <w:r>
        <w:rPr>
          <w:rFonts w:cstheme="minorHAnsi"/>
          <w:b/>
          <w:color w:val="0070C0"/>
        </w:rPr>
        <w:t xml:space="preserve">s </w:t>
      </w:r>
      <w:r w:rsidR="006D3AAB">
        <w:rPr>
          <w:rFonts w:cstheme="minorHAnsi"/>
          <w:b/>
          <w:color w:val="0070C0"/>
        </w:rPr>
        <w:t>61 et 62</w:t>
      </w:r>
    </w:p>
    <w:p w14:paraId="5E4B1742" w14:textId="36E18BE5" w:rsidR="009124E9" w:rsidRPr="00A1629E" w:rsidRDefault="009124E9" w:rsidP="009124E9">
      <w:pPr>
        <w:rPr>
          <w:rFonts w:cstheme="minorHAnsi"/>
        </w:rPr>
      </w:pPr>
      <w:r w:rsidRPr="00451FF7">
        <w:rPr>
          <w:rFonts w:cstheme="minorHAnsi"/>
        </w:rPr>
        <w:t>Source </w:t>
      </w:r>
      <w:r w:rsidRPr="002545F5">
        <w:rPr>
          <w:rFonts w:cstheme="minorHAnsi"/>
        </w:rPr>
        <w:t xml:space="preserve">: </w:t>
      </w:r>
      <w:r w:rsidR="00A1629E" w:rsidRPr="00A1629E">
        <w:rPr>
          <w:rFonts w:cstheme="minorHAnsi"/>
        </w:rPr>
        <w:t>Arrêt du Conseil d’Etat du 23 novembre 2020, n°427778</w:t>
      </w:r>
    </w:p>
    <w:p w14:paraId="01C81A18" w14:textId="77777777" w:rsidR="009124E9" w:rsidRPr="005B73D2" w:rsidRDefault="009124E9" w:rsidP="009124E9">
      <w:pPr>
        <w:pStyle w:val="Titre4"/>
        <w:rPr>
          <w:rStyle w:val="txt"/>
        </w:rPr>
      </w:pPr>
      <w:r w:rsidRPr="004858FF">
        <w:rPr>
          <w:rStyle w:val="txt"/>
        </w:rPr>
        <w:t>ce qu’il faut savoir…</w:t>
      </w:r>
    </w:p>
    <w:p w14:paraId="7D5DDCAB" w14:textId="77777777" w:rsidR="00235A92" w:rsidRPr="00235A92" w:rsidRDefault="00235A92" w:rsidP="00235A92">
      <w:pPr>
        <w:rPr>
          <w:rFonts w:cstheme="minorHAnsi"/>
        </w:rPr>
      </w:pPr>
      <w:r w:rsidRPr="00235A92">
        <w:rPr>
          <w:rFonts w:cstheme="minorHAnsi"/>
        </w:rPr>
        <w:t>Une société rachète 1 555 de ses actions à l’un de ses actionnaires.</w:t>
      </w:r>
    </w:p>
    <w:p w14:paraId="14E7934B" w14:textId="77777777" w:rsidR="00235A92" w:rsidRPr="00235A92" w:rsidRDefault="00235A92" w:rsidP="00235A92">
      <w:pPr>
        <w:rPr>
          <w:rFonts w:cstheme="minorHAnsi"/>
        </w:rPr>
      </w:pPr>
      <w:r w:rsidRPr="00235A92">
        <w:rPr>
          <w:rFonts w:cstheme="minorHAnsi"/>
        </w:rPr>
        <w:t>Estimant que le gain réalisé à l’occasion de cette opération constitue pour lui un revenu « exceptionnel », l’actionnaire demande à bénéficier du système avantageux du quotient pour le calcul de son impôt sur le revenu.</w:t>
      </w:r>
    </w:p>
    <w:p w14:paraId="130A71CD" w14:textId="77777777" w:rsidR="00235A92" w:rsidRPr="00235A92" w:rsidRDefault="00235A92" w:rsidP="00235A92">
      <w:pPr>
        <w:rPr>
          <w:rFonts w:cstheme="minorHAnsi"/>
        </w:rPr>
      </w:pPr>
      <w:r w:rsidRPr="00235A92">
        <w:rPr>
          <w:rFonts w:cstheme="minorHAnsi"/>
        </w:rPr>
        <w:t>Pour mémoire, le système du quotient consiste à ajouter le quart du revenu exceptionnel au revenu ordinaire, puis à multiplier par 4 le supplément d’impôt correspondant.</w:t>
      </w:r>
    </w:p>
    <w:p w14:paraId="12BC78E0" w14:textId="77777777" w:rsidR="00235A92" w:rsidRPr="00235A92" w:rsidRDefault="00235A92" w:rsidP="00235A92">
      <w:pPr>
        <w:rPr>
          <w:rFonts w:cstheme="minorHAnsi"/>
        </w:rPr>
      </w:pPr>
      <w:r w:rsidRPr="00235A92">
        <w:rPr>
          <w:rFonts w:cstheme="minorHAnsi"/>
        </w:rPr>
        <w:t>Un mode de calcul que refuse de lui appliquer l’administration fiscale, considérant que le gain en question n’est pas un revenu exceptionnel.</w:t>
      </w:r>
    </w:p>
    <w:p w14:paraId="6375F414" w14:textId="77777777" w:rsidR="00235A92" w:rsidRPr="00235A92" w:rsidRDefault="00235A92" w:rsidP="00235A92">
      <w:pPr>
        <w:rPr>
          <w:rFonts w:cstheme="minorHAnsi"/>
        </w:rPr>
      </w:pPr>
      <w:r w:rsidRPr="00235A92">
        <w:rPr>
          <w:rFonts w:cstheme="minorHAnsi"/>
        </w:rPr>
        <w:t>Elle rappelle, en effet, qu’un revenu « exceptionnel » est un revenu :</w:t>
      </w:r>
    </w:p>
    <w:p w14:paraId="3F2180C7" w14:textId="5E10ABA9" w:rsidR="00235A92" w:rsidRPr="002A112E" w:rsidRDefault="00235A92" w:rsidP="002A112E">
      <w:pPr>
        <w:pStyle w:val="Paragraphedeliste"/>
        <w:numPr>
          <w:ilvl w:val="0"/>
          <w:numId w:val="65"/>
        </w:numPr>
        <w:rPr>
          <w:rFonts w:cstheme="minorHAnsi"/>
        </w:rPr>
      </w:pPr>
      <w:r w:rsidRPr="002A112E">
        <w:rPr>
          <w:rFonts w:cstheme="minorHAnsi"/>
        </w:rPr>
        <w:t>qui, par sa nature, n’est pas susceptible d’être recueilli annuellement ;</w:t>
      </w:r>
    </w:p>
    <w:p w14:paraId="03562026" w14:textId="454A244B" w:rsidR="00235A92" w:rsidRPr="002A112E" w:rsidRDefault="00235A92" w:rsidP="002A112E">
      <w:pPr>
        <w:pStyle w:val="Paragraphedeliste"/>
        <w:numPr>
          <w:ilvl w:val="0"/>
          <w:numId w:val="65"/>
        </w:numPr>
        <w:rPr>
          <w:rFonts w:cstheme="minorHAnsi"/>
        </w:rPr>
      </w:pPr>
      <w:r w:rsidRPr="002A112E">
        <w:rPr>
          <w:rFonts w:cstheme="minorHAnsi"/>
        </w:rPr>
        <w:t>dont le montant dépasse la moyenne des revenus nets au titre des 3 dernières années.</w:t>
      </w:r>
    </w:p>
    <w:p w14:paraId="1A1BFAB8" w14:textId="77777777" w:rsidR="00235A92" w:rsidRPr="00235A92" w:rsidRDefault="00235A92" w:rsidP="00235A92">
      <w:pPr>
        <w:rPr>
          <w:rFonts w:cstheme="minorHAnsi"/>
        </w:rPr>
      </w:pPr>
      <w:r w:rsidRPr="00235A92">
        <w:rPr>
          <w:rFonts w:cstheme="minorHAnsi"/>
        </w:rPr>
        <w:t xml:space="preserve">Or, ici, si l’actionnaire a revendu une partie de ses actions à la société, il en conserve encore 665 en portefeuille. </w:t>
      </w:r>
    </w:p>
    <w:p w14:paraId="3E6E1F10" w14:textId="77777777" w:rsidR="00235A92" w:rsidRPr="00235A92" w:rsidRDefault="00235A92" w:rsidP="00235A92">
      <w:pPr>
        <w:rPr>
          <w:rFonts w:cstheme="minorHAnsi"/>
        </w:rPr>
      </w:pPr>
      <w:r w:rsidRPr="00235A92">
        <w:rPr>
          <w:rFonts w:cstheme="minorHAnsi"/>
        </w:rPr>
        <w:t>Dans ce contexte, dès lors qu’une nouvelle opération de rachat reste possible, le gain d’ores et déjà réalisé doit être regardé comme étant susceptible d’être recueilli annuellement… ce qui lui permet de refuser à l’actionnaire le bénéfice du système du quotient.</w:t>
      </w:r>
    </w:p>
    <w:p w14:paraId="61DE5E1D" w14:textId="783B9627" w:rsidR="009124E9" w:rsidRDefault="00235A92" w:rsidP="00235A92">
      <w:pPr>
        <w:rPr>
          <w:rFonts w:cstheme="minorHAnsi"/>
        </w:rPr>
      </w:pPr>
      <w:r w:rsidRPr="00235A92">
        <w:rPr>
          <w:rFonts w:cstheme="minorHAnsi"/>
        </w:rPr>
        <w:t>Un point de vue que ne partage pas le juge pour qui le gain résultant de l’opération de rachat constitue bien un revenu qui, par sa nature, n’est pas susceptible d’être recueilli annuellement et ce, quand bien même l’actionnaire conserverait encore une partie de ses titres.</w:t>
      </w:r>
    </w:p>
    <w:p w14:paraId="20FC4537" w14:textId="77777777" w:rsidR="00235A92" w:rsidRPr="00451FF7" w:rsidRDefault="00235A92" w:rsidP="00235A92">
      <w:pPr>
        <w:rPr>
          <w:rFonts w:cstheme="minorHAnsi"/>
        </w:rPr>
      </w:pPr>
    </w:p>
    <w:p w14:paraId="27933120" w14:textId="6B71FDF2" w:rsidR="002D62A2" w:rsidRPr="00BA1E49" w:rsidRDefault="00CB04F9" w:rsidP="002D62A2">
      <w:pPr>
        <w:pStyle w:val="Titre3"/>
      </w:pPr>
      <w:bookmarkStart w:id="55" w:name="_Toc74651343"/>
      <w:r>
        <w:t>Résidence alternée et avantages fiscaux</w:t>
      </w:r>
      <w:bookmarkEnd w:id="55"/>
    </w:p>
    <w:p w14:paraId="5B1798A9" w14:textId="535EF71F" w:rsidR="002D62A2" w:rsidRDefault="002D62A2" w:rsidP="002D62A2">
      <w:pPr>
        <w:rPr>
          <w:rFonts w:cstheme="minorHAnsi"/>
        </w:rPr>
      </w:pPr>
      <w:r w:rsidRPr="00E45B66">
        <w:rPr>
          <w:rFonts w:cstheme="minorHAnsi"/>
          <w:b/>
          <w:color w:val="0070C0"/>
        </w:rPr>
        <w:t>Slide</w:t>
      </w:r>
      <w:r>
        <w:rPr>
          <w:rFonts w:cstheme="minorHAnsi"/>
          <w:b/>
          <w:color w:val="0070C0"/>
        </w:rPr>
        <w:t xml:space="preserve">s </w:t>
      </w:r>
      <w:r w:rsidR="006D3AAB">
        <w:rPr>
          <w:rFonts w:cstheme="minorHAnsi"/>
          <w:b/>
          <w:color w:val="0070C0"/>
        </w:rPr>
        <w:t>63 et 64</w:t>
      </w:r>
    </w:p>
    <w:p w14:paraId="7DDEA3C1" w14:textId="704895AE" w:rsidR="002D62A2" w:rsidRPr="00C41FF8" w:rsidRDefault="002D62A2" w:rsidP="002D62A2">
      <w:pPr>
        <w:rPr>
          <w:rFonts w:cstheme="minorHAnsi"/>
        </w:rPr>
      </w:pPr>
      <w:r w:rsidRPr="00451FF7">
        <w:rPr>
          <w:rFonts w:cstheme="minorHAnsi"/>
        </w:rPr>
        <w:t>Source </w:t>
      </w:r>
      <w:r w:rsidRPr="002545F5">
        <w:rPr>
          <w:rFonts w:cstheme="minorHAnsi"/>
        </w:rPr>
        <w:t xml:space="preserve">: </w:t>
      </w:r>
      <w:r w:rsidR="00C41FF8" w:rsidRPr="00C41FF8">
        <w:rPr>
          <w:rFonts w:cstheme="minorHAnsi"/>
        </w:rPr>
        <w:t>Question prioritaire de constitutionnalité du 14 mai 2021, n°2021-907</w:t>
      </w:r>
    </w:p>
    <w:p w14:paraId="613D28B5" w14:textId="77777777" w:rsidR="002D62A2" w:rsidRPr="005B73D2" w:rsidRDefault="002D62A2" w:rsidP="002D62A2">
      <w:pPr>
        <w:pStyle w:val="Titre4"/>
        <w:rPr>
          <w:rStyle w:val="txt"/>
        </w:rPr>
      </w:pPr>
      <w:r w:rsidRPr="004858FF">
        <w:rPr>
          <w:rStyle w:val="txt"/>
        </w:rPr>
        <w:t>ce qu’il faut savoir…</w:t>
      </w:r>
    </w:p>
    <w:p w14:paraId="70C25C86" w14:textId="77777777" w:rsidR="00424988" w:rsidRPr="00424988" w:rsidRDefault="00424988" w:rsidP="00424988">
      <w:pPr>
        <w:rPr>
          <w:rFonts w:cstheme="minorHAnsi"/>
        </w:rPr>
      </w:pPr>
      <w:r w:rsidRPr="00424988">
        <w:rPr>
          <w:rFonts w:cstheme="minorHAnsi"/>
        </w:rPr>
        <w:t>Un parent qui assume la charge de son enfant mineur en résidence alternée bénéficie, pour le calcul de son impôt sur le revenu, d’une majoration de quotient familial.</w:t>
      </w:r>
    </w:p>
    <w:p w14:paraId="6B647DE2" w14:textId="77777777" w:rsidR="00424988" w:rsidRPr="00424988" w:rsidRDefault="00424988" w:rsidP="00424988">
      <w:pPr>
        <w:rPr>
          <w:rFonts w:cstheme="minorHAnsi"/>
        </w:rPr>
      </w:pPr>
      <w:r w:rsidRPr="00424988">
        <w:rPr>
          <w:rFonts w:cstheme="minorHAnsi"/>
        </w:rPr>
        <w:t>Dans certains cas, il peut arriver que ce même parent verse une pension alimentaire pour contribuer aux besoins de l’enfant pour la période où il réside chez l’autre parent.</w:t>
      </w:r>
    </w:p>
    <w:p w14:paraId="093E3506" w14:textId="77777777" w:rsidR="00424988" w:rsidRPr="00424988" w:rsidRDefault="00424988" w:rsidP="00424988">
      <w:pPr>
        <w:rPr>
          <w:rFonts w:cstheme="minorHAnsi"/>
        </w:rPr>
      </w:pPr>
      <w:r w:rsidRPr="00424988">
        <w:rPr>
          <w:rFonts w:cstheme="minorHAnsi"/>
        </w:rPr>
        <w:t>Dans cette situation, peut-il, pour le calcul de son impôt personnel, déduire de son revenu global les pensions alimentaires versées, sachant qu’il bénéficie déjà d’une majoration de son quotient familial ?</w:t>
      </w:r>
    </w:p>
    <w:p w14:paraId="677D6EC5" w14:textId="4E84BB2E" w:rsidR="00390BC3" w:rsidRPr="00DA3827" w:rsidRDefault="00424988" w:rsidP="00390BC3">
      <w:pPr>
        <w:rPr>
          <w:rFonts w:cstheme="minorHAnsi"/>
        </w:rPr>
      </w:pPr>
      <w:r w:rsidRPr="00424988">
        <w:rPr>
          <w:rFonts w:cstheme="minorHAnsi"/>
        </w:rPr>
        <w:t>Saisi de cette question, le juge suprême vient de répondre par la négative. Ces 2 avantages fiscaux ayant le même objet, il n’est pas possible de les cumuler au titre d’un même enfant.</w:t>
      </w:r>
    </w:p>
    <w:p w14:paraId="09568B00" w14:textId="03EDB8F6" w:rsidR="005D11AE" w:rsidRDefault="005D11AE">
      <w:r>
        <w:br w:type="page"/>
      </w:r>
    </w:p>
    <w:p w14:paraId="7E44997E" w14:textId="77777777" w:rsidR="005D11AE" w:rsidRDefault="005D11AE" w:rsidP="005D11AE">
      <w:pPr>
        <w:jc w:val="center"/>
        <w:rPr>
          <w:rStyle w:val="txt"/>
        </w:rPr>
      </w:pPr>
    </w:p>
    <w:p w14:paraId="302541D3" w14:textId="77777777" w:rsidR="00183DA0" w:rsidRPr="00B36683" w:rsidRDefault="00BA30A0" w:rsidP="00CB57AF">
      <w:pPr>
        <w:pStyle w:val="Titre2"/>
      </w:pPr>
      <w:bookmarkStart w:id="56" w:name="_Toc74651344"/>
      <w:r>
        <w:t xml:space="preserve">Ce qu’il faut savoir en matière de </w:t>
      </w:r>
      <w:r w:rsidR="00153193">
        <w:t>relations dirigeant / entreprise</w:t>
      </w:r>
      <w:bookmarkEnd w:id="56"/>
    </w:p>
    <w:p w14:paraId="72928282" w14:textId="3BCB49A4" w:rsidR="00C862AA" w:rsidRPr="00BA1E49" w:rsidRDefault="00993B41" w:rsidP="00C862AA">
      <w:pPr>
        <w:pStyle w:val="Titre3"/>
      </w:pPr>
      <w:bookmarkStart w:id="57" w:name="_Toc74651345"/>
      <w:r>
        <w:t>Action en comblement de passif et notion de « dirigeant »</w:t>
      </w:r>
      <w:bookmarkEnd w:id="57"/>
    </w:p>
    <w:p w14:paraId="64BB13E1" w14:textId="51A07354" w:rsidR="00C862AA" w:rsidRDefault="00C862AA" w:rsidP="00C862AA">
      <w:pPr>
        <w:rPr>
          <w:rFonts w:cstheme="minorHAnsi"/>
        </w:rPr>
      </w:pPr>
      <w:r w:rsidRPr="00E45B66">
        <w:rPr>
          <w:rFonts w:cstheme="minorHAnsi"/>
          <w:b/>
          <w:color w:val="0070C0"/>
        </w:rPr>
        <w:t>Slide</w:t>
      </w:r>
      <w:r>
        <w:rPr>
          <w:rFonts w:cstheme="minorHAnsi"/>
          <w:b/>
          <w:color w:val="0070C0"/>
        </w:rPr>
        <w:t xml:space="preserve">s </w:t>
      </w:r>
      <w:r w:rsidR="006D3AAB">
        <w:rPr>
          <w:rFonts w:cstheme="minorHAnsi"/>
          <w:b/>
          <w:color w:val="0070C0"/>
        </w:rPr>
        <w:t>65 et 66</w:t>
      </w:r>
    </w:p>
    <w:p w14:paraId="482E7866" w14:textId="58889E66" w:rsidR="00C862AA" w:rsidRPr="00976F26" w:rsidRDefault="00C862AA" w:rsidP="00C862AA">
      <w:pPr>
        <w:rPr>
          <w:rFonts w:cstheme="minorHAnsi"/>
        </w:rPr>
      </w:pPr>
      <w:r w:rsidRPr="00451FF7">
        <w:rPr>
          <w:rFonts w:cstheme="minorHAnsi"/>
        </w:rPr>
        <w:t>Source </w:t>
      </w:r>
      <w:r w:rsidRPr="002545F5">
        <w:rPr>
          <w:rFonts w:cstheme="minorHAnsi"/>
        </w:rPr>
        <w:t xml:space="preserve">: </w:t>
      </w:r>
      <w:r w:rsidR="00976F26" w:rsidRPr="00976F26">
        <w:rPr>
          <w:rFonts w:cstheme="minorHAnsi"/>
        </w:rPr>
        <w:t>Arrêt de la Cour de cassation, chambre commerciale, du 5 mai 2021, n° 19-23575</w:t>
      </w:r>
    </w:p>
    <w:p w14:paraId="39CDC2FD" w14:textId="77777777" w:rsidR="00C862AA" w:rsidRPr="005B73D2" w:rsidRDefault="00C862AA" w:rsidP="00C862AA">
      <w:pPr>
        <w:pStyle w:val="Titre4"/>
        <w:rPr>
          <w:rStyle w:val="txt"/>
        </w:rPr>
      </w:pPr>
      <w:r w:rsidRPr="004858FF">
        <w:rPr>
          <w:rStyle w:val="txt"/>
        </w:rPr>
        <w:t>ce qu’il faut savoir…</w:t>
      </w:r>
    </w:p>
    <w:p w14:paraId="68630B2D" w14:textId="77777777" w:rsidR="00706F09" w:rsidRPr="00706F09" w:rsidRDefault="00706F09" w:rsidP="00706F09">
      <w:pPr>
        <w:rPr>
          <w:rFonts w:cstheme="minorHAnsi"/>
        </w:rPr>
      </w:pPr>
      <w:r w:rsidRPr="00706F09">
        <w:rPr>
          <w:rFonts w:cstheme="minorHAnsi"/>
        </w:rPr>
        <w:t>A la suite de la mise en liquidation judiciaire de plusieurs sociétés anonymes, leur dirigeant voit sa responsabilité engagée au titre de l’action en comblement de passif.</w:t>
      </w:r>
    </w:p>
    <w:p w14:paraId="3AB0A367" w14:textId="77777777" w:rsidR="00706F09" w:rsidRPr="00706F09" w:rsidRDefault="00706F09" w:rsidP="00706F09">
      <w:pPr>
        <w:rPr>
          <w:rFonts w:cstheme="minorHAnsi"/>
        </w:rPr>
      </w:pPr>
      <w:r w:rsidRPr="00706F09">
        <w:rPr>
          <w:rFonts w:cstheme="minorHAnsi"/>
        </w:rPr>
        <w:t>Pour mémoire, on parle « d’action en comblement de passif », lorsque le dirigeant d’une société placée en liquidation judiciaire est personnellement poursuivi pour des fautes de gestion qui ont contribué à aggraver les dettes (le « passif ») de la société.</w:t>
      </w:r>
    </w:p>
    <w:p w14:paraId="25796908" w14:textId="77777777" w:rsidR="00706F09" w:rsidRPr="00706F09" w:rsidRDefault="00706F09" w:rsidP="00706F09">
      <w:pPr>
        <w:rPr>
          <w:rFonts w:cstheme="minorHAnsi"/>
        </w:rPr>
      </w:pPr>
      <w:r w:rsidRPr="00706F09">
        <w:rPr>
          <w:rFonts w:cstheme="minorHAnsi"/>
        </w:rPr>
        <w:t>Dans cette affaire, le dirigeant conteste l’action engagée contre lui, en faisant valoir qu’il n’était que directeur général « délégué » des sociétés liquidées, ce qui faisait de lui un simple auxiliaire au directeur général.</w:t>
      </w:r>
    </w:p>
    <w:p w14:paraId="3DBF1DBD" w14:textId="77777777" w:rsidR="00706F09" w:rsidRPr="00706F09" w:rsidRDefault="00706F09" w:rsidP="00706F09">
      <w:pPr>
        <w:rPr>
          <w:rFonts w:cstheme="minorHAnsi"/>
        </w:rPr>
      </w:pPr>
      <w:r w:rsidRPr="00706F09">
        <w:rPr>
          <w:rFonts w:cstheme="minorHAnsi"/>
        </w:rPr>
        <w:t>Faute d’être le dirigeant « de droit » des sociétés (c’est-à-dire celui désigné par les statuts ou les organes sociaux compétents), il ne peut être condamné à prendre en charge une partie des dettes de celles-ci…</w:t>
      </w:r>
    </w:p>
    <w:p w14:paraId="67E4C096" w14:textId="77777777" w:rsidR="00706F09" w:rsidRPr="00706F09" w:rsidRDefault="00706F09" w:rsidP="00706F09">
      <w:pPr>
        <w:rPr>
          <w:rFonts w:cstheme="minorHAnsi"/>
        </w:rPr>
      </w:pPr>
      <w:r w:rsidRPr="00706F09">
        <w:rPr>
          <w:rFonts w:cstheme="minorHAnsi"/>
        </w:rPr>
        <w:t>Mais son argument est rejeté par le juge, qui rappelle que le directeur général délégué d’une société anonyme est chargé d’assister le directeur général et dispose en ce sens de pouvoirs dont l’étendue est déterminée par le conseil d’administration.</w:t>
      </w:r>
    </w:p>
    <w:p w14:paraId="0AE707DF" w14:textId="4DBD2E08" w:rsidR="00C862AA" w:rsidRPr="00451FF7" w:rsidRDefault="00706F09" w:rsidP="00706F09">
      <w:pPr>
        <w:rPr>
          <w:rFonts w:cstheme="minorHAnsi"/>
        </w:rPr>
      </w:pPr>
      <w:r w:rsidRPr="00706F09">
        <w:rPr>
          <w:rFonts w:cstheme="minorHAnsi"/>
        </w:rPr>
        <w:t>Par conséquent, ici, il a bel et bien la qualité de dirigeant de droit : sa responsabilité peut donc être engagée pour les fautes de gestion qu’il a commises dans l’exercice des pouvoirs qui lui ont été délégués…</w:t>
      </w:r>
    </w:p>
    <w:p w14:paraId="1B70AF5E" w14:textId="77777777" w:rsidR="00D35190" w:rsidRDefault="00D35190" w:rsidP="00D35190">
      <w:pPr>
        <w:spacing w:beforeAutospacing="1" w:after="100" w:afterAutospacing="1" w:line="240" w:lineRule="auto"/>
        <w:rPr>
          <w:rFonts w:eastAsia="Times New Roman" w:cstheme="minorHAnsi"/>
          <w:lang w:eastAsia="fr-FR"/>
        </w:rPr>
      </w:pPr>
    </w:p>
    <w:p w14:paraId="1AF583CB" w14:textId="23A554D0" w:rsidR="004A3093" w:rsidRPr="00BA1E49" w:rsidRDefault="004A3093" w:rsidP="004A3093">
      <w:pPr>
        <w:pStyle w:val="Titre3"/>
      </w:pPr>
      <w:bookmarkStart w:id="58" w:name="_Toc74651346"/>
      <w:r>
        <w:t>Action en comblement de passif et dirigeant de fait</w:t>
      </w:r>
      <w:bookmarkEnd w:id="58"/>
    </w:p>
    <w:p w14:paraId="0DD98C15" w14:textId="382FABE9" w:rsidR="004A3093" w:rsidRDefault="004A3093" w:rsidP="004A3093">
      <w:pPr>
        <w:rPr>
          <w:rFonts w:cstheme="minorHAnsi"/>
        </w:rPr>
      </w:pPr>
      <w:r w:rsidRPr="00E45B66">
        <w:rPr>
          <w:rFonts w:cstheme="minorHAnsi"/>
          <w:b/>
          <w:color w:val="0070C0"/>
        </w:rPr>
        <w:t>Slide</w:t>
      </w:r>
      <w:r>
        <w:rPr>
          <w:rFonts w:cstheme="minorHAnsi"/>
          <w:b/>
          <w:color w:val="0070C0"/>
        </w:rPr>
        <w:t xml:space="preserve">s </w:t>
      </w:r>
      <w:r w:rsidR="006D3AAB">
        <w:rPr>
          <w:rFonts w:cstheme="minorHAnsi"/>
          <w:b/>
          <w:color w:val="0070C0"/>
        </w:rPr>
        <w:t>67 et 68</w:t>
      </w:r>
    </w:p>
    <w:p w14:paraId="3D417B4E" w14:textId="1A610EF4" w:rsidR="004A3093" w:rsidRPr="00C159D9" w:rsidRDefault="004A3093" w:rsidP="004A3093">
      <w:pPr>
        <w:rPr>
          <w:rFonts w:cstheme="minorHAnsi"/>
        </w:rPr>
      </w:pPr>
      <w:r w:rsidRPr="00451FF7">
        <w:rPr>
          <w:rFonts w:cstheme="minorHAnsi"/>
        </w:rPr>
        <w:t>Source </w:t>
      </w:r>
      <w:r w:rsidRPr="002545F5">
        <w:rPr>
          <w:rFonts w:cstheme="minorHAnsi"/>
        </w:rPr>
        <w:t xml:space="preserve">: </w:t>
      </w:r>
      <w:r w:rsidR="00C159D9" w:rsidRPr="00C159D9">
        <w:rPr>
          <w:rFonts w:cstheme="minorHAnsi"/>
        </w:rPr>
        <w:t>Arrêt de la Cour de cassation, chambre commerciale, du 19 mai 2021, n° 19-25286</w:t>
      </w:r>
    </w:p>
    <w:p w14:paraId="1424307C" w14:textId="77777777" w:rsidR="004A3093" w:rsidRPr="005B73D2" w:rsidRDefault="004A3093" w:rsidP="004A3093">
      <w:pPr>
        <w:pStyle w:val="Titre4"/>
        <w:rPr>
          <w:rStyle w:val="txt"/>
        </w:rPr>
      </w:pPr>
      <w:r w:rsidRPr="004858FF">
        <w:rPr>
          <w:rStyle w:val="txt"/>
        </w:rPr>
        <w:t>ce qu’il faut savoir…</w:t>
      </w:r>
    </w:p>
    <w:p w14:paraId="30A6FC25" w14:textId="77777777" w:rsidR="004B52B7" w:rsidRPr="004B52B7" w:rsidRDefault="004B52B7" w:rsidP="004B52B7">
      <w:pPr>
        <w:rPr>
          <w:rFonts w:cstheme="minorHAnsi"/>
        </w:rPr>
      </w:pPr>
      <w:r w:rsidRPr="004B52B7">
        <w:rPr>
          <w:rFonts w:cstheme="minorHAnsi"/>
        </w:rPr>
        <w:t>Une société qui a pour activité la production de joints d’étanchéité pour l’industrie automobile conclut un contrat avec un fournisseur.</w:t>
      </w:r>
    </w:p>
    <w:p w14:paraId="1123EFC9" w14:textId="77777777" w:rsidR="004B52B7" w:rsidRPr="004B52B7" w:rsidRDefault="004B52B7" w:rsidP="004B52B7">
      <w:pPr>
        <w:rPr>
          <w:rFonts w:cstheme="minorHAnsi"/>
        </w:rPr>
      </w:pPr>
      <w:r w:rsidRPr="004B52B7">
        <w:rPr>
          <w:rFonts w:cstheme="minorHAnsi"/>
        </w:rPr>
        <w:t>A la suite d’un désaccord avec celui-ci, la société est mise en redressement puis en liquidation judiciaire.</w:t>
      </w:r>
    </w:p>
    <w:p w14:paraId="2AB2AB6B" w14:textId="77777777" w:rsidR="004B52B7" w:rsidRPr="004B52B7" w:rsidRDefault="004B52B7" w:rsidP="004B52B7">
      <w:pPr>
        <w:rPr>
          <w:rFonts w:cstheme="minorHAnsi"/>
        </w:rPr>
      </w:pPr>
      <w:r w:rsidRPr="004B52B7">
        <w:rPr>
          <w:rFonts w:cstheme="minorHAnsi"/>
        </w:rPr>
        <w:lastRenderedPageBreak/>
        <w:t>Son liquidateur décide alors d’engager la responsabilité du fournisseur, dont il estime qu’il a exercé les fonctions de dirigeant « de fait » de la société.</w:t>
      </w:r>
    </w:p>
    <w:p w14:paraId="2366E098" w14:textId="77777777" w:rsidR="004B52B7" w:rsidRPr="004B52B7" w:rsidRDefault="004B52B7" w:rsidP="004B52B7">
      <w:pPr>
        <w:rPr>
          <w:rFonts w:cstheme="minorHAnsi"/>
        </w:rPr>
      </w:pPr>
      <w:r w:rsidRPr="004B52B7">
        <w:rPr>
          <w:rFonts w:cstheme="minorHAnsi"/>
        </w:rPr>
        <w:t xml:space="preserve">Pour mémoire, il peut exister 2 types de dirigeant d’une société : </w:t>
      </w:r>
    </w:p>
    <w:p w14:paraId="3CC2EDF4" w14:textId="3DE1F9D9" w:rsidR="004B52B7" w:rsidRPr="0060131F" w:rsidRDefault="004B52B7" w:rsidP="00EA763A">
      <w:pPr>
        <w:pStyle w:val="Paragraphedeliste"/>
        <w:numPr>
          <w:ilvl w:val="0"/>
          <w:numId w:val="156"/>
        </w:numPr>
        <w:rPr>
          <w:rFonts w:cstheme="minorHAnsi"/>
        </w:rPr>
      </w:pPr>
      <w:r w:rsidRPr="0060131F">
        <w:rPr>
          <w:rFonts w:cstheme="minorHAnsi"/>
        </w:rPr>
        <w:t>les dirigeants de droit, qui sont nommés par les associés ou les organes compétents de la société ;</w:t>
      </w:r>
    </w:p>
    <w:p w14:paraId="1D2F6F1A" w14:textId="300EF019" w:rsidR="004B52B7" w:rsidRPr="0060131F" w:rsidRDefault="004B52B7" w:rsidP="00EA763A">
      <w:pPr>
        <w:pStyle w:val="Paragraphedeliste"/>
        <w:numPr>
          <w:ilvl w:val="0"/>
          <w:numId w:val="156"/>
        </w:numPr>
        <w:rPr>
          <w:rFonts w:cstheme="minorHAnsi"/>
        </w:rPr>
      </w:pPr>
      <w:r w:rsidRPr="0060131F">
        <w:rPr>
          <w:rFonts w:cstheme="minorHAnsi"/>
        </w:rPr>
        <w:t>les dirigeants de fait qui, sans avoir été régulièrement désignés en qualité de dirigeant par les organes compétents de la société, exercent, en toute indépendance, des activités de gestion et de direction de cette société.</w:t>
      </w:r>
    </w:p>
    <w:p w14:paraId="3FC5FA88" w14:textId="77777777" w:rsidR="004B52B7" w:rsidRPr="004B52B7" w:rsidRDefault="004B52B7" w:rsidP="004B52B7">
      <w:pPr>
        <w:rPr>
          <w:rFonts w:cstheme="minorHAnsi"/>
        </w:rPr>
      </w:pPr>
      <w:r w:rsidRPr="004B52B7">
        <w:rPr>
          <w:rFonts w:cstheme="minorHAnsi"/>
        </w:rPr>
        <w:t>A l’appui de sa demande, le liquidateur souligne ici que le fournisseur a notamment :</w:t>
      </w:r>
    </w:p>
    <w:p w14:paraId="29291530" w14:textId="6E93AB4E" w:rsidR="004B52B7" w:rsidRPr="0060131F" w:rsidRDefault="004B52B7" w:rsidP="00EA763A">
      <w:pPr>
        <w:pStyle w:val="Paragraphedeliste"/>
        <w:numPr>
          <w:ilvl w:val="0"/>
          <w:numId w:val="155"/>
        </w:numPr>
        <w:rPr>
          <w:rFonts w:cstheme="minorHAnsi"/>
        </w:rPr>
      </w:pPr>
      <w:r w:rsidRPr="0060131F">
        <w:rPr>
          <w:rFonts w:cstheme="minorHAnsi"/>
        </w:rPr>
        <w:t>procédé à un contrôle effectif de la situation financière de la société et à un suivi régulier de sa trésorerie ;</w:t>
      </w:r>
    </w:p>
    <w:p w14:paraId="281EADDA" w14:textId="04D75E63" w:rsidR="004B52B7" w:rsidRPr="0060131F" w:rsidRDefault="004B52B7" w:rsidP="00EA763A">
      <w:pPr>
        <w:pStyle w:val="Paragraphedeliste"/>
        <w:numPr>
          <w:ilvl w:val="0"/>
          <w:numId w:val="155"/>
        </w:numPr>
        <w:rPr>
          <w:rFonts w:cstheme="minorHAnsi"/>
        </w:rPr>
      </w:pPr>
      <w:r w:rsidRPr="0060131F">
        <w:rPr>
          <w:rFonts w:cstheme="minorHAnsi"/>
        </w:rPr>
        <w:t>exercé une forte pression sur la direction de la société dans l’exercice de sa gestion au quotidien, qu’il a par conséquent dépossédée de ses pouvoirs sur la gestion de la trésorerie ;</w:t>
      </w:r>
    </w:p>
    <w:p w14:paraId="3C004EC0" w14:textId="759653D6" w:rsidR="004B52B7" w:rsidRPr="0060131F" w:rsidRDefault="004B52B7" w:rsidP="00EA763A">
      <w:pPr>
        <w:pStyle w:val="Paragraphedeliste"/>
        <w:numPr>
          <w:ilvl w:val="0"/>
          <w:numId w:val="155"/>
        </w:numPr>
        <w:rPr>
          <w:rFonts w:cstheme="minorHAnsi"/>
        </w:rPr>
      </w:pPr>
      <w:r w:rsidRPr="0060131F">
        <w:rPr>
          <w:rFonts w:cstheme="minorHAnsi"/>
        </w:rPr>
        <w:t>identifié et quantifié les besoins de la société, pour lesquels il a décidé de l’opportunité et du timing de son soutien financier.</w:t>
      </w:r>
    </w:p>
    <w:p w14:paraId="72D9EB52" w14:textId="77777777" w:rsidR="004B52B7" w:rsidRPr="004B52B7" w:rsidRDefault="004B52B7" w:rsidP="004B52B7">
      <w:pPr>
        <w:rPr>
          <w:rFonts w:cstheme="minorHAnsi"/>
        </w:rPr>
      </w:pPr>
      <w:r w:rsidRPr="004B52B7">
        <w:rPr>
          <w:rFonts w:cstheme="minorHAnsi"/>
        </w:rPr>
        <w:t>Par tous ces actes, le fournisseur a, selon le liquidateur, outrepassé le cadre des relations classiques entre un client et son fournisseur, et s’est donc comporté en dirigeant de fait de la société.</w:t>
      </w:r>
    </w:p>
    <w:p w14:paraId="2D25A53F" w14:textId="77777777" w:rsidR="004B52B7" w:rsidRPr="004B52B7" w:rsidRDefault="004B52B7" w:rsidP="004B52B7">
      <w:pPr>
        <w:rPr>
          <w:rFonts w:cstheme="minorHAnsi"/>
        </w:rPr>
      </w:pPr>
      <w:r w:rsidRPr="004B52B7">
        <w:rPr>
          <w:rFonts w:cstheme="minorHAnsi"/>
        </w:rPr>
        <w:t>Ce qui permet alors d’engager sa responsabilité pour les fautes de gestion commises dans l’exercice de ses fonctions dès lors que celles-ci ont contribué à aggraver la situation financière de la société…</w:t>
      </w:r>
    </w:p>
    <w:p w14:paraId="1841307D" w14:textId="77777777" w:rsidR="004B52B7" w:rsidRPr="004B52B7" w:rsidRDefault="004B52B7" w:rsidP="004B52B7">
      <w:pPr>
        <w:rPr>
          <w:rFonts w:cstheme="minorHAnsi"/>
        </w:rPr>
      </w:pPr>
      <w:r w:rsidRPr="004B52B7">
        <w:rPr>
          <w:rFonts w:cstheme="minorHAnsi"/>
        </w:rPr>
        <w:t xml:space="preserve">Pour rappel, il est effectivement possible, pour un dirigeant dont la société est placée en liquidation judiciaire, de voir sa responsabilité engagée pour les fautes de gestion qu’il a commises si celles-ci ont contribué à aggraver la situation financière de la société. </w:t>
      </w:r>
    </w:p>
    <w:p w14:paraId="17EDF3A5" w14:textId="77777777" w:rsidR="004B52B7" w:rsidRPr="004B52B7" w:rsidRDefault="004B52B7" w:rsidP="004B52B7">
      <w:pPr>
        <w:rPr>
          <w:rFonts w:cstheme="minorHAnsi"/>
        </w:rPr>
      </w:pPr>
      <w:r w:rsidRPr="004B52B7">
        <w:rPr>
          <w:rFonts w:cstheme="minorHAnsi"/>
        </w:rPr>
        <w:t>Dans ce cas, le dirigeant peut être condamné à prendre en charge toute ou partie des dettes de la société (on parle techniquement « d’action en comblement de passif »).</w:t>
      </w:r>
    </w:p>
    <w:p w14:paraId="1EA8B851" w14:textId="091FD8D8" w:rsidR="004B52B7" w:rsidRPr="004B52B7" w:rsidRDefault="004B52B7" w:rsidP="004B52B7">
      <w:pPr>
        <w:rPr>
          <w:rFonts w:cstheme="minorHAnsi"/>
        </w:rPr>
      </w:pPr>
      <w:r w:rsidRPr="004B52B7">
        <w:rPr>
          <w:rFonts w:cstheme="minorHAnsi"/>
        </w:rPr>
        <w:t>Mais dans cette affaire, le fournisseur conteste la qualité de « dirigeant de fait » de la société : s’il reconna</w:t>
      </w:r>
      <w:r w:rsidR="005E27B0">
        <w:rPr>
          <w:rFonts w:cstheme="minorHAnsi"/>
        </w:rPr>
        <w:t>î</w:t>
      </w:r>
      <w:r w:rsidRPr="004B52B7">
        <w:rPr>
          <w:rFonts w:cstheme="minorHAnsi"/>
        </w:rPr>
        <w:t>t avoir mis en place diverses mesures de suivi de la société, il indique toutefois n’avoir jamais agi en toute indépendance des dirigeants de droit de la société, qui étaient parfaitement au courant de ses agissements, qu’ils avaient d’ailleurs autorisés et auxquels ils étaient, pour l’essentiel, associés.</w:t>
      </w:r>
    </w:p>
    <w:p w14:paraId="49B3B7D1" w14:textId="77777777" w:rsidR="004B52B7" w:rsidRPr="004B52B7" w:rsidRDefault="004B52B7" w:rsidP="004B52B7">
      <w:pPr>
        <w:rPr>
          <w:rFonts w:cstheme="minorHAnsi"/>
        </w:rPr>
      </w:pPr>
      <w:r w:rsidRPr="004B52B7">
        <w:rPr>
          <w:rFonts w:cstheme="minorHAnsi"/>
        </w:rPr>
        <w:t>De plus, poursuit-il, il n’a jamais donné d’instructions aux dirigeants de droit de la société : il s’est seulement cantonné à effectuer des contrôles et à émettre certaines recommandations.</w:t>
      </w:r>
    </w:p>
    <w:p w14:paraId="0E9FB634" w14:textId="77777777" w:rsidR="004B52B7" w:rsidRPr="004B52B7" w:rsidRDefault="004B52B7" w:rsidP="004B52B7">
      <w:pPr>
        <w:rPr>
          <w:rFonts w:cstheme="minorHAnsi"/>
        </w:rPr>
      </w:pPr>
      <w:r w:rsidRPr="004B52B7">
        <w:rPr>
          <w:rFonts w:cstheme="minorHAnsi"/>
        </w:rPr>
        <w:t>Autant d’éléments qui, selon lui, prouvent qu’il n’a pas été le dirigeant de fait de la société…</w:t>
      </w:r>
    </w:p>
    <w:p w14:paraId="201DA43C" w14:textId="77777777" w:rsidR="004B52B7" w:rsidRPr="004B52B7" w:rsidRDefault="004B52B7" w:rsidP="004B52B7">
      <w:pPr>
        <w:rPr>
          <w:rFonts w:cstheme="minorHAnsi"/>
        </w:rPr>
      </w:pPr>
      <w:r w:rsidRPr="004B52B7">
        <w:rPr>
          <w:rFonts w:cstheme="minorHAnsi"/>
        </w:rPr>
        <w:t>Ce que confirme le juge, qui estime ici que les conditions relatives à l’octroi de la qualité de dirigeant de fait ne sont pas réunies.</w:t>
      </w:r>
    </w:p>
    <w:p w14:paraId="7626AEE3" w14:textId="2C32663E" w:rsidR="004A3093" w:rsidRPr="00451FF7" w:rsidRDefault="004B52B7" w:rsidP="004B52B7">
      <w:pPr>
        <w:rPr>
          <w:rFonts w:cstheme="minorHAnsi"/>
        </w:rPr>
      </w:pPr>
      <w:r w:rsidRPr="004B52B7">
        <w:rPr>
          <w:rFonts w:cstheme="minorHAnsi"/>
        </w:rPr>
        <w:t>La demande du liquidateur est donc rejetée.</w:t>
      </w:r>
    </w:p>
    <w:p w14:paraId="18219E85" w14:textId="77777777" w:rsidR="004A3093" w:rsidRDefault="004A3093" w:rsidP="004A3093">
      <w:pPr>
        <w:spacing w:beforeAutospacing="1" w:after="100" w:afterAutospacing="1" w:line="240" w:lineRule="auto"/>
        <w:rPr>
          <w:rFonts w:eastAsia="Times New Roman" w:cstheme="minorHAnsi"/>
          <w:lang w:eastAsia="fr-FR"/>
        </w:rPr>
      </w:pPr>
    </w:p>
    <w:p w14:paraId="30260169" w14:textId="71C65AB2" w:rsidR="00993B41" w:rsidRPr="00BA1E49" w:rsidRDefault="005323FD" w:rsidP="00993B41">
      <w:pPr>
        <w:pStyle w:val="Titre3"/>
      </w:pPr>
      <w:bookmarkStart w:id="59" w:name="_Toc74651347"/>
      <w:r>
        <w:t>Travailleurs indépendants et congé paternité</w:t>
      </w:r>
      <w:bookmarkEnd w:id="59"/>
    </w:p>
    <w:p w14:paraId="4BC57C0F" w14:textId="582232EB" w:rsidR="00993B41" w:rsidRDefault="00993B41" w:rsidP="006D3AAB">
      <w:pPr>
        <w:spacing w:before="0" w:after="0"/>
        <w:rPr>
          <w:rFonts w:cstheme="minorHAnsi"/>
        </w:rPr>
      </w:pPr>
      <w:r w:rsidRPr="00E45B66">
        <w:rPr>
          <w:rFonts w:cstheme="minorHAnsi"/>
          <w:b/>
          <w:color w:val="0070C0"/>
        </w:rPr>
        <w:t>Slide</w:t>
      </w:r>
      <w:r>
        <w:rPr>
          <w:rFonts w:cstheme="minorHAnsi"/>
          <w:b/>
          <w:color w:val="0070C0"/>
        </w:rPr>
        <w:t xml:space="preserve"> </w:t>
      </w:r>
      <w:r w:rsidR="006D3AAB">
        <w:rPr>
          <w:rFonts w:cstheme="minorHAnsi"/>
          <w:b/>
          <w:color w:val="0070C0"/>
        </w:rPr>
        <w:t>69</w:t>
      </w:r>
    </w:p>
    <w:p w14:paraId="7B90FD4D" w14:textId="3A76D60A" w:rsidR="00993B41" w:rsidRPr="005323FD" w:rsidRDefault="00993B41" w:rsidP="00993B41">
      <w:pPr>
        <w:rPr>
          <w:rFonts w:cstheme="minorHAnsi"/>
        </w:rPr>
      </w:pPr>
      <w:r w:rsidRPr="00451FF7">
        <w:rPr>
          <w:rFonts w:cstheme="minorHAnsi"/>
        </w:rPr>
        <w:lastRenderedPageBreak/>
        <w:t>Source </w:t>
      </w:r>
      <w:r w:rsidRPr="002545F5">
        <w:rPr>
          <w:rFonts w:cstheme="minorHAnsi"/>
        </w:rPr>
        <w:t xml:space="preserve">: </w:t>
      </w:r>
      <w:r w:rsidR="005323FD" w:rsidRPr="005323FD">
        <w:rPr>
          <w:rFonts w:cstheme="minorHAnsi"/>
        </w:rPr>
        <w:t>Décret n° 2021-574 du 10 mai 2021 relatif à l'allongement et à l'obligation de prise d'une partie du congé de paternité et d'accueil de l'enfant</w:t>
      </w:r>
    </w:p>
    <w:p w14:paraId="0452773A" w14:textId="77777777" w:rsidR="00993B41" w:rsidRPr="005B73D2" w:rsidRDefault="00993B41" w:rsidP="00993B41">
      <w:pPr>
        <w:pStyle w:val="Titre4"/>
        <w:rPr>
          <w:rStyle w:val="txt"/>
        </w:rPr>
      </w:pPr>
      <w:r w:rsidRPr="004858FF">
        <w:rPr>
          <w:rStyle w:val="txt"/>
        </w:rPr>
        <w:t>ce qu’il faut savoir…</w:t>
      </w:r>
    </w:p>
    <w:p w14:paraId="1C7D2CC0" w14:textId="77777777" w:rsidR="005323FD" w:rsidRPr="005323FD" w:rsidRDefault="005323FD" w:rsidP="005323FD">
      <w:pPr>
        <w:rPr>
          <w:rFonts w:cstheme="minorHAnsi"/>
        </w:rPr>
      </w:pPr>
      <w:r w:rsidRPr="005323FD">
        <w:rPr>
          <w:rFonts w:cstheme="minorHAnsi"/>
        </w:rPr>
        <w:t>Actuellement, à l'occasion de la naissance d'un enfant, le père et, le cas échéant, le conjoint de la mère, son concubin ou son partenaire de PACS, qui exercent une activité indépendante bénéficient d’une indemnité journalière forfaitaire, à leur demande et à condition de cesser toute activité professionnelle.</w:t>
      </w:r>
    </w:p>
    <w:p w14:paraId="092A8AE2" w14:textId="77777777" w:rsidR="005323FD" w:rsidRPr="005323FD" w:rsidRDefault="005323FD" w:rsidP="005323FD">
      <w:pPr>
        <w:rPr>
          <w:rFonts w:cstheme="minorHAnsi"/>
        </w:rPr>
      </w:pPr>
      <w:r w:rsidRPr="005323FD">
        <w:rPr>
          <w:rFonts w:cstheme="minorHAnsi"/>
        </w:rPr>
        <w:t>Pour les naissances intervenant à compter du 1</w:t>
      </w:r>
      <w:r w:rsidRPr="005323FD">
        <w:rPr>
          <w:rFonts w:cstheme="minorHAnsi"/>
          <w:vertAlign w:val="superscript"/>
        </w:rPr>
        <w:t>er</w:t>
      </w:r>
      <w:r w:rsidRPr="005323FD">
        <w:rPr>
          <w:rFonts w:cstheme="minorHAnsi"/>
        </w:rPr>
        <w:t xml:space="preserve"> juillet 2021, ou celles qui, intervenant plus tôt, étaient prévues à compter de cette date, les travailleurs indépendants pourront bénéficier de ces indemnités journalières forfaitaires à la double condition de :</w:t>
      </w:r>
    </w:p>
    <w:p w14:paraId="401EBE5E" w14:textId="28A436F9" w:rsidR="005323FD" w:rsidRPr="005323FD" w:rsidRDefault="005323FD" w:rsidP="00AA66AF">
      <w:pPr>
        <w:pStyle w:val="Paragraphedeliste"/>
        <w:numPr>
          <w:ilvl w:val="0"/>
          <w:numId w:val="82"/>
        </w:numPr>
        <w:rPr>
          <w:rFonts w:cstheme="minorHAnsi"/>
        </w:rPr>
      </w:pPr>
      <w:r w:rsidRPr="005323FD">
        <w:rPr>
          <w:rFonts w:cstheme="minorHAnsi"/>
        </w:rPr>
        <w:t>cesser leur activité professionnelle pendant une durée minimale de 7 jours à compter de la naissance (les périodes de cessation d'activité donnant lieu au versement d'indemnités journalières doivent être prises dans les 6 mois suivant la naissance de l'enfant) ;</w:t>
      </w:r>
    </w:p>
    <w:p w14:paraId="7679F3D0" w14:textId="5D824DEE" w:rsidR="005323FD" w:rsidRPr="005323FD" w:rsidRDefault="005323FD" w:rsidP="00AA66AF">
      <w:pPr>
        <w:pStyle w:val="Paragraphedeliste"/>
        <w:numPr>
          <w:ilvl w:val="0"/>
          <w:numId w:val="82"/>
        </w:numPr>
        <w:rPr>
          <w:rFonts w:cstheme="minorHAnsi"/>
        </w:rPr>
      </w:pPr>
      <w:r w:rsidRPr="005323FD">
        <w:rPr>
          <w:rFonts w:cstheme="minorHAnsi"/>
        </w:rPr>
        <w:t>ne pas reprendre cette activité pendant la durée d’indemnisation.</w:t>
      </w:r>
    </w:p>
    <w:p w14:paraId="3F8B6055" w14:textId="77777777" w:rsidR="005323FD" w:rsidRPr="005323FD" w:rsidRDefault="005323FD" w:rsidP="005323FD">
      <w:pPr>
        <w:rPr>
          <w:rFonts w:cstheme="minorHAnsi"/>
        </w:rPr>
      </w:pPr>
      <w:r w:rsidRPr="005323FD">
        <w:rPr>
          <w:rFonts w:cstheme="minorHAnsi"/>
        </w:rPr>
        <w:t xml:space="preserve">Les indemnités journalières prévues dans le cadre du congé paternité seront versées pendant une durée maximale de 25 jours (contre 11 jours actuellement). En cas de naissance multiple, cette durée maximale est portée à 32 jours (contre 18 jours actuellement). </w:t>
      </w:r>
    </w:p>
    <w:p w14:paraId="2C096A2D" w14:textId="60FB7AC3" w:rsidR="00993B41" w:rsidRPr="00451FF7" w:rsidRDefault="005323FD" w:rsidP="005323FD">
      <w:pPr>
        <w:rPr>
          <w:rFonts w:cstheme="minorHAnsi"/>
        </w:rPr>
      </w:pPr>
      <w:r w:rsidRPr="005323FD">
        <w:rPr>
          <w:rFonts w:cstheme="minorHAnsi"/>
        </w:rPr>
        <w:t>Il faut noter que la durée d'indemnisation est fractionnable en 3 périodes d'au moins 5 jours chacune.</w:t>
      </w:r>
    </w:p>
    <w:p w14:paraId="6C0E95FB" w14:textId="77777777" w:rsidR="00993B41" w:rsidRDefault="00993B41" w:rsidP="00993B41">
      <w:pPr>
        <w:spacing w:beforeAutospacing="1" w:after="100" w:afterAutospacing="1" w:line="240" w:lineRule="auto"/>
        <w:rPr>
          <w:rFonts w:eastAsia="Times New Roman" w:cstheme="minorHAnsi"/>
          <w:lang w:eastAsia="fr-FR"/>
        </w:rPr>
      </w:pPr>
    </w:p>
    <w:p w14:paraId="069CB15A" w14:textId="4A5F7B51" w:rsidR="00993B41" w:rsidRPr="00BA1E49" w:rsidRDefault="00EA1127" w:rsidP="00993B41">
      <w:pPr>
        <w:pStyle w:val="Titre3"/>
      </w:pPr>
      <w:bookmarkStart w:id="60" w:name="_Toc74651348"/>
      <w:r>
        <w:t>Formalisme de l’engagement de caution</w:t>
      </w:r>
      <w:bookmarkEnd w:id="60"/>
    </w:p>
    <w:p w14:paraId="46790680" w14:textId="434AA688" w:rsidR="00993B41" w:rsidRDefault="00993B41" w:rsidP="00993B41">
      <w:pPr>
        <w:rPr>
          <w:rFonts w:cstheme="minorHAnsi"/>
        </w:rPr>
      </w:pPr>
      <w:r w:rsidRPr="00E45B66">
        <w:rPr>
          <w:rFonts w:cstheme="minorHAnsi"/>
          <w:b/>
          <w:color w:val="0070C0"/>
        </w:rPr>
        <w:t>Slide</w:t>
      </w:r>
      <w:r>
        <w:rPr>
          <w:rFonts w:cstheme="minorHAnsi"/>
          <w:b/>
          <w:color w:val="0070C0"/>
        </w:rPr>
        <w:t xml:space="preserve">s </w:t>
      </w:r>
      <w:r w:rsidR="006D3AAB">
        <w:rPr>
          <w:rFonts w:cstheme="minorHAnsi"/>
          <w:b/>
          <w:color w:val="0070C0"/>
        </w:rPr>
        <w:t>70 et 71</w:t>
      </w:r>
    </w:p>
    <w:p w14:paraId="5EBF8085" w14:textId="6C83AF3A" w:rsidR="00993B41" w:rsidRPr="00EE6F72" w:rsidRDefault="00993B41" w:rsidP="00993B41">
      <w:pPr>
        <w:rPr>
          <w:rFonts w:cstheme="minorHAnsi"/>
        </w:rPr>
      </w:pPr>
      <w:r w:rsidRPr="00451FF7">
        <w:rPr>
          <w:rFonts w:cstheme="minorHAnsi"/>
        </w:rPr>
        <w:t>Source </w:t>
      </w:r>
      <w:r w:rsidRPr="002545F5">
        <w:rPr>
          <w:rFonts w:cstheme="minorHAnsi"/>
        </w:rPr>
        <w:t xml:space="preserve">: </w:t>
      </w:r>
      <w:r w:rsidR="00EE6F72" w:rsidRPr="00EE6F72">
        <w:rPr>
          <w:rFonts w:cstheme="minorHAnsi"/>
        </w:rPr>
        <w:t>Arrêt de la Cour de cassation du 5 mai 2021, n° 19-21468</w:t>
      </w:r>
    </w:p>
    <w:p w14:paraId="73B2484D" w14:textId="77777777" w:rsidR="00993B41" w:rsidRPr="005B73D2" w:rsidRDefault="00993B41" w:rsidP="00993B41">
      <w:pPr>
        <w:pStyle w:val="Titre4"/>
        <w:rPr>
          <w:rStyle w:val="txt"/>
        </w:rPr>
      </w:pPr>
      <w:r w:rsidRPr="004858FF">
        <w:rPr>
          <w:rStyle w:val="txt"/>
        </w:rPr>
        <w:t>ce qu’il faut savoir…</w:t>
      </w:r>
    </w:p>
    <w:p w14:paraId="3BE65DBC" w14:textId="77777777" w:rsidR="0092762E" w:rsidRPr="0092762E" w:rsidRDefault="0092762E" w:rsidP="0092762E">
      <w:pPr>
        <w:rPr>
          <w:rFonts w:cstheme="minorHAnsi"/>
        </w:rPr>
      </w:pPr>
      <w:r w:rsidRPr="0092762E">
        <w:rPr>
          <w:rFonts w:cstheme="minorHAnsi"/>
        </w:rPr>
        <w:t>Un dirigeant se porte caution des loyers de crédit-bail dus par sa société. A la suite d’impayés, le crédit-bailleur lui réclame le versement des sommes dues…</w:t>
      </w:r>
    </w:p>
    <w:p w14:paraId="0FA6C805" w14:textId="77777777" w:rsidR="0092762E" w:rsidRPr="0092762E" w:rsidRDefault="0092762E" w:rsidP="0092762E">
      <w:pPr>
        <w:rPr>
          <w:rFonts w:cstheme="minorHAnsi"/>
        </w:rPr>
      </w:pPr>
      <w:r w:rsidRPr="0092762E">
        <w:rPr>
          <w:rFonts w:cstheme="minorHAnsi"/>
        </w:rPr>
        <w:t>… que le dirigeant refuse de payer, mettant en avant l’irrégularité, et donc la nullité (selon lui) de l’acte de cautionnement : dans cet acte, rappelle-t-il, il doit lui-même reproduire à la main certaines mentions… qui ont en réalité été rédigées par sa secrétaire ! « La faute à qui ? », rétorque le crédit-bailleur, qui précise que c’est le dirigeant lui-même qui indique avoir « cru devoir faire » rédiger ces mentions par sa secrétaire, alors même que l’acte de caution, qu’il a paraphé et signé, précisait que celles-ci devaient être rédigées de sa main…</w:t>
      </w:r>
    </w:p>
    <w:p w14:paraId="46799010" w14:textId="0C542FAD" w:rsidR="00993B41" w:rsidRPr="00451FF7" w:rsidRDefault="0092762E" w:rsidP="0092762E">
      <w:pPr>
        <w:rPr>
          <w:rFonts w:cstheme="minorHAnsi"/>
        </w:rPr>
      </w:pPr>
      <w:r w:rsidRPr="0092762E">
        <w:rPr>
          <w:rFonts w:cstheme="minorHAnsi"/>
        </w:rPr>
        <w:t>Ce que confirme le juge : en demandant à sa secrétaire de rédiger les mentions qu’il savait devoir reproduire lui-même, le dirigeant a fait preuve de mauvaise foi, ce qui l’empêche de se prévaloir de ce défaut de formalisme pour annuler son engagement. Qu’il doit donc honorer…</w:t>
      </w:r>
    </w:p>
    <w:p w14:paraId="409884CA" w14:textId="77777777" w:rsidR="00993B41" w:rsidRPr="005B73D2" w:rsidRDefault="00993B41" w:rsidP="00993B41">
      <w:pPr>
        <w:pStyle w:val="Titre4"/>
        <w:rPr>
          <w:rStyle w:val="txt"/>
        </w:rPr>
      </w:pPr>
      <w:r w:rsidRPr="004858FF">
        <w:rPr>
          <w:rStyle w:val="txt"/>
        </w:rPr>
        <w:t>POUR ALLER PLUS LOIN</w:t>
      </w:r>
    </w:p>
    <w:p w14:paraId="2212DF20" w14:textId="77777777" w:rsidR="00DA2856" w:rsidRDefault="00DA2856" w:rsidP="00DA2856">
      <w:r>
        <w:t xml:space="preserve">Si le formalisme entourant le cautionnement n’est pas respecté, et en particulier celui qui vise tout spécialement les mentions obligatoires, l’acte de cautionnement pourrait être invalidé, de sorte que la banque </w:t>
      </w:r>
      <w:r>
        <w:lastRenderedPageBreak/>
        <w:t>ne pourrait pas s’en prévaloir pour vous poursuivre en paiement, le cas échéant. Voilà qui mérite de s’y intéresser quelques instants…</w:t>
      </w:r>
    </w:p>
    <w:p w14:paraId="49068F70" w14:textId="1B2ABDE5" w:rsidR="00DA2856" w:rsidRDefault="00DA2856" w:rsidP="00DA2856">
      <w:r>
        <w:t xml:space="preserve">Ces mentions sont obligatoires. Si elles n’apparaissent pas dans l’engagement de caution, ce dernier sera nul. Mais il s’agit d’une nullité dite relative : si vous deviez exécuter votre engagement de caution (payer les sommes dues à la banque, en d’autres termes), tout en étant parfaitement au courant que l’engagement est nul parce que la mention précitée fait défaut, vous ne pourrez pas solliciter la nullité de l’acte. </w:t>
      </w:r>
    </w:p>
    <w:p w14:paraId="1BB99A1A" w14:textId="51C3C379" w:rsidR="00DA2856" w:rsidRDefault="00DA2856" w:rsidP="00DA2856">
      <w:r>
        <w:t>Sachez que la nullité de l’acte de cautionnement sera acquise si ces mentions ne sont pas strictement conformes aux dispositions légales. Voilà pourquoi les intermédiaires financiers sont souvent très scrupuleux dans la relecture des actes de cautionnement. Cependant, les juges ont eu l’occasion de préciser que de simples erreurs matérielles n’entraînent pas nécessairement la nullité de la caution si elles ne dénaturent pas l’acte et n’altèrent pas la compréhension du sens et de la portée de l’engagement pris par la caution. Ils ont eu la même position à propos d’un acte qui précisait que la caution s’engageait vis-à-vis de la banque ou de toute personne qui lui serait substituée en cas de fusion (ce qui constitue un ajout par rapport à la formule légale).</w:t>
      </w:r>
    </w:p>
    <w:p w14:paraId="3A5985D4" w14:textId="5E2EDC29" w:rsidR="00DA2856" w:rsidRDefault="00DA2856" w:rsidP="00DA2856">
      <w:r>
        <w:t>Le juge a aussi eu l’occasion de rappeler qu’une contradiction entre la mention dactylographiée et la mention manuscrite à propos du montant du cautionnement ne rend pas pour autant l’acte nul si aucun manquement formalisme légal n’affecte ce même acte.</w:t>
      </w:r>
    </w:p>
    <w:p w14:paraId="176FDA34" w14:textId="74CE5F60" w:rsidR="00DA2856" w:rsidRDefault="00DA2856" w:rsidP="00DA2856">
      <w:r w:rsidRPr="00C4026F">
        <w:rPr>
          <w:u w:val="single"/>
        </w:rPr>
        <w:t>Pour la petite histoire (1)</w:t>
      </w:r>
      <w:r w:rsidR="00C4026F">
        <w:rPr>
          <w:u w:val="single"/>
        </w:rPr>
        <w:t>.</w:t>
      </w:r>
      <w:r>
        <w:t xml:space="preserve"> Des actes de cautionnement ont même été attaqués parce qu’ils contenaient des erreurs de ponctuation (un point au lieu d’une virgule, une minuscule au lieu d’une majuscule, etc.), voire même une absence totale de ponctuation ; cela étant, le juge a admis, dans ces cas précis, que l’acte n’en demeurait pas moins valable, ces erreurs n’affectant pas la portée de la portée de ces mentions, dès lors qu’elles sont, pour le surplus conformes aux dispositions légales.</w:t>
      </w:r>
    </w:p>
    <w:p w14:paraId="3912BB9B" w14:textId="451CBA39" w:rsidR="00DA2856" w:rsidRDefault="00DA2856" w:rsidP="00DA2856">
      <w:r w:rsidRPr="00C4026F">
        <w:rPr>
          <w:u w:val="single"/>
        </w:rPr>
        <w:t>Pour la petite histoire (2)</w:t>
      </w:r>
      <w:r w:rsidR="00C4026F">
        <w:rPr>
          <w:u w:val="single"/>
        </w:rPr>
        <w:t>.</w:t>
      </w:r>
      <w:r>
        <w:t xml:space="preserve"> Un dirigeant a signé un acte de cautionnement dans lequel la mention manuscrite, alors qu’elle devrait faire mention du principal et des intérêts de la dette, ne comportait pas le mot « intérêts » dans l'énoncé des sommes qu’il s'engageait à garantir. Le juge n’en </w:t>
      </w:r>
      <w:r w:rsidR="005100D1">
        <w:t xml:space="preserve">a </w:t>
      </w:r>
      <w:r>
        <w:t>pas moins considéré l’acte de cautionnement pour autant valable, mais a toutefois estimé qu’il était limité au seul principal de la dette (une décision de même nature et avec la même conclusion a été rendue dans le cas d’un oubli du mot « principal » cette fois). Inversement, le juge a annulé un cautionnement parce que la mention manuscrite précisait que le dirigeant s’engageait sur « ses revenus ou ses biens » au lieu de « ses revenus et ses biens » : l’emploi de la conjonction « ou » au lieu de la conjonction « et » a eu pour effet de modifier le sens et la portée de l’engagement de la caution selon le juge.</w:t>
      </w:r>
    </w:p>
    <w:p w14:paraId="1EB4046C" w14:textId="050F9B5F" w:rsidR="00DA2856" w:rsidRDefault="00DA2856" w:rsidP="00DA2856">
      <w:r w:rsidRPr="00C4026F">
        <w:rPr>
          <w:u w:val="single"/>
        </w:rPr>
        <w:t>Pour la petite histoire (3)</w:t>
      </w:r>
      <w:r w:rsidR="00C4026F">
        <w:rPr>
          <w:u w:val="single"/>
        </w:rPr>
        <w:t>.</w:t>
      </w:r>
      <w:r>
        <w:t xml:space="preserve"> Un dirigeant a signé un acte de cautionnement dans lequel la mention manuscrite précisait une durée d’engagement de « 108 mensualités » au lieu de « 108 mois ». Ce qui a eu pour effet de rendre nul ce cautionnement : une formule qui se réfère à un montant (la mensualité) et non à une durée d'engagement (le mois) modifie le sens et la portée de la mention manuscrite prévue par La loi.</w:t>
      </w:r>
    </w:p>
    <w:p w14:paraId="7B1A7846" w14:textId="25CE9A35" w:rsidR="00DA2856" w:rsidRDefault="00DA2856" w:rsidP="00DA2856">
      <w:r w:rsidRPr="00C4026F">
        <w:rPr>
          <w:u w:val="single"/>
        </w:rPr>
        <w:t>Pour la petite histoire (4)</w:t>
      </w:r>
      <w:r w:rsidR="00C4026F">
        <w:rPr>
          <w:u w:val="single"/>
        </w:rPr>
        <w:t xml:space="preserve">. </w:t>
      </w:r>
      <w:r>
        <w:t>Un dirigeant a signé un acte de cautionnement dans lequel la mention manuscrite comportait l’ajou</w:t>
      </w:r>
      <w:r w:rsidR="005100D1">
        <w:t>t</w:t>
      </w:r>
      <w:r>
        <w:t xml:space="preserve"> de l’expression « solidaire ». Pour lui, ce rajout affectait la compréhension du sens et de la portée des mentions manuscrites ce qui rendait nul son engagement. A tort pour le juge, ce dernier considérant que le rajout de la mention « solidaire » ne modifiait pas le sens et de la portée des engagements du dirigeant.</w:t>
      </w:r>
    </w:p>
    <w:p w14:paraId="41851BDA" w14:textId="1D4CE646" w:rsidR="00DA2856" w:rsidRDefault="00DA2856" w:rsidP="00DA2856">
      <w:r w:rsidRPr="00C4026F">
        <w:rPr>
          <w:u w:val="single"/>
        </w:rPr>
        <w:t>Pour la petite histoire (5)</w:t>
      </w:r>
      <w:r w:rsidR="00C4026F">
        <w:rPr>
          <w:u w:val="single"/>
        </w:rPr>
        <w:t>.</w:t>
      </w:r>
      <w:r>
        <w:t xml:space="preserve"> Un dirigeant a signé un acte de cautionnement qui n’était pas daté. Pour lui, cette absence ne lui permettait pas de déterminer avec précision la durée de son engagement, ce qui le rendait nul. A tort pour le juge, ce dernier rappelant que Loi n’impose pas la datation de l’acte de caution. De plus, le contrat a été « édité » le même jour que le contrat de prêt auquel il est adjoint. Le dirigeant pouvait donc tout à fait déterminer la durée de son engagement.</w:t>
      </w:r>
    </w:p>
    <w:p w14:paraId="2A8A4EF1" w14:textId="5F095A3C" w:rsidR="00DA2856" w:rsidRDefault="00DA2856" w:rsidP="00DA2856">
      <w:r w:rsidRPr="00C4026F">
        <w:rPr>
          <w:u w:val="single"/>
        </w:rPr>
        <w:lastRenderedPageBreak/>
        <w:t>Pour la petite histoire (6).</w:t>
      </w:r>
      <w:r>
        <w:t xml:space="preserve"> Un dirigeant a consenti un acte de cautionnement « jusqu’au paiement effectif de toutes les sommes dues ». Ce qui le rend invalide, selon lui, les engagements de caution à durée indéterminée n’étant pas licite</w:t>
      </w:r>
      <w:r w:rsidR="005100D1">
        <w:t>s</w:t>
      </w:r>
      <w:r>
        <w:t>. A tort, pour le juge : la Loi autorise tout à fait les engagements de caution à durée indéterminée. Le dirigeant a également expliqué que son engagement de caution était disproportionné car la banque tenait compte du patrimoine « commun » qu’il possédait avec son épouse. Or, celle-ci n’avait pas donné son accord exprès à son engagement de caution. La banque ne peut donc tenir compte, selon lui, que de son patrimoine personnel, ce qui rend son engagement de caution disproportionné. A tort, ici aussi, pour le juge : pour apprécier la disproportion d’un engagement de caution, il faut également tenir compte du patrimoine commun du dirigeant, et ce même si ce patrimoine ne peut pas être engagé en cas de condamnation du dirigeant en sa qualité de caution.</w:t>
      </w:r>
    </w:p>
    <w:p w14:paraId="170337BD" w14:textId="77777777" w:rsidR="00DA2856" w:rsidRDefault="00DA2856" w:rsidP="00DA2856">
      <w:r w:rsidRPr="00D17741">
        <w:rPr>
          <w:u w:val="single"/>
        </w:rPr>
        <w:t>Pour la petite histoire (7).</w:t>
      </w:r>
      <w:r>
        <w:t xml:space="preserve"> Un engagement de caution a été jugé nul car la mention manuscrite légale faisait référence à une société filiale au lieu de la société-mère. Pour le juge, cette erreur change le sens et la portée légale de la mention légale.</w:t>
      </w:r>
    </w:p>
    <w:p w14:paraId="717E0C5F" w14:textId="77777777" w:rsidR="00DA2856" w:rsidRDefault="00DA2856" w:rsidP="00DA2856">
      <w:r w:rsidRPr="00D17741">
        <w:rPr>
          <w:u w:val="single"/>
        </w:rPr>
        <w:t>Pour la petite histoire (8).</w:t>
      </w:r>
      <w:r w:rsidRPr="00D17741">
        <w:t xml:space="preserve"> Un acte de cautionnement indiquait « jusqu'au 31 janvier 2014 ou toute autre date</w:t>
      </w:r>
      <w:r>
        <w:t xml:space="preserve"> reportée » d’un commun accord entre les parties. Pour le juge, la durée de l’acte de cautionnement manquait de précision : la mention reprise dans l’acte ne permettait pas au dirigeant de connaître, au moment où il signait l’acte, la date limite de son engagement qui a donc été déclaré nul !</w:t>
      </w:r>
    </w:p>
    <w:p w14:paraId="0BAD99FE" w14:textId="58D4B08A" w:rsidR="00DA2856" w:rsidRDefault="00DA2856" w:rsidP="00DA2856">
      <w:r w:rsidRPr="00D17741">
        <w:rPr>
          <w:u w:val="single"/>
        </w:rPr>
        <w:t>Pour la petite histoire (9).</w:t>
      </w:r>
      <w:r>
        <w:t xml:space="preserve"> Un acte de cautionnement indiquait que le dirigeant d’une société se portait «</w:t>
      </w:r>
      <w:r w:rsidR="00D17741">
        <w:t> </w:t>
      </w:r>
      <w:r>
        <w:t>caution de 240 000 € » au lieu de « caution de la société X dans la limite de la somme de 240 000 € ». Une discordance telle qu’elle affectait le sens et la portée de l’engagement de caution du dirigeant, déclaré nul par le juge.</w:t>
      </w:r>
    </w:p>
    <w:p w14:paraId="1DF953F5" w14:textId="77777777" w:rsidR="00DA2856" w:rsidRDefault="00DA2856" w:rsidP="00DA2856">
      <w:r w:rsidRPr="00D17741">
        <w:rPr>
          <w:u w:val="single"/>
        </w:rPr>
        <w:t>Pour la petite histoire (10).</w:t>
      </w:r>
      <w:r>
        <w:t xml:space="preserve"> Un acte de cautionnement indiquait que le dirigeant d’une société se portait caution et s’engageait à rembourser à la banque les sommes dues « si le bénéficiaire du crédit » n’y satisfaisait pas lui-même. Or, la formule légale doit faire impérativement état du nom ou de la dénomination sociale du débiteur garanti. A défaut, l’engagement de caution est nul. Le juge a donc déclaré nul l’engagement de caution.</w:t>
      </w:r>
    </w:p>
    <w:p w14:paraId="011697B4" w14:textId="0560FCBF" w:rsidR="00DA2856" w:rsidRDefault="00DA2856" w:rsidP="00DA2856">
      <w:r w:rsidRPr="00D17741">
        <w:rPr>
          <w:u w:val="single"/>
        </w:rPr>
        <w:t>Pour la petite histoire (11).</w:t>
      </w:r>
      <w:r>
        <w:t xml:space="preserve"> Un dirigeant constate qu’il a apposé sa signature non pas dans la rubrique «</w:t>
      </w:r>
      <w:r w:rsidR="00D17741">
        <w:t> </w:t>
      </w:r>
      <w:r>
        <w:t>signature de la caution », mais, à la suite d’une erreur matérielle, dans la rubrique « signature du prêteur ». Il estime alors que cette erreur rend nul son engagement de caution. « Faux » conteste la banque : une flèche directionnelle a été apposée sur cette page partant de la signature du dirigeant vers le bloc laissé en blanc en dessous de la rubrique « signature de la caution ». Pour la banque, l’erreur de signature a donc été réparée et l’engagement de caution du dirigeant est valable. « Faux » conteste à son tour le dirigeant : il rappelle que le bloc présent en fin de page ne comporte aucune référence chiffrée à la ligne « Approuvé :... Mots rayés nuls,… Lignes rayées nulles,…. Renvois ». Cette absence de référence ne permet pas à la banque, selon lui, d’affirmer que cette flèche a été reproduite lors de l’apposition des signatures, d’un commun accord. En outre, il rappelle que 2 autres personnes se sont engagées en qualité de caution et ont apposé leur signature dans la bonne rubrique. Le dirigeant considère donc (de nouveau) que son engagement de caution est nul. « Exact » confirme le juge, qui précise que, lors de la signature du contrat, la rigueur aurait dû conduire la banque à vérifier que le dirigeant signe une deuxième fois, en qualité de caution, dans la bonne rubrique, et qu’il soit fait mention expresse des rayures et des ajouts.</w:t>
      </w:r>
    </w:p>
    <w:p w14:paraId="5AC6829F" w14:textId="03A6BA3A" w:rsidR="00DA2856" w:rsidRDefault="00DA2856" w:rsidP="00DA2856">
      <w:r w:rsidRPr="00543C4F">
        <w:rPr>
          <w:u w:val="single"/>
        </w:rPr>
        <w:t>Pour la petite histoire (12)</w:t>
      </w:r>
      <w:r w:rsidR="00543C4F">
        <w:rPr>
          <w:u w:val="single"/>
        </w:rPr>
        <w:t>.</w:t>
      </w:r>
      <w:r>
        <w:t xml:space="preserve"> Constatant que son engagement de caution indique « 207 960 mille euros » et «</w:t>
      </w:r>
      <w:r w:rsidR="00543C4F">
        <w:t> </w:t>
      </w:r>
      <w:r>
        <w:t xml:space="preserve">deux cent sept mille neuf cent soixante mille euros » et qu’il y a donc à chaque fois un « mille » en trop, un dirigeant a considéré que son engagement de caution était nul. A tort, pour le juge : le rajout du mot « mille » est une simple imperfection mineure qui n’affecte ni le sens ni la portée de son engagement de caution. </w:t>
      </w:r>
    </w:p>
    <w:p w14:paraId="0C8DEA61" w14:textId="77777777" w:rsidR="00DA2856" w:rsidRDefault="00DA2856" w:rsidP="00DA2856">
      <w:r w:rsidRPr="00543C4F">
        <w:rPr>
          <w:u w:val="single"/>
        </w:rPr>
        <w:lastRenderedPageBreak/>
        <w:t>Pour la petite histoire (13).</w:t>
      </w:r>
      <w:r>
        <w:t xml:space="preserve"> Les juges ont estimé que l’oubli du mot « caution » dans la reproduction manuscrite de la formule légale affecte le sens et la portée de celle-ci, ce qui justifie que l’acte de cautionnement soit annulé.</w:t>
      </w:r>
    </w:p>
    <w:p w14:paraId="3B65374C" w14:textId="77777777" w:rsidR="00DA2856" w:rsidRDefault="00DA2856" w:rsidP="00DA2856">
      <w:r w:rsidRPr="00543C4F">
        <w:rPr>
          <w:u w:val="single"/>
        </w:rPr>
        <w:t>Pour la petite histoire (14).</w:t>
      </w:r>
      <w:r>
        <w:t xml:space="preserve"> Il a été jugé qu’un engagement de caution qui ne comporte ni sa durée, ni l’identité du débiteur principal, ni ce que le terme « caution solidaire » signifie doit être annulé.</w:t>
      </w:r>
    </w:p>
    <w:p w14:paraId="362AFE18" w14:textId="350730F5" w:rsidR="00993B41" w:rsidRPr="0070755E" w:rsidRDefault="00DA2856" w:rsidP="00DA2856">
      <w:r w:rsidRPr="00543C4F">
        <w:rPr>
          <w:u w:val="single"/>
        </w:rPr>
        <w:t>Pour la petite histoire (15).</w:t>
      </w:r>
      <w:r>
        <w:t xml:space="preserve"> Il a été jugé qu’un engagement de caution manuscrit qui ne comporte pas le nom du bénéficiaire de la garantie doit être annulé, et ce même si ce nom figure sur la page préimprimé de l’acte de caution.</w:t>
      </w:r>
    </w:p>
    <w:p w14:paraId="2A62A7DA" w14:textId="77777777" w:rsidR="00993B41" w:rsidRDefault="00993B41" w:rsidP="00993B41">
      <w:pPr>
        <w:spacing w:beforeAutospacing="1" w:after="100" w:afterAutospacing="1" w:line="240" w:lineRule="auto"/>
        <w:rPr>
          <w:rFonts w:eastAsia="Times New Roman" w:cstheme="minorHAnsi"/>
          <w:lang w:eastAsia="fr-FR"/>
        </w:rPr>
      </w:pPr>
    </w:p>
    <w:p w14:paraId="39A53059" w14:textId="6C26BD3B" w:rsidR="004A3093" w:rsidRPr="00BA1E49" w:rsidRDefault="00294ABB" w:rsidP="004A3093">
      <w:pPr>
        <w:pStyle w:val="Titre3"/>
      </w:pPr>
      <w:bookmarkStart w:id="61" w:name="_Toc74651349"/>
      <w:r>
        <w:t>Procès-verbal d’assemblée générale et secret des votes</w:t>
      </w:r>
      <w:bookmarkEnd w:id="61"/>
    </w:p>
    <w:p w14:paraId="5BFF3EFE" w14:textId="0A24210E" w:rsidR="004A3093" w:rsidRDefault="004A3093" w:rsidP="004A3093">
      <w:pPr>
        <w:rPr>
          <w:rFonts w:cstheme="minorHAnsi"/>
        </w:rPr>
      </w:pPr>
      <w:r w:rsidRPr="00E45B66">
        <w:rPr>
          <w:rFonts w:cstheme="minorHAnsi"/>
          <w:b/>
          <w:color w:val="0070C0"/>
        </w:rPr>
        <w:t>Slide</w:t>
      </w:r>
      <w:r>
        <w:rPr>
          <w:rFonts w:cstheme="minorHAnsi"/>
          <w:b/>
          <w:color w:val="0070C0"/>
        </w:rPr>
        <w:t xml:space="preserve">s </w:t>
      </w:r>
      <w:r w:rsidR="006D3AAB">
        <w:rPr>
          <w:rFonts w:cstheme="minorHAnsi"/>
          <w:b/>
          <w:color w:val="0070C0"/>
        </w:rPr>
        <w:t>72 et 73</w:t>
      </w:r>
    </w:p>
    <w:p w14:paraId="7D930B00" w14:textId="47D2E5AB" w:rsidR="004A3093" w:rsidRPr="00850FED" w:rsidRDefault="004A3093" w:rsidP="004A3093">
      <w:pPr>
        <w:rPr>
          <w:rFonts w:cstheme="minorHAnsi"/>
        </w:rPr>
      </w:pPr>
      <w:r w:rsidRPr="00451FF7">
        <w:rPr>
          <w:rFonts w:cstheme="minorHAnsi"/>
        </w:rPr>
        <w:t>Source </w:t>
      </w:r>
      <w:r w:rsidRPr="002545F5">
        <w:rPr>
          <w:rFonts w:cstheme="minorHAnsi"/>
        </w:rPr>
        <w:t xml:space="preserve">: </w:t>
      </w:r>
      <w:r w:rsidR="00850FED" w:rsidRPr="00850FED">
        <w:rPr>
          <w:rFonts w:cstheme="minorHAnsi"/>
        </w:rPr>
        <w:t>Arrêt de la Cour de cassation, 3</w:t>
      </w:r>
      <w:r w:rsidR="00850FED" w:rsidRPr="00FE68D3">
        <w:rPr>
          <w:rFonts w:cstheme="minorHAnsi"/>
          <w:vertAlign w:val="superscript"/>
        </w:rPr>
        <w:t xml:space="preserve">ème </w:t>
      </w:r>
      <w:r w:rsidR="00850FED" w:rsidRPr="00850FED">
        <w:rPr>
          <w:rFonts w:cstheme="minorHAnsi"/>
        </w:rPr>
        <w:t>chambre civile, du 12 mai 2021, n° 19-21725</w:t>
      </w:r>
    </w:p>
    <w:p w14:paraId="0D19F6BD" w14:textId="77777777" w:rsidR="004A3093" w:rsidRPr="005B73D2" w:rsidRDefault="004A3093" w:rsidP="004A3093">
      <w:pPr>
        <w:pStyle w:val="Titre4"/>
        <w:rPr>
          <w:rStyle w:val="txt"/>
        </w:rPr>
      </w:pPr>
      <w:r w:rsidRPr="004858FF">
        <w:rPr>
          <w:rStyle w:val="txt"/>
        </w:rPr>
        <w:t>ce qu’il faut savoir…</w:t>
      </w:r>
    </w:p>
    <w:p w14:paraId="49F4DC23" w14:textId="77777777" w:rsidR="005636B9" w:rsidRPr="005636B9" w:rsidRDefault="005636B9" w:rsidP="005636B9">
      <w:pPr>
        <w:rPr>
          <w:rFonts w:cstheme="minorHAnsi"/>
        </w:rPr>
      </w:pPr>
      <w:r w:rsidRPr="005636B9">
        <w:rPr>
          <w:rFonts w:cstheme="minorHAnsi"/>
        </w:rPr>
        <w:t xml:space="preserve">A la suite de la tenue d’une assemblée générale, 3 associés d’une société civile immobilière (SCI) familiale demandent l’annulation de son procès-verbal (PV). Le motif ? Celui-ci ne contient pas toutes les mentions obligatoires qu’il aurait dû contenir… </w:t>
      </w:r>
    </w:p>
    <w:p w14:paraId="51AE13B0" w14:textId="77777777" w:rsidR="005636B9" w:rsidRPr="005636B9" w:rsidRDefault="005636B9" w:rsidP="005636B9">
      <w:pPr>
        <w:rPr>
          <w:rFonts w:cstheme="minorHAnsi"/>
        </w:rPr>
      </w:pPr>
      <w:r w:rsidRPr="005636B9">
        <w:rPr>
          <w:rFonts w:cstheme="minorHAnsi"/>
        </w:rPr>
        <w:t>Ils soulignent, en effet, que le PV ne précise pas la position de chaque associé votant, ce qui constitue pourtant une obligation au regard des dispositions légales applicables. « Lisez mieux », rétorquent les autres associés, qui rappellent que le procès-verbal indique l’identité de chaque associé, le texte des résolutions mises aux voix et le résultat global des votes : il n’a pas à mentionner le sens du vote de chaque associé pour la bonne raison que cela serait contraire au principe de l’anonymat et du secret des votes des associés de la SCI…</w:t>
      </w:r>
    </w:p>
    <w:p w14:paraId="790FE0E7" w14:textId="550DC274" w:rsidR="00D35190" w:rsidRPr="00DA3827" w:rsidRDefault="005636B9" w:rsidP="00DA3827">
      <w:pPr>
        <w:rPr>
          <w:rFonts w:cstheme="minorHAnsi"/>
        </w:rPr>
      </w:pPr>
      <w:r w:rsidRPr="005636B9">
        <w:rPr>
          <w:rFonts w:cstheme="minorHAnsi"/>
        </w:rPr>
        <w:t>Ce que confirme le juge : le procès-verbal de l’assemblée générale, qui respecte ici l’ensemble des règles de formalisme qui lui sont applicables, est parfaitement conforme… et donc valable !</w:t>
      </w:r>
    </w:p>
    <w:p w14:paraId="764634D6" w14:textId="35B2F33E" w:rsidR="00153193" w:rsidRDefault="00153193" w:rsidP="00526ACF">
      <w:pPr>
        <w:spacing w:beforeAutospacing="1" w:after="100" w:afterAutospacing="1" w:line="240" w:lineRule="auto"/>
      </w:pPr>
      <w:r>
        <w:br w:type="page"/>
      </w:r>
    </w:p>
    <w:p w14:paraId="7E65FE68" w14:textId="77777777" w:rsidR="00153193" w:rsidRDefault="00153193" w:rsidP="00695E3D">
      <w:pPr>
        <w:jc w:val="center"/>
      </w:pPr>
    </w:p>
    <w:p w14:paraId="4C0FE6DE" w14:textId="38611232" w:rsidR="008B0D27" w:rsidRDefault="00153193" w:rsidP="00FB54B2">
      <w:pPr>
        <w:pStyle w:val="Titre2"/>
      </w:pPr>
      <w:bookmarkStart w:id="62" w:name="_Toc74651350"/>
      <w:r>
        <w:t xml:space="preserve">Ce qu’il faut savoir en matière de </w:t>
      </w:r>
      <w:r w:rsidR="00FB54B2">
        <w:t>relations avec l’administration</w:t>
      </w:r>
      <w:bookmarkEnd w:id="62"/>
    </w:p>
    <w:p w14:paraId="7F03EA51" w14:textId="77777777" w:rsidR="00FB54B2" w:rsidRDefault="00FB54B2" w:rsidP="008B0D27"/>
    <w:p w14:paraId="314B90E1" w14:textId="3BAF0AC4" w:rsidR="000057F1" w:rsidRPr="00BA1E49" w:rsidRDefault="005B5431" w:rsidP="000057F1">
      <w:pPr>
        <w:pStyle w:val="Titre3"/>
      </w:pPr>
      <w:bookmarkStart w:id="63" w:name="_Toc74651351"/>
      <w:r>
        <w:t>P</w:t>
      </w:r>
      <w:r w:rsidR="00745005">
        <w:t>rêt d’argent ou donation</w:t>
      </w:r>
      <w:r w:rsidR="0004615E">
        <w:t> ?</w:t>
      </w:r>
      <w:bookmarkEnd w:id="63"/>
    </w:p>
    <w:p w14:paraId="500455C9" w14:textId="40AFBEA6" w:rsidR="000057F1" w:rsidRDefault="000057F1" w:rsidP="000057F1">
      <w:pPr>
        <w:rPr>
          <w:rFonts w:cstheme="minorHAnsi"/>
        </w:rPr>
      </w:pPr>
      <w:r w:rsidRPr="00E45B66">
        <w:rPr>
          <w:rFonts w:cstheme="minorHAnsi"/>
          <w:b/>
          <w:color w:val="0070C0"/>
        </w:rPr>
        <w:t>Slide</w:t>
      </w:r>
      <w:r>
        <w:rPr>
          <w:rFonts w:cstheme="minorHAnsi"/>
          <w:b/>
          <w:color w:val="0070C0"/>
        </w:rPr>
        <w:t xml:space="preserve">s </w:t>
      </w:r>
      <w:r w:rsidR="006D3AAB">
        <w:rPr>
          <w:rFonts w:cstheme="minorHAnsi"/>
          <w:b/>
          <w:color w:val="0070C0"/>
        </w:rPr>
        <w:t>74 et 75</w:t>
      </w:r>
    </w:p>
    <w:p w14:paraId="4C00DBC0" w14:textId="00507CAA" w:rsidR="000057F1" w:rsidRPr="00666D7B" w:rsidRDefault="000057F1" w:rsidP="000057F1">
      <w:pPr>
        <w:rPr>
          <w:rFonts w:cstheme="minorHAnsi"/>
        </w:rPr>
      </w:pPr>
      <w:r w:rsidRPr="00451FF7">
        <w:rPr>
          <w:rFonts w:cstheme="minorHAnsi"/>
        </w:rPr>
        <w:t>Source </w:t>
      </w:r>
      <w:r w:rsidRPr="002545F5">
        <w:rPr>
          <w:rFonts w:cstheme="minorHAnsi"/>
        </w:rPr>
        <w:t xml:space="preserve">: </w:t>
      </w:r>
      <w:r w:rsidR="00666D7B" w:rsidRPr="00666D7B">
        <w:rPr>
          <w:rFonts w:cstheme="minorHAnsi"/>
        </w:rPr>
        <w:t>Arrêt de la Cour de cassation, chambre commerciale, du 14 avril 2021, n°18-15623</w:t>
      </w:r>
    </w:p>
    <w:p w14:paraId="57FB2034" w14:textId="77777777" w:rsidR="000057F1" w:rsidRPr="005B73D2" w:rsidRDefault="000057F1" w:rsidP="000057F1">
      <w:pPr>
        <w:pStyle w:val="Titre4"/>
        <w:rPr>
          <w:rStyle w:val="txt"/>
        </w:rPr>
      </w:pPr>
      <w:r w:rsidRPr="004858FF">
        <w:rPr>
          <w:rStyle w:val="txt"/>
        </w:rPr>
        <w:t>ce qu’il faut savoir…</w:t>
      </w:r>
    </w:p>
    <w:p w14:paraId="3ED6C496" w14:textId="77777777" w:rsidR="005B5431" w:rsidRPr="005B5431" w:rsidRDefault="005B5431" w:rsidP="005B5431">
      <w:pPr>
        <w:rPr>
          <w:rFonts w:cstheme="minorHAnsi"/>
        </w:rPr>
      </w:pPr>
      <w:r w:rsidRPr="005B5431">
        <w:rPr>
          <w:rFonts w:cstheme="minorHAnsi"/>
        </w:rPr>
        <w:t>Pour acheter un appartement, une femme emprunte une somme d’argent conséquente à son conjoint, et signe une reconnaissance de dette en ce sens.</w:t>
      </w:r>
    </w:p>
    <w:p w14:paraId="5040954B" w14:textId="77777777" w:rsidR="005B5431" w:rsidRPr="005B5431" w:rsidRDefault="005B5431" w:rsidP="005B5431">
      <w:pPr>
        <w:rPr>
          <w:rFonts w:cstheme="minorHAnsi"/>
        </w:rPr>
      </w:pPr>
      <w:r w:rsidRPr="005B5431">
        <w:rPr>
          <w:rFonts w:cstheme="minorHAnsi"/>
        </w:rPr>
        <w:t>Une transaction qui n’échappe pas à l’administration fiscale qui, considérant qu’il s’agit non pas d’un prêt mais d’une donation, réclame le paiement des droits de donation correspondants.</w:t>
      </w:r>
    </w:p>
    <w:p w14:paraId="58AC402D" w14:textId="77777777" w:rsidR="005B5431" w:rsidRPr="005B5431" w:rsidRDefault="005B5431" w:rsidP="005B5431">
      <w:pPr>
        <w:rPr>
          <w:rFonts w:cstheme="minorHAnsi"/>
        </w:rPr>
      </w:pPr>
      <w:r w:rsidRPr="005B5431">
        <w:rPr>
          <w:rFonts w:cstheme="minorHAnsi"/>
        </w:rPr>
        <w:t xml:space="preserve">Ce que le couple conteste, affirmant qu’il s’agit bel et bien d’un prêt…qui a d’ailleurs été remboursé : </w:t>
      </w:r>
    </w:p>
    <w:p w14:paraId="6326E7B2" w14:textId="537D4F35" w:rsidR="005B5431" w:rsidRPr="005B5431" w:rsidRDefault="005B5431" w:rsidP="00D54DDF">
      <w:pPr>
        <w:pStyle w:val="Paragraphedeliste"/>
        <w:numPr>
          <w:ilvl w:val="0"/>
          <w:numId w:val="22"/>
        </w:numPr>
        <w:rPr>
          <w:rFonts w:cstheme="minorHAnsi"/>
        </w:rPr>
      </w:pPr>
      <w:r w:rsidRPr="005B5431">
        <w:rPr>
          <w:rFonts w:cstheme="minorHAnsi"/>
        </w:rPr>
        <w:t>pour partie sur les fonds propres de l’épouse ;</w:t>
      </w:r>
    </w:p>
    <w:p w14:paraId="66938056" w14:textId="36FD0513" w:rsidR="005B5431" w:rsidRPr="005B5431" w:rsidRDefault="005B5431" w:rsidP="00D54DDF">
      <w:pPr>
        <w:pStyle w:val="Paragraphedeliste"/>
        <w:numPr>
          <w:ilvl w:val="0"/>
          <w:numId w:val="22"/>
        </w:numPr>
        <w:rPr>
          <w:rFonts w:cstheme="minorHAnsi"/>
        </w:rPr>
      </w:pPr>
      <w:r w:rsidRPr="005B5431">
        <w:rPr>
          <w:rFonts w:cstheme="minorHAnsi"/>
        </w:rPr>
        <w:t>et pour l’autre partie, au moyen d’une donation portant sur des biens immobiliers achetés par elle.</w:t>
      </w:r>
    </w:p>
    <w:p w14:paraId="5C4B316C" w14:textId="43AF59EE" w:rsidR="000057F1" w:rsidRPr="00451FF7" w:rsidRDefault="005B5431" w:rsidP="005B5431">
      <w:pPr>
        <w:rPr>
          <w:rFonts w:cstheme="minorHAnsi"/>
        </w:rPr>
      </w:pPr>
      <w:r w:rsidRPr="005B5431">
        <w:rPr>
          <w:rFonts w:cstheme="minorHAnsi"/>
        </w:rPr>
        <w:t>Des éléments qui suffisent à convaincre le juge qu’il s’agit bien ici d’un prêt de somme d’argent et pas d’une donation. La demande de l’administration fiscale est donc rejetée.</w:t>
      </w:r>
    </w:p>
    <w:p w14:paraId="7C0CCCC2" w14:textId="77777777" w:rsidR="000057F1" w:rsidRDefault="000057F1" w:rsidP="000057F1"/>
    <w:p w14:paraId="03FF4478" w14:textId="7724FF70" w:rsidR="00745005" w:rsidRPr="00BA1E49" w:rsidRDefault="00CA4576" w:rsidP="00745005">
      <w:pPr>
        <w:pStyle w:val="Titre3"/>
      </w:pPr>
      <w:bookmarkStart w:id="64" w:name="_Toc74651352"/>
      <w:r>
        <w:t xml:space="preserve">Déclaration des comptes </w:t>
      </w:r>
      <w:r w:rsidR="00583A86">
        <w:t xml:space="preserve">bancaires </w:t>
      </w:r>
      <w:r>
        <w:t>ouverts à l’étranger</w:t>
      </w:r>
      <w:bookmarkEnd w:id="64"/>
    </w:p>
    <w:p w14:paraId="59A6E600" w14:textId="0F46E3A6" w:rsidR="00745005" w:rsidRDefault="00745005" w:rsidP="00745005">
      <w:pPr>
        <w:rPr>
          <w:rFonts w:cstheme="minorHAnsi"/>
        </w:rPr>
      </w:pPr>
      <w:r w:rsidRPr="00E45B66">
        <w:rPr>
          <w:rFonts w:cstheme="minorHAnsi"/>
          <w:b/>
          <w:color w:val="0070C0"/>
        </w:rPr>
        <w:t>Slide</w:t>
      </w:r>
      <w:r>
        <w:rPr>
          <w:rFonts w:cstheme="minorHAnsi"/>
          <w:b/>
          <w:color w:val="0070C0"/>
        </w:rPr>
        <w:t xml:space="preserve">s </w:t>
      </w:r>
      <w:r w:rsidR="006D3AAB">
        <w:rPr>
          <w:rFonts w:cstheme="minorHAnsi"/>
          <w:b/>
          <w:color w:val="0070C0"/>
        </w:rPr>
        <w:t>76 et 77</w:t>
      </w:r>
    </w:p>
    <w:p w14:paraId="0F0E5BF3" w14:textId="01A8EBE1" w:rsidR="00745005" w:rsidRPr="00EA411E" w:rsidRDefault="00745005" w:rsidP="00745005">
      <w:pPr>
        <w:rPr>
          <w:rFonts w:cstheme="minorHAnsi"/>
        </w:rPr>
      </w:pPr>
      <w:r w:rsidRPr="00451FF7">
        <w:rPr>
          <w:rFonts w:cstheme="minorHAnsi"/>
        </w:rPr>
        <w:t>Source </w:t>
      </w:r>
      <w:r w:rsidRPr="002545F5">
        <w:rPr>
          <w:rFonts w:cstheme="minorHAnsi"/>
        </w:rPr>
        <w:t xml:space="preserve">: </w:t>
      </w:r>
      <w:r w:rsidR="00EA411E" w:rsidRPr="00EA411E">
        <w:rPr>
          <w:rFonts w:cstheme="minorHAnsi"/>
        </w:rPr>
        <w:t>Réponse ministérielle Petit du 6 avril 2021, Assemblée nationale, n°30729</w:t>
      </w:r>
    </w:p>
    <w:p w14:paraId="34EA3AD7" w14:textId="77777777" w:rsidR="00745005" w:rsidRPr="005B73D2" w:rsidRDefault="00745005" w:rsidP="00745005">
      <w:pPr>
        <w:pStyle w:val="Titre4"/>
        <w:rPr>
          <w:rStyle w:val="txt"/>
        </w:rPr>
      </w:pPr>
      <w:r w:rsidRPr="004858FF">
        <w:rPr>
          <w:rStyle w:val="txt"/>
        </w:rPr>
        <w:t>ce qu’il faut savoir…</w:t>
      </w:r>
    </w:p>
    <w:p w14:paraId="1838D61C" w14:textId="77777777" w:rsidR="00EF7AA1" w:rsidRPr="00EF7AA1" w:rsidRDefault="00EF7AA1" w:rsidP="00EF7AA1">
      <w:pPr>
        <w:rPr>
          <w:rFonts w:cstheme="minorHAnsi"/>
        </w:rPr>
      </w:pPr>
      <w:r w:rsidRPr="00EF7AA1">
        <w:rPr>
          <w:rFonts w:cstheme="minorHAnsi"/>
        </w:rPr>
        <w:t xml:space="preserve">Depuis 2019, il est obligatoire de déclarer à l’administration fiscale ses comptes bancaires, ouverts, utilisés ou clos à l'étranger, que l'on soit un particulier ou une personne morale (société, entreprise, etc.) fiscalement domicilié ou établi en France ou à Monaco. </w:t>
      </w:r>
    </w:p>
    <w:p w14:paraId="577AA5E5" w14:textId="77777777" w:rsidR="00EF7AA1" w:rsidRPr="00EF7AA1" w:rsidRDefault="00EF7AA1" w:rsidP="00EF7AA1">
      <w:pPr>
        <w:rPr>
          <w:rFonts w:cstheme="minorHAnsi"/>
        </w:rPr>
      </w:pPr>
      <w:r w:rsidRPr="00EF7AA1">
        <w:rPr>
          <w:rFonts w:cstheme="minorHAnsi"/>
        </w:rPr>
        <w:t>Cette obligation concerne non seulement les comptes tenus auprès d’établissements bancaires « physiques », mais aussi ceux tenus auprès de banques en ligne.</w:t>
      </w:r>
    </w:p>
    <w:p w14:paraId="173B2519" w14:textId="77777777" w:rsidR="00EF7AA1" w:rsidRPr="00EF7AA1" w:rsidRDefault="00EF7AA1" w:rsidP="00EF7AA1">
      <w:pPr>
        <w:rPr>
          <w:rFonts w:cstheme="minorHAnsi"/>
        </w:rPr>
      </w:pPr>
      <w:r w:rsidRPr="00EF7AA1">
        <w:rPr>
          <w:rFonts w:cstheme="minorHAnsi"/>
        </w:rPr>
        <w:t>Dans ce dernier cas, il peut arriver que les usagers ignorent que les comptes et serveurs utilisés par la banque sont situés à l’étranger.</w:t>
      </w:r>
    </w:p>
    <w:p w14:paraId="25D32EB5" w14:textId="01FE9E87" w:rsidR="008B0D27" w:rsidRPr="00DA3827" w:rsidRDefault="00EF7AA1" w:rsidP="008B0D27">
      <w:pPr>
        <w:rPr>
          <w:rFonts w:cstheme="minorHAnsi"/>
        </w:rPr>
      </w:pPr>
      <w:r w:rsidRPr="00EF7AA1">
        <w:rPr>
          <w:rFonts w:cstheme="minorHAnsi"/>
        </w:rPr>
        <w:lastRenderedPageBreak/>
        <w:t>Interrogé sur la possibilité de modifier la règlementation dans le but de décharger les particuliers de leur obligation déclarative en créant un dispositif spécifique pour les banques à distance et les services bancaires en ligne, le gouvernement répond par la négative.</w:t>
      </w:r>
    </w:p>
    <w:p w14:paraId="669C64C4" w14:textId="77777777" w:rsidR="00153193" w:rsidRDefault="00153193">
      <w:r>
        <w:br w:type="page"/>
      </w:r>
    </w:p>
    <w:p w14:paraId="18D29690" w14:textId="77777777" w:rsidR="00153193" w:rsidRDefault="00153193" w:rsidP="00695E3D">
      <w:pPr>
        <w:jc w:val="center"/>
      </w:pPr>
    </w:p>
    <w:p w14:paraId="61E6C03E" w14:textId="77777777" w:rsidR="00153193" w:rsidRPr="00B36683" w:rsidRDefault="00153193" w:rsidP="00CB57AF">
      <w:pPr>
        <w:pStyle w:val="Titre2"/>
      </w:pPr>
      <w:bookmarkStart w:id="65" w:name="_Toc74651353"/>
      <w:r>
        <w:t>Ce qu’il faut savoir en matière de gestion du patrimoine immobilier</w:t>
      </w:r>
      <w:bookmarkEnd w:id="65"/>
    </w:p>
    <w:p w14:paraId="21D4AC91" w14:textId="544123AE" w:rsidR="00390BC3" w:rsidRDefault="00390BC3" w:rsidP="00390BC3"/>
    <w:p w14:paraId="7B41B7D4" w14:textId="7B8C2A4A" w:rsidR="00347149" w:rsidRPr="00BA1E49" w:rsidRDefault="00761BC0" w:rsidP="00347149">
      <w:pPr>
        <w:pStyle w:val="Titre3"/>
      </w:pPr>
      <w:bookmarkStart w:id="66" w:name="_Toc74651354"/>
      <w:r>
        <w:t>Revenus fonciers et déduction des intérêts d’emprunt</w:t>
      </w:r>
      <w:bookmarkEnd w:id="66"/>
    </w:p>
    <w:p w14:paraId="714DAD0E" w14:textId="7B15DF75" w:rsidR="00347149" w:rsidRDefault="00347149" w:rsidP="00347149">
      <w:pPr>
        <w:rPr>
          <w:rFonts w:cstheme="minorHAnsi"/>
        </w:rPr>
      </w:pPr>
      <w:r w:rsidRPr="00E45B66">
        <w:rPr>
          <w:rFonts w:cstheme="minorHAnsi"/>
          <w:b/>
          <w:color w:val="0070C0"/>
        </w:rPr>
        <w:t>Slide</w:t>
      </w:r>
      <w:r>
        <w:rPr>
          <w:rFonts w:cstheme="minorHAnsi"/>
          <w:b/>
          <w:color w:val="0070C0"/>
        </w:rPr>
        <w:t xml:space="preserve">s </w:t>
      </w:r>
      <w:r w:rsidR="006D3AAB">
        <w:rPr>
          <w:rFonts w:cstheme="minorHAnsi"/>
          <w:b/>
          <w:color w:val="0070C0"/>
        </w:rPr>
        <w:t>78 et 79</w:t>
      </w:r>
    </w:p>
    <w:p w14:paraId="0B599CBD" w14:textId="68305CF0" w:rsidR="00347149" w:rsidRPr="00C92A26" w:rsidRDefault="00347149" w:rsidP="00347149">
      <w:pPr>
        <w:rPr>
          <w:rFonts w:cstheme="minorHAnsi"/>
        </w:rPr>
      </w:pPr>
      <w:r w:rsidRPr="00451FF7">
        <w:rPr>
          <w:rFonts w:cstheme="minorHAnsi"/>
        </w:rPr>
        <w:t>Source </w:t>
      </w:r>
      <w:r w:rsidRPr="002545F5">
        <w:rPr>
          <w:rFonts w:cstheme="minorHAnsi"/>
        </w:rPr>
        <w:t xml:space="preserve">: </w:t>
      </w:r>
      <w:r w:rsidR="00C92A26" w:rsidRPr="00C92A26">
        <w:rPr>
          <w:rFonts w:cstheme="minorHAnsi"/>
        </w:rPr>
        <w:t>Arrêt de la Cour administrative d’appel de Bordeaux du 20 mai 2020, n°18BX02120</w:t>
      </w:r>
    </w:p>
    <w:p w14:paraId="07DEBC41" w14:textId="77777777" w:rsidR="00347149" w:rsidRPr="005B73D2" w:rsidRDefault="00347149" w:rsidP="00347149">
      <w:pPr>
        <w:pStyle w:val="Titre4"/>
        <w:rPr>
          <w:rStyle w:val="txt"/>
        </w:rPr>
      </w:pPr>
      <w:r w:rsidRPr="004858FF">
        <w:rPr>
          <w:rStyle w:val="txt"/>
        </w:rPr>
        <w:t>ce qu’il faut savoir…</w:t>
      </w:r>
    </w:p>
    <w:p w14:paraId="7236738C" w14:textId="77777777" w:rsidR="007B676D" w:rsidRPr="007B676D" w:rsidRDefault="007B676D" w:rsidP="007B676D">
      <w:pPr>
        <w:rPr>
          <w:rFonts w:cstheme="minorHAnsi"/>
        </w:rPr>
      </w:pPr>
      <w:r w:rsidRPr="007B676D">
        <w:rPr>
          <w:rFonts w:cstheme="minorHAnsi"/>
        </w:rPr>
        <w:t>Un propriétaire achète un appartement, qu’il finance grâce à un emprunt bancaire, et le met en location. Pour le calcul de son revenu foncier imposable, il déduit les intérêts de cet emprunt bancaire, comme cela est permis…</w:t>
      </w:r>
    </w:p>
    <w:p w14:paraId="2DFBB70C" w14:textId="77777777" w:rsidR="007B676D" w:rsidRPr="007B676D" w:rsidRDefault="007B676D" w:rsidP="007B676D">
      <w:pPr>
        <w:rPr>
          <w:rFonts w:cstheme="minorHAnsi"/>
        </w:rPr>
      </w:pPr>
      <w:r w:rsidRPr="007B676D">
        <w:rPr>
          <w:rFonts w:cstheme="minorHAnsi"/>
        </w:rPr>
        <w:t>Une déduction pourtant refusée par l’administration fiscale qui constate qu’ici, le propriétaire ne prouve pas que l’emprunt en question a servi à acheter l’appartement placé en location : l’acte d’achat de l’appartement ne fait mention d’aucun emprunt, le tableau d’amortissement produit par le propriétaire ne précise pas l’affectation du prêt à l’achat de l’appartement et la déduction pratiquée par lui ne correspond pas au montant des intérêts mentionnés sur ce même tableau d’amortissement.</w:t>
      </w:r>
    </w:p>
    <w:p w14:paraId="2B711898" w14:textId="2CAA247F" w:rsidR="00347149" w:rsidRPr="00451FF7" w:rsidRDefault="007B676D" w:rsidP="007B676D">
      <w:pPr>
        <w:rPr>
          <w:rFonts w:cstheme="minorHAnsi"/>
        </w:rPr>
      </w:pPr>
      <w:r w:rsidRPr="007B676D">
        <w:rPr>
          <w:rFonts w:cstheme="minorHAnsi"/>
        </w:rPr>
        <w:t>Autant d’éléments qui, pour le juge, laissent supposer que cet emprunt n’a effectivement pas servi à financer l’achat de l’appartement. Le montant des intérêts correspondants n’est donc pas déductible des revenus fonciers, confirme le juge… qui valide le redressement fiscal !</w:t>
      </w:r>
    </w:p>
    <w:p w14:paraId="560FDBC7" w14:textId="77777777" w:rsidR="00347149" w:rsidRDefault="00347149" w:rsidP="00347149"/>
    <w:p w14:paraId="7F988C4F" w14:textId="355111F5" w:rsidR="00ED204B" w:rsidRPr="00BA1E49" w:rsidRDefault="00ED204B" w:rsidP="00ED204B">
      <w:pPr>
        <w:pStyle w:val="Titre3"/>
      </w:pPr>
      <w:bookmarkStart w:id="67" w:name="_Toc74651355"/>
      <w:r>
        <w:t>Dispositif Robien et perte d’emploi</w:t>
      </w:r>
      <w:bookmarkEnd w:id="67"/>
    </w:p>
    <w:p w14:paraId="632CAFE8" w14:textId="5D4B5CF7" w:rsidR="00ED204B" w:rsidRDefault="00ED204B" w:rsidP="00ED204B">
      <w:pPr>
        <w:rPr>
          <w:rFonts w:cstheme="minorHAnsi"/>
        </w:rPr>
      </w:pPr>
      <w:r w:rsidRPr="00E45B66">
        <w:rPr>
          <w:rFonts w:cstheme="minorHAnsi"/>
          <w:b/>
          <w:color w:val="0070C0"/>
        </w:rPr>
        <w:t>Slide</w:t>
      </w:r>
      <w:r>
        <w:rPr>
          <w:rFonts w:cstheme="minorHAnsi"/>
          <w:b/>
          <w:color w:val="0070C0"/>
        </w:rPr>
        <w:t xml:space="preserve">s </w:t>
      </w:r>
      <w:r w:rsidR="006D3AAB">
        <w:rPr>
          <w:rFonts w:cstheme="minorHAnsi"/>
          <w:b/>
          <w:color w:val="0070C0"/>
        </w:rPr>
        <w:t>80 et 81</w:t>
      </w:r>
    </w:p>
    <w:p w14:paraId="7CD1B920" w14:textId="480BE0DC" w:rsidR="00ED204B" w:rsidRPr="00C04C80" w:rsidRDefault="00ED204B" w:rsidP="00ED204B">
      <w:pPr>
        <w:rPr>
          <w:rFonts w:cstheme="minorHAnsi"/>
        </w:rPr>
      </w:pPr>
      <w:r w:rsidRPr="00451FF7">
        <w:rPr>
          <w:rFonts w:cstheme="minorHAnsi"/>
        </w:rPr>
        <w:t>Source </w:t>
      </w:r>
      <w:r w:rsidRPr="002545F5">
        <w:rPr>
          <w:rFonts w:cstheme="minorHAnsi"/>
        </w:rPr>
        <w:t xml:space="preserve">: </w:t>
      </w:r>
      <w:r w:rsidR="00C04C80" w:rsidRPr="00C04C80">
        <w:rPr>
          <w:rFonts w:cstheme="minorHAnsi"/>
        </w:rPr>
        <w:t>Arrêt de la Cour administrative d’appel de Versailles du 15 avril 2021, n°19VE02526</w:t>
      </w:r>
    </w:p>
    <w:p w14:paraId="14B7EB07" w14:textId="77777777" w:rsidR="00ED204B" w:rsidRPr="005B73D2" w:rsidRDefault="00ED204B" w:rsidP="00ED204B">
      <w:pPr>
        <w:pStyle w:val="Titre4"/>
        <w:rPr>
          <w:rStyle w:val="txt"/>
        </w:rPr>
      </w:pPr>
      <w:r w:rsidRPr="004858FF">
        <w:rPr>
          <w:rStyle w:val="txt"/>
        </w:rPr>
        <w:t>ce qu’il faut savoir…</w:t>
      </w:r>
    </w:p>
    <w:p w14:paraId="700EDC54" w14:textId="77777777" w:rsidR="00460BD7" w:rsidRPr="00460BD7" w:rsidRDefault="00460BD7" w:rsidP="00460BD7">
      <w:pPr>
        <w:rPr>
          <w:rFonts w:cstheme="minorHAnsi"/>
        </w:rPr>
      </w:pPr>
      <w:r w:rsidRPr="00460BD7">
        <w:rPr>
          <w:rFonts w:cstheme="minorHAnsi"/>
        </w:rPr>
        <w:t xml:space="preserve">Un couple achète un logement, qu’il place immédiatement en location, et bénéficie d’un avantage fiscal qui l’oblige à le louer pendant au moins 9 ans. Mais moins de 9 ans plus tard, parce que l’épouse a perdu son emploi, le couple décide finalement de vendre ce bien. </w:t>
      </w:r>
    </w:p>
    <w:p w14:paraId="05276979" w14:textId="77777777" w:rsidR="00460BD7" w:rsidRPr="00460BD7" w:rsidRDefault="00460BD7" w:rsidP="00460BD7">
      <w:pPr>
        <w:rPr>
          <w:rFonts w:cstheme="minorHAnsi"/>
        </w:rPr>
      </w:pPr>
      <w:r w:rsidRPr="00460BD7">
        <w:rPr>
          <w:rFonts w:cstheme="minorHAnsi"/>
        </w:rPr>
        <w:t>Une vente qui n’échappe pas à l’administration qui remet en cause l’avantage fiscal obtenu. « Pourquoi ? », conteste le couple pour qui aucune remise en cause n’est possible en cas de perte d’emploi. « C’est justement là le problème », constate l’administration : l’épouse n’a pas perdu « involontairement » son emploi, mais elle l’a quitté en concluant une rupture conventionnelle…</w:t>
      </w:r>
    </w:p>
    <w:p w14:paraId="2E9D907C" w14:textId="28B312A4" w:rsidR="00ED204B" w:rsidRPr="00460BD7" w:rsidRDefault="00460BD7" w:rsidP="00ED204B">
      <w:pPr>
        <w:rPr>
          <w:rFonts w:cstheme="minorHAnsi"/>
        </w:rPr>
      </w:pPr>
      <w:r w:rsidRPr="00460BD7">
        <w:rPr>
          <w:rFonts w:cstheme="minorHAnsi"/>
        </w:rPr>
        <w:lastRenderedPageBreak/>
        <w:t>… assimilable à un licenciement, insiste le couple : elle a quitté son poste après une restructuration qui l’a privée non seulement de son bureau, mais aussi de ses responsabilités. Sauf qu’une rupture conventionnelle n’est pas assimilable à un licenciement, confirme le juge pour qui la remise en cause de l’avantage fiscal est donc bien valable…</w:t>
      </w:r>
    </w:p>
    <w:p w14:paraId="6DBCA8C8" w14:textId="77777777" w:rsidR="00ED204B" w:rsidRDefault="00ED204B" w:rsidP="00ED204B"/>
    <w:p w14:paraId="32B53F51" w14:textId="1A70ACBA" w:rsidR="00761BC0" w:rsidRPr="00BA1E49" w:rsidRDefault="00815CE2" w:rsidP="00761BC0">
      <w:pPr>
        <w:pStyle w:val="Titre3"/>
      </w:pPr>
      <w:bookmarkStart w:id="68" w:name="_Toc74651356"/>
      <w:r>
        <w:t>Vente de bien immobilier et exonération fiscale</w:t>
      </w:r>
      <w:bookmarkEnd w:id="68"/>
    </w:p>
    <w:p w14:paraId="491A476B" w14:textId="324F2F18" w:rsidR="00761BC0" w:rsidRDefault="00761BC0" w:rsidP="00761BC0">
      <w:pPr>
        <w:rPr>
          <w:rFonts w:cstheme="minorHAnsi"/>
        </w:rPr>
      </w:pPr>
      <w:r w:rsidRPr="00E45B66">
        <w:rPr>
          <w:rFonts w:cstheme="minorHAnsi"/>
          <w:b/>
          <w:color w:val="0070C0"/>
        </w:rPr>
        <w:t>Slide</w:t>
      </w:r>
      <w:r>
        <w:rPr>
          <w:rFonts w:cstheme="minorHAnsi"/>
          <w:b/>
          <w:color w:val="0070C0"/>
        </w:rPr>
        <w:t xml:space="preserve">s </w:t>
      </w:r>
      <w:r w:rsidR="006D3AAB">
        <w:rPr>
          <w:rFonts w:cstheme="minorHAnsi"/>
          <w:b/>
          <w:color w:val="0070C0"/>
        </w:rPr>
        <w:t>82 et 83</w:t>
      </w:r>
    </w:p>
    <w:p w14:paraId="044764E5" w14:textId="0FA2A13D" w:rsidR="00761BC0" w:rsidRPr="00391B20" w:rsidRDefault="00761BC0" w:rsidP="00761BC0">
      <w:pPr>
        <w:rPr>
          <w:rFonts w:cstheme="minorHAnsi"/>
        </w:rPr>
      </w:pPr>
      <w:r w:rsidRPr="00451FF7">
        <w:rPr>
          <w:rFonts w:cstheme="minorHAnsi"/>
        </w:rPr>
        <w:t>Source </w:t>
      </w:r>
      <w:r w:rsidRPr="002545F5">
        <w:rPr>
          <w:rFonts w:cstheme="minorHAnsi"/>
        </w:rPr>
        <w:t xml:space="preserve">: </w:t>
      </w:r>
      <w:r w:rsidR="00391B20" w:rsidRPr="00391B20">
        <w:rPr>
          <w:rFonts w:cstheme="minorHAnsi"/>
        </w:rPr>
        <w:t>Arrêt de la Cour administrative d’appel de Marseille du 22 avril 2021, n°19MA00832</w:t>
      </w:r>
    </w:p>
    <w:p w14:paraId="41F65CB7" w14:textId="77777777" w:rsidR="00761BC0" w:rsidRPr="005B73D2" w:rsidRDefault="00761BC0" w:rsidP="00761BC0">
      <w:pPr>
        <w:pStyle w:val="Titre4"/>
        <w:rPr>
          <w:rStyle w:val="txt"/>
        </w:rPr>
      </w:pPr>
      <w:r w:rsidRPr="004858FF">
        <w:rPr>
          <w:rStyle w:val="txt"/>
        </w:rPr>
        <w:t>ce qu’il faut savoir…</w:t>
      </w:r>
    </w:p>
    <w:p w14:paraId="4E4B027C" w14:textId="77777777" w:rsidR="00814C74" w:rsidRPr="00814C74" w:rsidRDefault="00814C74" w:rsidP="00814C74">
      <w:pPr>
        <w:rPr>
          <w:rFonts w:cstheme="minorHAnsi"/>
        </w:rPr>
      </w:pPr>
      <w:r w:rsidRPr="00814C74">
        <w:rPr>
          <w:rFonts w:cstheme="minorHAnsi"/>
        </w:rPr>
        <w:t>Un propriétaire vend sa maison et, parce qu’il pense respecter toutes les conditions, demande à bénéficier de l’exonération fiscale du gain réalisé à cette occasion. L’administration accepte… mais pas pour la totalité du prix de vente…</w:t>
      </w:r>
    </w:p>
    <w:p w14:paraId="2EAB2451" w14:textId="77777777" w:rsidR="00814C74" w:rsidRPr="00814C74" w:rsidRDefault="00814C74" w:rsidP="00814C74">
      <w:pPr>
        <w:rPr>
          <w:rFonts w:cstheme="minorHAnsi"/>
        </w:rPr>
      </w:pPr>
      <w:r w:rsidRPr="00814C74">
        <w:rPr>
          <w:rFonts w:cstheme="minorHAnsi"/>
        </w:rPr>
        <w:t>« Pourquoi ? », s’étonne (et conteste) le propriétaire. Parce qu’après examen plus attentif, il vend une maison… et des terrains à bâtir, constate l’administration, qui ne sont pas tous exonérés : si la maison et les terrains attenants peuvent bénéficier de l’exonération, les autres terrains à bâtir, plus éloignés de la maison, sont imposables. Ce que conteste le propriétaire qui refuse de faire une différence (fiscale) entre ces terrains…</w:t>
      </w:r>
    </w:p>
    <w:p w14:paraId="4125C03B" w14:textId="769D0606" w:rsidR="00761BC0" w:rsidRPr="00451FF7" w:rsidRDefault="00814C74" w:rsidP="00814C74">
      <w:pPr>
        <w:rPr>
          <w:rFonts w:cstheme="minorHAnsi"/>
        </w:rPr>
      </w:pPr>
      <w:r w:rsidRPr="00814C74">
        <w:rPr>
          <w:rFonts w:cstheme="minorHAnsi"/>
        </w:rPr>
        <w:t>« A tort », pour le juge qui constate, dans l’acte de vente, que les terrains éloignés sont destinés à la construction d’un futur lotissement disposant d’un accès distinct et indépendant de la maison d’habitation. Ils ne constituent donc pas des dépendances immédiates et nécessaires de l’habitation, exonérées d’impôt…</w:t>
      </w:r>
    </w:p>
    <w:p w14:paraId="604C79E3" w14:textId="77777777" w:rsidR="00761BC0" w:rsidRPr="005B73D2" w:rsidRDefault="00761BC0" w:rsidP="00761BC0">
      <w:pPr>
        <w:pStyle w:val="Titre4"/>
        <w:rPr>
          <w:rStyle w:val="txt"/>
        </w:rPr>
      </w:pPr>
      <w:r w:rsidRPr="004858FF">
        <w:rPr>
          <w:rStyle w:val="txt"/>
        </w:rPr>
        <w:t>POUR ALLER PLUS LOIN</w:t>
      </w:r>
    </w:p>
    <w:p w14:paraId="18D3703E" w14:textId="4B21D6D6" w:rsidR="006F6D90" w:rsidRDefault="008C4BF1" w:rsidP="006F6D90">
      <w:r>
        <w:t>Concernant les ventes de</w:t>
      </w:r>
      <w:r w:rsidR="006F6D90">
        <w:t xml:space="preserve"> résidence secondaire ou </w:t>
      </w:r>
      <w:r>
        <w:t>de</w:t>
      </w:r>
      <w:r w:rsidR="006F6D90">
        <w:t xml:space="preserve"> bien que vous mettez en location</w:t>
      </w:r>
      <w:r w:rsidR="00146486">
        <w:t> : p</w:t>
      </w:r>
      <w:r w:rsidR="006F6D90">
        <w:t xml:space="preserve">arce que ce type de bien immobilier ne répond pas à la définition fiscale de la résidence principale, le gain réalisé à l’occasion de la vente sera normalement imposé. Sauf dans une hypothèse précise… </w:t>
      </w:r>
    </w:p>
    <w:p w14:paraId="0285BF3D" w14:textId="6D854775" w:rsidR="006F6D90" w:rsidRDefault="006F6D90" w:rsidP="006F6D90">
      <w:r>
        <w:t>Il existe un cas d’exonération à connaître, qui concerne celles et ceux qui ne sont pas propriétaires de leur résidence principale. La 1</w:t>
      </w:r>
      <w:r w:rsidRPr="00620D57">
        <w:rPr>
          <w:vertAlign w:val="superscript"/>
        </w:rPr>
        <w:t>ère</w:t>
      </w:r>
      <w:r>
        <w:t xml:space="preserve"> vente d’un logement autre que la résidence principale sera exonérée d’impôt sous réserve que :</w:t>
      </w:r>
    </w:p>
    <w:p w14:paraId="600629ED" w14:textId="42B7AE16" w:rsidR="006F6D90" w:rsidRDefault="006F6D90" w:rsidP="00620D57">
      <w:pPr>
        <w:pStyle w:val="Paragraphedeliste"/>
        <w:numPr>
          <w:ilvl w:val="0"/>
          <w:numId w:val="101"/>
        </w:numPr>
      </w:pPr>
      <w:r>
        <w:t>vous n’ayez pas été propriétaire de votre résidence principale au cours des 4 années précédant cette vente, directement ou par l’intermédiaire d’une société (pour apprécier cette condition, il faut se placer au jour de la vente de la résidence secondaire ou du bien loué) ;</w:t>
      </w:r>
    </w:p>
    <w:p w14:paraId="67834DBA" w14:textId="0F1442CA" w:rsidR="006F6D90" w:rsidRDefault="006F6D90" w:rsidP="00620D57">
      <w:pPr>
        <w:pStyle w:val="Paragraphedeliste"/>
        <w:numPr>
          <w:ilvl w:val="0"/>
          <w:numId w:val="101"/>
        </w:numPr>
      </w:pPr>
      <w:r>
        <w:t>vous vous serviez des fonds reçus grâce à cette vente pour acheter ou construire votre résidence principale, ce remploi devant être effectif dans les 24 mois de la vente.</w:t>
      </w:r>
    </w:p>
    <w:p w14:paraId="3349C73E" w14:textId="56EB0E6C" w:rsidR="006F6D90" w:rsidRDefault="006F6D90" w:rsidP="006F6D90">
      <w:r>
        <w:t xml:space="preserve">Cette exonération est applicable, même si vous avez déjà vendu un ou plusieurs logements qui, faute de remplir les conditions d’application de l’exonération ou d’en avoir demandé le bénéfice, n’ont pas ouvert droit à l’exonération. </w:t>
      </w:r>
    </w:p>
    <w:p w14:paraId="306D53DD" w14:textId="1295345B" w:rsidR="006F6D90" w:rsidRDefault="006F6D90" w:rsidP="006F6D90">
      <w:r>
        <w:t xml:space="preserve">Un couple est propriétaire de deux appartements et réside dans l’un d’entre eux à titre de résidence principale. Il décide de vendre le second appartement et s’acquitte de l’impôt dû sur le gain réalisé. Deux ans plus tard, à l’issue d’une procédure, l’achat de l’appartement constituant leur résidence principale est annulé par le juge. Le couple se rapproche alors de l’administration fiscale pour demander à bénéficier, rétroactivement de </w:t>
      </w:r>
      <w:r>
        <w:lastRenderedPageBreak/>
        <w:t xml:space="preserve">l’exonération d’impôt sur le gain réalisé lors de la vente du second appartement : l’annulation de l’achat de leur résidence principale permet de considérer qu’au moment de la vente de sa résidence secondaire, il n’était pas propriétaire de sa résidence principale. </w:t>
      </w:r>
    </w:p>
    <w:p w14:paraId="6D3723EB" w14:textId="010648DA" w:rsidR="006F6D90" w:rsidRDefault="006F6D90" w:rsidP="006F6D90">
      <w:r>
        <w:t>L’administration considère que pour déterminer s’il est possible de bénéficier d’une exonération d’impôt, il faut se placer au jour de la vente. Or, au jour de la vente de la résidence secondaire, l’achat de la résidence principale n’avait pas encore été annulé : le couple en était toujours propriétaire. L’administration a donc maintenu son refus, ce que le juge a confirmé.</w:t>
      </w:r>
    </w:p>
    <w:p w14:paraId="7769D804" w14:textId="692572BD" w:rsidR="006F6D90" w:rsidRDefault="006F6D90" w:rsidP="006F6D90">
      <w:r>
        <w:t>Un propriétaire vend sa résidence secondaire et demande à bénéficier de l’exonération d’impôt. Refus de l’administration qui lui rappelle que pour bénéficier de cette exonération, 2 conditions sont nécessaires : il ne faut pas avoir été propriétaire de sa résidence principale dans les 4 ans précédant la vente, et il faut réinvestir le gain réalisé dans l’achat de cette résidence. « C’est bien le cas » répond le propriétaire, qui ne voit pas où est le problème : le projet de vente de sa résidence secondaire a tout de même débuté 18 mois avant l’achat de sa résidence principale. Sauf qu’un « projet de vente » n’est pas une vente, répond à son tour l’administration.</w:t>
      </w:r>
    </w:p>
    <w:p w14:paraId="32911627" w14:textId="77777777" w:rsidR="006F6D90" w:rsidRDefault="006F6D90" w:rsidP="006F6D90">
      <w:r>
        <w:t>Ici, le propriétaire a donné mandat à 2 agences immobilières concernant la vente de la résidence secondaire un an après l’achat de sa résidence principale… une vente qui n’est d’ailleurs effectivement intervenue que 2 ans après cet achat, ce qui justifie, selon le juge, le maintien du redressement fiscal.</w:t>
      </w:r>
    </w:p>
    <w:p w14:paraId="030BA406" w14:textId="5CAFA88E" w:rsidR="006F6D90" w:rsidRDefault="006F6D90" w:rsidP="006F6D90">
      <w:r>
        <w:t>Pour tenir compte de certaines situations particulières, par exemple lorsqu’un propriétaire achète sa résidence principale, notamment au moyen d’un prêt relais, avant même d’avoir vendu sa résidence secondaire (ou une résidence qu’il place en location), l’administration fiscale accorde, par mesure de tolérance et toutes conditions par ailleurs remplies, le bénéfice de cette exonération d’impôt dès lors que :</w:t>
      </w:r>
    </w:p>
    <w:p w14:paraId="70A02317" w14:textId="40D2C04F" w:rsidR="006F6D90" w:rsidRDefault="006F6D90" w:rsidP="00620D57">
      <w:pPr>
        <w:pStyle w:val="Paragraphedeliste"/>
        <w:numPr>
          <w:ilvl w:val="0"/>
          <w:numId w:val="102"/>
        </w:numPr>
      </w:pPr>
      <w:r>
        <w:t>la mise en vente de la résidence secondaire est antérieure à l’achat de la résidence principale ;</w:t>
      </w:r>
    </w:p>
    <w:p w14:paraId="4A6F09F1" w14:textId="72CD6000" w:rsidR="006F6D90" w:rsidRDefault="006F6D90" w:rsidP="00620D57">
      <w:pPr>
        <w:pStyle w:val="Paragraphedeliste"/>
        <w:numPr>
          <w:ilvl w:val="0"/>
          <w:numId w:val="102"/>
        </w:numPr>
      </w:pPr>
      <w:r>
        <w:t>la vente intervient dans un délai normal après l’achat de la résidence principale, la « normalité du délai » étant appréciée par l’administration au cas par cas ;</w:t>
      </w:r>
    </w:p>
    <w:p w14:paraId="20DD3234" w14:textId="1CFB0453" w:rsidR="006F6D90" w:rsidRDefault="006F6D90" w:rsidP="00620D57">
      <w:pPr>
        <w:pStyle w:val="Paragraphedeliste"/>
        <w:numPr>
          <w:ilvl w:val="0"/>
          <w:numId w:val="102"/>
        </w:numPr>
      </w:pPr>
      <w:r>
        <w:t>le prix de vente est effectivement utilisé pour financer l’achat ou la construction de la résidence principale (on parle ici de « remploi ») : dans l’hypothèse d’un achat de la résidence principale au moyen d’un prêt-relais par exemple, le prix de vente devra être affecté au remboursement de cet emprunt.</w:t>
      </w:r>
    </w:p>
    <w:p w14:paraId="60DBAB96" w14:textId="44EFFCFE" w:rsidR="006F6D90" w:rsidRDefault="006F6D90" w:rsidP="006F6D90">
      <w:r>
        <w:t>Cette tolérance administrative ne concerne que les ventes de résidences secondaires intervenues depuis le 1</w:t>
      </w:r>
      <w:r w:rsidRPr="00620D57">
        <w:rPr>
          <w:vertAlign w:val="superscript"/>
        </w:rPr>
        <w:t xml:space="preserve">er </w:t>
      </w:r>
      <w:r>
        <w:t>février 2012.</w:t>
      </w:r>
    </w:p>
    <w:p w14:paraId="4C55BC43" w14:textId="2E87B604" w:rsidR="00761BC0" w:rsidRDefault="006F6D90" w:rsidP="006F6D90">
      <w:r>
        <w:t xml:space="preserve">Une vente portant sur un bien qui ne constitue pas un logement ne peut pas bénéficier de l’exonération, </w:t>
      </w:r>
      <w:r w:rsidR="00F34C34">
        <w:t>comme</w:t>
      </w:r>
      <w:r>
        <w:t xml:space="preserve"> un terrain à bâtir, un local à usage professionnel, industriel ou commercial, des parts de sociétés immobilières, etc.</w:t>
      </w:r>
    </w:p>
    <w:p w14:paraId="1BCEC3AE" w14:textId="77777777" w:rsidR="001E79E2" w:rsidRPr="00B36683" w:rsidRDefault="00183DA0" w:rsidP="00DA3827">
      <w:pPr>
        <w:pStyle w:val="Titre2"/>
        <w:jc w:val="left"/>
      </w:pPr>
      <w:r>
        <w:br w:type="page"/>
      </w:r>
      <w:bookmarkStart w:id="69" w:name="_Toc58928998"/>
      <w:bookmarkStart w:id="70" w:name="_Toc74651357"/>
      <w:r w:rsidR="001E79E2">
        <w:lastRenderedPageBreak/>
        <w:t>Ce qu’il faut savoir en matière de gestion du patrimoine privé</w:t>
      </w:r>
      <w:bookmarkEnd w:id="69"/>
      <w:bookmarkEnd w:id="70"/>
    </w:p>
    <w:p w14:paraId="6635A913" w14:textId="61CFC280" w:rsidR="001E79E2" w:rsidRPr="00BA1E49" w:rsidRDefault="00AE4745" w:rsidP="001E79E2">
      <w:pPr>
        <w:pStyle w:val="Titre3"/>
      </w:pPr>
      <w:bookmarkStart w:id="71" w:name="_Toc74651358"/>
      <w:r>
        <w:t>Dons familiaux de sommes d’argent et droits d’enregistrement</w:t>
      </w:r>
      <w:bookmarkEnd w:id="71"/>
    </w:p>
    <w:p w14:paraId="3B772B71" w14:textId="2A977B5C" w:rsidR="001E79E2" w:rsidRDefault="001E79E2" w:rsidP="001E79E2">
      <w:pPr>
        <w:rPr>
          <w:rFonts w:cstheme="minorHAnsi"/>
        </w:rPr>
      </w:pPr>
      <w:r w:rsidRPr="00E45B66">
        <w:rPr>
          <w:rFonts w:cstheme="minorHAnsi"/>
          <w:b/>
          <w:color w:val="0070C0"/>
        </w:rPr>
        <w:t>Slide</w:t>
      </w:r>
      <w:r>
        <w:rPr>
          <w:rFonts w:cstheme="minorHAnsi"/>
          <w:b/>
          <w:color w:val="0070C0"/>
        </w:rPr>
        <w:t xml:space="preserve">s </w:t>
      </w:r>
      <w:r w:rsidR="006D3AAB">
        <w:rPr>
          <w:rFonts w:cstheme="minorHAnsi"/>
          <w:b/>
          <w:color w:val="0070C0"/>
        </w:rPr>
        <w:t>84 et 85</w:t>
      </w:r>
    </w:p>
    <w:p w14:paraId="220BBB7A" w14:textId="0EA1AFD2" w:rsidR="001E79E2" w:rsidRPr="00AE214D" w:rsidRDefault="001E79E2" w:rsidP="001E79E2">
      <w:pPr>
        <w:rPr>
          <w:rFonts w:cstheme="minorHAnsi"/>
        </w:rPr>
      </w:pPr>
      <w:r w:rsidRPr="00451FF7">
        <w:rPr>
          <w:rFonts w:cstheme="minorHAnsi"/>
        </w:rPr>
        <w:t>Source </w:t>
      </w:r>
      <w:r w:rsidRPr="002545F5">
        <w:rPr>
          <w:rFonts w:cstheme="minorHAnsi"/>
        </w:rPr>
        <w:t xml:space="preserve">: </w:t>
      </w:r>
      <w:r w:rsidR="00AE214D" w:rsidRPr="00AE214D">
        <w:rPr>
          <w:rFonts w:cstheme="minorHAnsi"/>
        </w:rPr>
        <w:t>Réponse ministérielle Louwagie du 27 avril 2021, Assemblée nationale, n°35345</w:t>
      </w:r>
    </w:p>
    <w:p w14:paraId="3723EAB9" w14:textId="77777777" w:rsidR="001E79E2" w:rsidRPr="005B73D2" w:rsidRDefault="001E79E2" w:rsidP="001E79E2">
      <w:pPr>
        <w:pStyle w:val="Titre4"/>
        <w:rPr>
          <w:rStyle w:val="txt"/>
        </w:rPr>
      </w:pPr>
      <w:r w:rsidRPr="004858FF">
        <w:rPr>
          <w:rStyle w:val="txt"/>
        </w:rPr>
        <w:t>ce qu’il faut savoir…</w:t>
      </w:r>
    </w:p>
    <w:p w14:paraId="1066FD41" w14:textId="77777777" w:rsidR="00A6388B" w:rsidRPr="00A6388B" w:rsidRDefault="00A6388B" w:rsidP="00A6388B">
      <w:pPr>
        <w:rPr>
          <w:rFonts w:cstheme="minorHAnsi"/>
        </w:rPr>
      </w:pPr>
      <w:r w:rsidRPr="00A6388B">
        <w:rPr>
          <w:rFonts w:cstheme="minorHAnsi"/>
        </w:rPr>
        <w:t>Par principe, les donations sont soumises à l’impôt (ce que l’on appelle les droits de mutation ou droits de donation) lorsque :</w:t>
      </w:r>
    </w:p>
    <w:p w14:paraId="5A0E6913" w14:textId="115B7C6E" w:rsidR="00A6388B" w:rsidRPr="00A6388B" w:rsidRDefault="00A6388B" w:rsidP="00A6388B">
      <w:pPr>
        <w:pStyle w:val="Paragraphedeliste"/>
        <w:numPr>
          <w:ilvl w:val="0"/>
          <w:numId w:val="76"/>
        </w:numPr>
        <w:rPr>
          <w:rFonts w:cstheme="minorHAnsi"/>
        </w:rPr>
      </w:pPr>
      <w:r w:rsidRPr="00A6388B">
        <w:rPr>
          <w:rFonts w:cstheme="minorHAnsi"/>
        </w:rPr>
        <w:t>la donation est réalisée à titre gratuit : elle doit témoigner d’une réelle intention libérale ;</w:t>
      </w:r>
    </w:p>
    <w:p w14:paraId="75E1DC29" w14:textId="7D76CE09" w:rsidR="00A6388B" w:rsidRPr="00A6388B" w:rsidRDefault="00A6388B" w:rsidP="00A6388B">
      <w:pPr>
        <w:pStyle w:val="Paragraphedeliste"/>
        <w:numPr>
          <w:ilvl w:val="0"/>
          <w:numId w:val="76"/>
        </w:numPr>
        <w:rPr>
          <w:rFonts w:cstheme="minorHAnsi"/>
        </w:rPr>
      </w:pPr>
      <w:r w:rsidRPr="00A6388B">
        <w:rPr>
          <w:rFonts w:cstheme="minorHAnsi"/>
        </w:rPr>
        <w:t>la personne qui donne (le « donateur ») se départit immédiatement du bien donné ;</w:t>
      </w:r>
    </w:p>
    <w:p w14:paraId="74C7FE10" w14:textId="48E932D7" w:rsidR="00A6388B" w:rsidRPr="00A6388B" w:rsidRDefault="00A6388B" w:rsidP="00A6388B">
      <w:pPr>
        <w:pStyle w:val="Paragraphedeliste"/>
        <w:numPr>
          <w:ilvl w:val="0"/>
          <w:numId w:val="76"/>
        </w:numPr>
        <w:rPr>
          <w:rFonts w:cstheme="minorHAnsi"/>
        </w:rPr>
      </w:pPr>
      <w:r w:rsidRPr="00A6388B">
        <w:rPr>
          <w:rFonts w:cstheme="minorHAnsi"/>
        </w:rPr>
        <w:t>la donation est acceptée par la personne qui la reçoit (le « donataire »).</w:t>
      </w:r>
    </w:p>
    <w:p w14:paraId="376A9EAE" w14:textId="77777777" w:rsidR="00A6388B" w:rsidRPr="00A6388B" w:rsidRDefault="00A6388B" w:rsidP="00A6388B">
      <w:pPr>
        <w:rPr>
          <w:rFonts w:cstheme="minorHAnsi"/>
        </w:rPr>
      </w:pPr>
      <w:r w:rsidRPr="00A6388B">
        <w:rPr>
          <w:rFonts w:cstheme="minorHAnsi"/>
        </w:rPr>
        <w:t>Comme souvent en matière fiscale, ce principe comporte de nombreuses exceptions, parmi lesquelles les dons familiaux de sommes d’argent.</w:t>
      </w:r>
    </w:p>
    <w:p w14:paraId="10563E39" w14:textId="56EDC1BA" w:rsidR="00A6388B" w:rsidRPr="00A6388B" w:rsidRDefault="00A6388B" w:rsidP="00A6388B">
      <w:pPr>
        <w:rPr>
          <w:rFonts w:cstheme="minorHAnsi"/>
        </w:rPr>
      </w:pPr>
      <w:r w:rsidRPr="00A6388B">
        <w:rPr>
          <w:rFonts w:cstheme="minorHAnsi"/>
        </w:rPr>
        <w:t>Jusqu’à présent, les dons familiaux de sommes d’argent, consentis en pleine propriété, à un enfant, un petit-enfant, un arrière petit-enfant, ou à défaut de descendance directe, à un neveu ou à une nièce, pouvaient, toutes conditions par ailleurs remplies, bénéficier d’une exonération de droits de donation dans la limite de 30</w:t>
      </w:r>
      <w:r>
        <w:rPr>
          <w:rFonts w:cstheme="minorHAnsi"/>
        </w:rPr>
        <w:t> </w:t>
      </w:r>
      <w:r w:rsidRPr="00A6388B">
        <w:rPr>
          <w:rFonts w:cstheme="minorHAnsi"/>
        </w:rPr>
        <w:t>000 €.</w:t>
      </w:r>
    </w:p>
    <w:p w14:paraId="579DCF59" w14:textId="20144828" w:rsidR="00A6388B" w:rsidRPr="00A6388B" w:rsidRDefault="00A6388B" w:rsidP="00A6388B">
      <w:pPr>
        <w:rPr>
          <w:rFonts w:cstheme="minorHAnsi"/>
        </w:rPr>
      </w:pPr>
      <w:r w:rsidRPr="00A6388B">
        <w:rPr>
          <w:rFonts w:cstheme="minorHAnsi"/>
        </w:rPr>
        <w:t>Exceptionnellement, pour les dons consentis entre le 15 juillet 2020 et le 30 juin 2021, le plafond de l’exonération est porté à 100 000 € (au lieu de 30 000 €), si les sommes d’argent sont notamment affectées par le donataire, au plus tard le de</w:t>
      </w:r>
      <w:r w:rsidR="005100D1">
        <w:rPr>
          <w:rFonts w:cstheme="minorHAnsi"/>
        </w:rPr>
        <w:t>r</w:t>
      </w:r>
      <w:r w:rsidRPr="00A6388B">
        <w:rPr>
          <w:rFonts w:cstheme="minorHAnsi"/>
        </w:rPr>
        <w:t>nier jour du 3</w:t>
      </w:r>
      <w:r w:rsidR="005100D1">
        <w:rPr>
          <w:rFonts w:cstheme="minorHAnsi"/>
          <w:vertAlign w:val="superscript"/>
        </w:rPr>
        <w:t>ème</w:t>
      </w:r>
      <w:r w:rsidRPr="00A6388B">
        <w:rPr>
          <w:rFonts w:cstheme="minorHAnsi"/>
          <w:vertAlign w:val="superscript"/>
        </w:rPr>
        <w:t xml:space="preserve"> </w:t>
      </w:r>
      <w:r w:rsidRPr="00A6388B">
        <w:rPr>
          <w:rFonts w:cstheme="minorHAnsi"/>
        </w:rPr>
        <w:t>mois suivant la remise des fonds, à la construction de sa résidence principale.</w:t>
      </w:r>
    </w:p>
    <w:p w14:paraId="5C285D7A" w14:textId="77777777" w:rsidR="00A6388B" w:rsidRPr="00A6388B" w:rsidRDefault="00A6388B" w:rsidP="00A6388B">
      <w:pPr>
        <w:rPr>
          <w:rFonts w:cstheme="minorHAnsi"/>
        </w:rPr>
      </w:pPr>
      <w:r w:rsidRPr="00A6388B">
        <w:rPr>
          <w:rFonts w:cstheme="minorHAnsi"/>
        </w:rPr>
        <w:t xml:space="preserve">Dans ce contexte, la question s’est posée de savoir si l’achat d’un bien immobilier dans le cadre d’une vente en l’état futur d’achèvement (VEFA) était assimilable à la construction d’une résidence principale. </w:t>
      </w:r>
    </w:p>
    <w:p w14:paraId="1396EA7D" w14:textId="77777777" w:rsidR="00A6388B" w:rsidRPr="00A6388B" w:rsidRDefault="00A6388B" w:rsidP="00A6388B">
      <w:pPr>
        <w:rPr>
          <w:rFonts w:cstheme="minorHAnsi"/>
        </w:rPr>
      </w:pPr>
      <w:r w:rsidRPr="00A6388B">
        <w:rPr>
          <w:rFonts w:cstheme="minorHAnsi"/>
        </w:rPr>
        <w:t xml:space="preserve">Le gouvernement vient de répondre par la négative et ce, pour deux raisons : </w:t>
      </w:r>
    </w:p>
    <w:p w14:paraId="1FAE76BC" w14:textId="24F88A45" w:rsidR="00A6388B" w:rsidRPr="00A6388B" w:rsidRDefault="00A6388B" w:rsidP="00A6388B">
      <w:pPr>
        <w:pStyle w:val="Paragraphedeliste"/>
        <w:numPr>
          <w:ilvl w:val="0"/>
          <w:numId w:val="77"/>
        </w:numPr>
        <w:rPr>
          <w:rFonts w:cstheme="minorHAnsi"/>
        </w:rPr>
      </w:pPr>
      <w:r w:rsidRPr="00A6388B">
        <w:rPr>
          <w:rFonts w:cstheme="minorHAnsi"/>
        </w:rPr>
        <w:t>à la différence d’un contrat de construction de maison individuelle (CCMI), dans le cadre d’un contrat de VEFA, l’acquéreur n’est à aucun moment responsable de la construction, la fonction de maître d’ouvrage revenant au promoteur-constructeur qui est également titulaire du permis de construire ;</w:t>
      </w:r>
    </w:p>
    <w:p w14:paraId="614E1927" w14:textId="420FB404" w:rsidR="001E79E2" w:rsidRPr="00A6388B" w:rsidRDefault="00A6388B" w:rsidP="00A6388B">
      <w:pPr>
        <w:pStyle w:val="Paragraphedeliste"/>
        <w:numPr>
          <w:ilvl w:val="0"/>
          <w:numId w:val="77"/>
        </w:numPr>
        <w:rPr>
          <w:rFonts w:cstheme="minorHAnsi"/>
        </w:rPr>
      </w:pPr>
      <w:r w:rsidRPr="00A6388B">
        <w:rPr>
          <w:rFonts w:cstheme="minorHAnsi"/>
        </w:rPr>
        <w:t>fiscalement, la VEFA est généralement assimilée à l’achat d’un bien immobilier et non à sa construction.</w:t>
      </w:r>
    </w:p>
    <w:p w14:paraId="585442AC" w14:textId="77777777" w:rsidR="001E79E2" w:rsidRDefault="001E79E2" w:rsidP="001E79E2">
      <w:r>
        <w:br w:type="page"/>
      </w:r>
    </w:p>
    <w:p w14:paraId="338EAD48" w14:textId="77777777" w:rsidR="001E79E2" w:rsidRPr="00B36683" w:rsidRDefault="001E79E2" w:rsidP="001E79E2">
      <w:pPr>
        <w:pStyle w:val="Titre2"/>
      </w:pPr>
      <w:bookmarkStart w:id="72" w:name="_Toc58929001"/>
      <w:bookmarkStart w:id="73" w:name="_Toc74651359"/>
      <w:r>
        <w:lastRenderedPageBreak/>
        <w:t>Les informations diverses à connaître</w:t>
      </w:r>
      <w:bookmarkEnd w:id="72"/>
      <w:bookmarkEnd w:id="73"/>
    </w:p>
    <w:p w14:paraId="039A731C" w14:textId="77777777" w:rsidR="001E79E2" w:rsidRDefault="001E79E2" w:rsidP="001E79E2"/>
    <w:p w14:paraId="573EA561" w14:textId="6B594A72" w:rsidR="001E79E2" w:rsidRPr="00BA1E49" w:rsidRDefault="0057740A" w:rsidP="001E79E2">
      <w:pPr>
        <w:pStyle w:val="Titre3"/>
      </w:pPr>
      <w:bookmarkStart w:id="74" w:name="_Toc74651360"/>
      <w:r>
        <w:t>Formation professionnelle et rémunération des stagiaires</w:t>
      </w:r>
      <w:bookmarkEnd w:id="74"/>
    </w:p>
    <w:p w14:paraId="60AC89D0" w14:textId="1492901C" w:rsidR="001E79E2" w:rsidRDefault="001E79E2" w:rsidP="006D3AAB">
      <w:pPr>
        <w:spacing w:before="0" w:after="0"/>
        <w:rPr>
          <w:rFonts w:cstheme="minorHAnsi"/>
        </w:rPr>
      </w:pPr>
      <w:r w:rsidRPr="00E45B66">
        <w:rPr>
          <w:rFonts w:cstheme="minorHAnsi"/>
          <w:b/>
          <w:color w:val="0070C0"/>
        </w:rPr>
        <w:t>Slide</w:t>
      </w:r>
      <w:r>
        <w:rPr>
          <w:rFonts w:cstheme="minorHAnsi"/>
          <w:b/>
          <w:color w:val="0070C0"/>
        </w:rPr>
        <w:t xml:space="preserve"> </w:t>
      </w:r>
      <w:r w:rsidR="006D3AAB">
        <w:rPr>
          <w:rFonts w:cstheme="minorHAnsi"/>
          <w:b/>
          <w:color w:val="0070C0"/>
        </w:rPr>
        <w:t>86</w:t>
      </w:r>
    </w:p>
    <w:p w14:paraId="562FE72C" w14:textId="3584E959" w:rsidR="001E79E2" w:rsidRPr="00451FF7" w:rsidRDefault="001E79E2" w:rsidP="001E79E2">
      <w:pPr>
        <w:rPr>
          <w:rFonts w:cstheme="minorHAnsi"/>
        </w:rPr>
      </w:pPr>
      <w:r w:rsidRPr="00451FF7">
        <w:rPr>
          <w:rFonts w:cstheme="minorHAnsi"/>
        </w:rPr>
        <w:t>Source</w:t>
      </w:r>
      <w:r w:rsidR="00C5450E">
        <w:rPr>
          <w:rFonts w:cstheme="minorHAnsi"/>
        </w:rPr>
        <w:t>s</w:t>
      </w:r>
      <w:r w:rsidRPr="00451FF7">
        <w:rPr>
          <w:rFonts w:cstheme="minorHAnsi"/>
        </w:rPr>
        <w:t> </w:t>
      </w:r>
      <w:r w:rsidRPr="002545F5">
        <w:rPr>
          <w:rFonts w:cstheme="minorHAnsi"/>
        </w:rPr>
        <w:t>:</w:t>
      </w:r>
    </w:p>
    <w:p w14:paraId="1F4A98FD" w14:textId="12AC795A" w:rsidR="00C5450E" w:rsidRDefault="00C5450E" w:rsidP="00D54DDF">
      <w:pPr>
        <w:pStyle w:val="Paragraphedeliste"/>
        <w:numPr>
          <w:ilvl w:val="0"/>
          <w:numId w:val="37"/>
        </w:numPr>
      </w:pPr>
      <w:r>
        <w:t>Décret n° 2021-522 du 29 avril 2021 fixant les taux et les montants des rémunérations versées aux stagiaires de la formation professionnelle</w:t>
      </w:r>
    </w:p>
    <w:p w14:paraId="0BDBEA85" w14:textId="27F616B5" w:rsidR="00C5450E" w:rsidRDefault="00C5450E" w:rsidP="00D54DDF">
      <w:pPr>
        <w:pStyle w:val="Paragraphedeliste"/>
        <w:numPr>
          <w:ilvl w:val="0"/>
          <w:numId w:val="37"/>
        </w:numPr>
      </w:pPr>
      <w:r>
        <w:t>Décret n° 2021-521 du 29 avril 2021 relatif à la simplification des modalités de rémunération des stagiaires de la formation professionnelle et des stagiaires effectuant divers stages mentionnés à l'article 270 de la loi n° 2020-1721 du 29 décembre 2020 de finances pour 2021</w:t>
      </w:r>
    </w:p>
    <w:p w14:paraId="06C4716F" w14:textId="36B0EAD7" w:rsidR="001E79E2" w:rsidRDefault="00C5450E" w:rsidP="00D54DDF">
      <w:pPr>
        <w:pStyle w:val="Paragraphedeliste"/>
        <w:numPr>
          <w:ilvl w:val="0"/>
          <w:numId w:val="37"/>
        </w:numPr>
      </w:pPr>
      <w:r>
        <w:t>Communiqué de presse du Ministère du travail, du 30 avril 2021 : #1jeune1solution | Revalorisation de la rémunération des stagiaires de la formation professionnelle.</w:t>
      </w:r>
    </w:p>
    <w:p w14:paraId="394058C3" w14:textId="77777777" w:rsidR="001E79E2" w:rsidRPr="005B73D2" w:rsidRDefault="001E79E2" w:rsidP="001E79E2">
      <w:pPr>
        <w:pStyle w:val="Titre4"/>
        <w:rPr>
          <w:rStyle w:val="txt"/>
        </w:rPr>
      </w:pPr>
      <w:r w:rsidRPr="004858FF">
        <w:rPr>
          <w:rStyle w:val="txt"/>
        </w:rPr>
        <w:t>ce qu’il faut savoir…</w:t>
      </w:r>
    </w:p>
    <w:p w14:paraId="5D9E512E" w14:textId="77777777" w:rsidR="00E3607D" w:rsidRPr="00E3607D" w:rsidRDefault="00E3607D" w:rsidP="00E3607D">
      <w:pPr>
        <w:rPr>
          <w:rFonts w:cstheme="minorHAnsi"/>
        </w:rPr>
      </w:pPr>
      <w:r w:rsidRPr="00E3607D">
        <w:rPr>
          <w:rFonts w:cstheme="minorHAnsi"/>
        </w:rPr>
        <w:t xml:space="preserve">Le gouvernement vient de préciser les modalités de rémunération des stagiaires de la formation professionnelle et de détermination des taux et des montants de ces rémunérations, en procédant notamment à une revalorisation. </w:t>
      </w:r>
    </w:p>
    <w:p w14:paraId="1D9D2BDA" w14:textId="77777777" w:rsidR="00E3607D" w:rsidRPr="00E3607D" w:rsidRDefault="00E3607D" w:rsidP="00E3607D">
      <w:pPr>
        <w:rPr>
          <w:rFonts w:cstheme="minorHAnsi"/>
        </w:rPr>
      </w:pPr>
      <w:r w:rsidRPr="00E3607D">
        <w:rPr>
          <w:rFonts w:cstheme="minorHAnsi"/>
        </w:rPr>
        <w:t>L’ensemble de ces dispositions s’appliquent aux personnes débutant un stage à compter du 1</w:t>
      </w:r>
      <w:r w:rsidRPr="00E3607D">
        <w:rPr>
          <w:rFonts w:cstheme="minorHAnsi"/>
          <w:vertAlign w:val="superscript"/>
        </w:rPr>
        <w:t>er</w:t>
      </w:r>
      <w:r w:rsidRPr="00E3607D">
        <w:rPr>
          <w:rFonts w:cstheme="minorHAnsi"/>
        </w:rPr>
        <w:t xml:space="preserve"> mai 2021, sans qu’elles ne puissent s’appliquer aux rémunérations des personnes qui, au 1</w:t>
      </w:r>
      <w:r w:rsidRPr="00E3607D">
        <w:rPr>
          <w:rFonts w:cstheme="minorHAnsi"/>
          <w:vertAlign w:val="superscript"/>
        </w:rPr>
        <w:t xml:space="preserve">er </w:t>
      </w:r>
      <w:r w:rsidRPr="00E3607D">
        <w:rPr>
          <w:rFonts w:cstheme="minorHAnsi"/>
        </w:rPr>
        <w:t xml:space="preserve">mai 2021, suivent déjà un stage de formation professionnelle. </w:t>
      </w:r>
    </w:p>
    <w:p w14:paraId="31A81161" w14:textId="1F58957E" w:rsidR="00E3607D" w:rsidRPr="00E3607D" w:rsidRDefault="00E3607D" w:rsidP="00D54DDF">
      <w:pPr>
        <w:pStyle w:val="Paragraphedeliste"/>
        <w:numPr>
          <w:ilvl w:val="0"/>
          <w:numId w:val="38"/>
        </w:numPr>
        <w:rPr>
          <w:rFonts w:cstheme="minorHAnsi"/>
          <w:b/>
          <w:bCs/>
          <w:i/>
          <w:iCs/>
          <w:u w:val="single"/>
        </w:rPr>
      </w:pPr>
      <w:r w:rsidRPr="00E3607D">
        <w:rPr>
          <w:rFonts w:cstheme="minorHAnsi"/>
          <w:b/>
          <w:bCs/>
          <w:i/>
          <w:iCs/>
          <w:u w:val="single"/>
        </w:rPr>
        <w:t>Montant</w:t>
      </w:r>
    </w:p>
    <w:p w14:paraId="17AF7F25" w14:textId="77777777" w:rsidR="00E3607D" w:rsidRPr="00E3607D" w:rsidRDefault="00E3607D" w:rsidP="00E3607D">
      <w:pPr>
        <w:rPr>
          <w:rFonts w:cstheme="minorHAnsi"/>
        </w:rPr>
      </w:pPr>
      <w:r w:rsidRPr="00E3607D">
        <w:rPr>
          <w:rFonts w:cstheme="minorHAnsi"/>
        </w:rPr>
        <w:t>Les travailleurs non-salariés et les personnes à la recherche d'un emploi perçoivent, lorsqu'elles suivent un stage de formation agréé au titre de la rémunération des stagiaires, une rémunération mensuelle fixée à :</w:t>
      </w:r>
    </w:p>
    <w:p w14:paraId="42AD7E2A" w14:textId="5850DC31" w:rsidR="00E3607D" w:rsidRPr="00E3607D" w:rsidRDefault="00E3607D" w:rsidP="00D54DDF">
      <w:pPr>
        <w:pStyle w:val="Paragraphedeliste"/>
        <w:numPr>
          <w:ilvl w:val="0"/>
          <w:numId w:val="39"/>
        </w:numPr>
        <w:rPr>
          <w:rFonts w:cstheme="minorHAnsi"/>
        </w:rPr>
      </w:pPr>
      <w:r w:rsidRPr="00E3607D">
        <w:rPr>
          <w:rFonts w:cstheme="minorHAnsi"/>
        </w:rPr>
        <w:t>200 € lorsqu'elles sont âgées de moins de 18 ans à la date de leur entrée en stage (178 € à Mayotte) ;</w:t>
      </w:r>
    </w:p>
    <w:p w14:paraId="14CDF54A" w14:textId="09EDD55F" w:rsidR="00E3607D" w:rsidRPr="00E3607D" w:rsidRDefault="00E3607D" w:rsidP="00D54DDF">
      <w:pPr>
        <w:pStyle w:val="Paragraphedeliste"/>
        <w:numPr>
          <w:ilvl w:val="0"/>
          <w:numId w:val="39"/>
        </w:numPr>
        <w:rPr>
          <w:rFonts w:cstheme="minorHAnsi"/>
        </w:rPr>
      </w:pPr>
      <w:r w:rsidRPr="00E3607D">
        <w:rPr>
          <w:rFonts w:cstheme="minorHAnsi"/>
        </w:rPr>
        <w:t xml:space="preserve">500 € lorsqu'elles sont âgées de 18 à 25 ans à la date de leur entrée en stage ; </w:t>
      </w:r>
    </w:p>
    <w:p w14:paraId="5003F6AA" w14:textId="7BC7AFC4" w:rsidR="00E3607D" w:rsidRPr="00E3607D" w:rsidRDefault="00E3607D" w:rsidP="00D54DDF">
      <w:pPr>
        <w:pStyle w:val="Paragraphedeliste"/>
        <w:numPr>
          <w:ilvl w:val="0"/>
          <w:numId w:val="39"/>
        </w:numPr>
        <w:rPr>
          <w:rFonts w:cstheme="minorHAnsi"/>
        </w:rPr>
      </w:pPr>
      <w:r w:rsidRPr="00E3607D">
        <w:rPr>
          <w:rFonts w:cstheme="minorHAnsi"/>
        </w:rPr>
        <w:t xml:space="preserve">685 € lorsqu'elles sont âgées de 26 ans ou plus à la date de leur entrée en stage (609 € à Mayotte). </w:t>
      </w:r>
    </w:p>
    <w:p w14:paraId="431AB74B" w14:textId="77777777" w:rsidR="00E3607D" w:rsidRPr="00E3607D" w:rsidRDefault="00E3607D" w:rsidP="00E3607D">
      <w:pPr>
        <w:rPr>
          <w:rFonts w:cstheme="minorHAnsi"/>
        </w:rPr>
      </w:pPr>
      <w:r w:rsidRPr="00E3607D">
        <w:rPr>
          <w:rFonts w:cstheme="minorHAnsi"/>
        </w:rPr>
        <w:t xml:space="preserve">Certains stagiaires de la formation professionnelle peuvent également percevoir une rémunération mensuelle fixée à 685 € (609 € à Mayotte). Il s’agit : </w:t>
      </w:r>
    </w:p>
    <w:p w14:paraId="72F6826C" w14:textId="254F6C37" w:rsidR="00E3607D" w:rsidRPr="00E3607D" w:rsidRDefault="00E3607D" w:rsidP="00D54DDF">
      <w:pPr>
        <w:pStyle w:val="Paragraphedeliste"/>
        <w:numPr>
          <w:ilvl w:val="0"/>
          <w:numId w:val="40"/>
        </w:numPr>
        <w:rPr>
          <w:rFonts w:cstheme="minorHAnsi"/>
        </w:rPr>
      </w:pPr>
      <w:r w:rsidRPr="00E3607D">
        <w:rPr>
          <w:rFonts w:cstheme="minorHAnsi"/>
        </w:rPr>
        <w:t>des personnes veuves, divorcées, séparées ou célibataires et qui assument seules la charge effective et permanente d'un ou plusieurs enfants résidant en France ;</w:t>
      </w:r>
    </w:p>
    <w:p w14:paraId="75F662B1" w14:textId="5F9C659E" w:rsidR="00E3607D" w:rsidRPr="00E3607D" w:rsidRDefault="00E3607D" w:rsidP="00D54DDF">
      <w:pPr>
        <w:pStyle w:val="Paragraphedeliste"/>
        <w:numPr>
          <w:ilvl w:val="0"/>
          <w:numId w:val="40"/>
        </w:numPr>
        <w:rPr>
          <w:rFonts w:cstheme="minorHAnsi"/>
        </w:rPr>
      </w:pPr>
      <w:r w:rsidRPr="00E3607D">
        <w:rPr>
          <w:rFonts w:cstheme="minorHAnsi"/>
        </w:rPr>
        <w:t>des femmes seules âgées de moins de 26 ans en état de grossesse ayant effectué la déclaration de grossesse et les examens prénataux prévus par la loi ;</w:t>
      </w:r>
    </w:p>
    <w:p w14:paraId="08350B14" w14:textId="131521EE" w:rsidR="00E3607D" w:rsidRPr="00E3607D" w:rsidRDefault="00E3607D" w:rsidP="00D54DDF">
      <w:pPr>
        <w:pStyle w:val="Paragraphedeliste"/>
        <w:numPr>
          <w:ilvl w:val="0"/>
          <w:numId w:val="40"/>
        </w:numPr>
        <w:rPr>
          <w:rFonts w:cstheme="minorHAnsi"/>
        </w:rPr>
      </w:pPr>
      <w:r w:rsidRPr="00E3607D">
        <w:rPr>
          <w:rFonts w:cstheme="minorHAnsi"/>
        </w:rPr>
        <w:t>des personnes âgées de moins de 26 ans ayant eu 3 enfants ;</w:t>
      </w:r>
    </w:p>
    <w:p w14:paraId="75F6AB98" w14:textId="1E985FBB" w:rsidR="00E3607D" w:rsidRPr="00E3607D" w:rsidRDefault="00E3607D" w:rsidP="00D54DDF">
      <w:pPr>
        <w:pStyle w:val="Paragraphedeliste"/>
        <w:numPr>
          <w:ilvl w:val="0"/>
          <w:numId w:val="40"/>
        </w:numPr>
        <w:rPr>
          <w:rFonts w:cstheme="minorHAnsi"/>
        </w:rPr>
      </w:pPr>
      <w:r w:rsidRPr="00E3607D">
        <w:rPr>
          <w:rFonts w:cstheme="minorHAnsi"/>
        </w:rPr>
        <w:t>les personnes âgées de moins de 26 ans divorcées, veuves ou séparées judiciairement depuis moins de 3 ans.</w:t>
      </w:r>
    </w:p>
    <w:p w14:paraId="1321E24E" w14:textId="77777777" w:rsidR="00E3607D" w:rsidRPr="00E3607D" w:rsidRDefault="00E3607D" w:rsidP="00E3607D">
      <w:pPr>
        <w:rPr>
          <w:rFonts w:cstheme="minorHAnsi"/>
        </w:rPr>
      </w:pPr>
    </w:p>
    <w:p w14:paraId="15F37606" w14:textId="77777777" w:rsidR="00E3607D" w:rsidRPr="00E3607D" w:rsidRDefault="00E3607D" w:rsidP="00E3607D">
      <w:pPr>
        <w:rPr>
          <w:rFonts w:cstheme="minorHAnsi"/>
        </w:rPr>
      </w:pPr>
      <w:r w:rsidRPr="00E3607D">
        <w:rPr>
          <w:rFonts w:cstheme="minorHAnsi"/>
        </w:rPr>
        <w:lastRenderedPageBreak/>
        <w:t xml:space="preserve">Ces rémunérations, à l'exception de celles des personnes effectuant leur stage à temps partiel (voir infra), sont calculées ou arrêtées à la date d'ouverture du stage et incluent les indemnités compensatrices de congés payés. </w:t>
      </w:r>
    </w:p>
    <w:p w14:paraId="7779E08E" w14:textId="0A6389FA" w:rsidR="00E3607D" w:rsidRPr="00E3607D" w:rsidRDefault="00E3607D" w:rsidP="00E3607D">
      <w:pPr>
        <w:rPr>
          <w:rFonts w:cstheme="minorHAnsi"/>
        </w:rPr>
      </w:pPr>
      <w:r w:rsidRPr="00E3607D">
        <w:rPr>
          <w:rFonts w:cstheme="minorHAnsi"/>
        </w:rPr>
        <w:t>Pour information, les stagiaires de la formation professionnelle relevant de l'administration pénitentiaire à l'extérieur de l'établissement en régime de semi-liberté ou de placement extérieur bénéficient des modalités de rémunération selon les mêmes conditions.</w:t>
      </w:r>
    </w:p>
    <w:p w14:paraId="19A89B94" w14:textId="28281693" w:rsidR="00E3607D" w:rsidRPr="00E3607D" w:rsidRDefault="00E3607D" w:rsidP="00D54DDF">
      <w:pPr>
        <w:pStyle w:val="Paragraphedeliste"/>
        <w:numPr>
          <w:ilvl w:val="0"/>
          <w:numId w:val="38"/>
        </w:numPr>
        <w:rPr>
          <w:rFonts w:cstheme="minorHAnsi"/>
          <w:b/>
          <w:bCs/>
          <w:i/>
          <w:iCs/>
          <w:u w:val="single"/>
        </w:rPr>
      </w:pPr>
      <w:r w:rsidRPr="00E3607D">
        <w:rPr>
          <w:rFonts w:cstheme="minorHAnsi"/>
          <w:b/>
          <w:bCs/>
          <w:i/>
          <w:iCs/>
          <w:u w:val="single"/>
        </w:rPr>
        <w:t>Temps partiel</w:t>
      </w:r>
    </w:p>
    <w:p w14:paraId="74653722" w14:textId="1D09F158" w:rsidR="00E3607D" w:rsidRPr="00E3607D" w:rsidRDefault="00E3607D" w:rsidP="00E3607D">
      <w:pPr>
        <w:rPr>
          <w:rFonts w:cstheme="minorHAnsi"/>
        </w:rPr>
      </w:pPr>
      <w:r w:rsidRPr="00E3607D">
        <w:rPr>
          <w:rFonts w:cstheme="minorHAnsi"/>
        </w:rPr>
        <w:t>La rémunération de la personne en recherche d'emploi et du travailleur non</w:t>
      </w:r>
      <w:r w:rsidR="00363DC1">
        <w:rPr>
          <w:rFonts w:cstheme="minorHAnsi"/>
        </w:rPr>
        <w:t>-</w:t>
      </w:r>
      <w:r w:rsidRPr="00E3607D">
        <w:rPr>
          <w:rFonts w:cstheme="minorHAnsi"/>
        </w:rPr>
        <w:t>salarié qui suivent à temps partiel un stage agréé est égale, pour chaque heure de stage, à la rémunération mensuelle qu'</w:t>
      </w:r>
      <w:r w:rsidR="00363DC1">
        <w:rPr>
          <w:rFonts w:cstheme="minorHAnsi"/>
        </w:rPr>
        <w:t>ils</w:t>
      </w:r>
      <w:r w:rsidRPr="00E3607D">
        <w:rPr>
          <w:rFonts w:cstheme="minorHAnsi"/>
        </w:rPr>
        <w:t xml:space="preserve"> auraient perçue pour un stage à temps complet divisée par 151,67.</w:t>
      </w:r>
    </w:p>
    <w:p w14:paraId="6A01004C" w14:textId="77777777" w:rsidR="00E3607D" w:rsidRPr="00E3607D" w:rsidRDefault="00E3607D" w:rsidP="00E3607D">
      <w:pPr>
        <w:rPr>
          <w:rFonts w:cstheme="minorHAnsi"/>
        </w:rPr>
      </w:pPr>
      <w:r w:rsidRPr="00E3607D">
        <w:rPr>
          <w:rFonts w:cstheme="minorHAnsi"/>
        </w:rPr>
        <w:t xml:space="preserve">Lorsque le montant de cette rémunération est inférieur au montant mensuel de l'allocation de solidarité spécifique (montant journalier égal à 16,91 € pour 2021), due pour travailleurs privés d'emploi qui ont épuisé leurs droits à l'allocation d'assurance et qui satisfont à des conditions d'activité antérieure et de ressources, il est au minimum porté au montant qui aurait été dû au titre de cette allocation. </w:t>
      </w:r>
    </w:p>
    <w:p w14:paraId="437541A5" w14:textId="476357DC" w:rsidR="00E3607D" w:rsidRPr="00E3607D" w:rsidRDefault="00E3607D" w:rsidP="00D54DDF">
      <w:pPr>
        <w:pStyle w:val="Paragraphedeliste"/>
        <w:numPr>
          <w:ilvl w:val="0"/>
          <w:numId w:val="38"/>
        </w:numPr>
        <w:rPr>
          <w:rFonts w:cstheme="minorHAnsi"/>
          <w:b/>
          <w:bCs/>
          <w:i/>
          <w:iCs/>
          <w:u w:val="single"/>
        </w:rPr>
      </w:pPr>
      <w:r w:rsidRPr="00E3607D">
        <w:rPr>
          <w:rFonts w:cstheme="minorHAnsi"/>
          <w:b/>
          <w:bCs/>
          <w:i/>
          <w:iCs/>
          <w:u w:val="single"/>
        </w:rPr>
        <w:t xml:space="preserve">Versement d’un acompte </w:t>
      </w:r>
    </w:p>
    <w:p w14:paraId="04642F36" w14:textId="217C910A" w:rsidR="00E3607D" w:rsidRPr="00E3607D" w:rsidRDefault="00E3607D" w:rsidP="00E3607D">
      <w:pPr>
        <w:rPr>
          <w:rFonts w:cstheme="minorHAnsi"/>
        </w:rPr>
      </w:pPr>
      <w:r w:rsidRPr="00E3607D">
        <w:rPr>
          <w:rFonts w:cstheme="minorHAnsi"/>
        </w:rPr>
        <w:t>Les personnes en recherche d'emploi suivant un stage rémunéré bénéficient d’un acompte d’un montant de 685 € (609 € à Mayotte), en fonction de leur salaire antérieur et au montant de la rémunération mensuelle pour le travailleur non</w:t>
      </w:r>
      <w:r w:rsidR="00363DC1">
        <w:rPr>
          <w:rFonts w:cstheme="minorHAnsi"/>
        </w:rPr>
        <w:t>-</w:t>
      </w:r>
      <w:r w:rsidRPr="00E3607D">
        <w:rPr>
          <w:rFonts w:cstheme="minorHAnsi"/>
        </w:rPr>
        <w:t xml:space="preserve">salarié qui suit un stage. </w:t>
      </w:r>
    </w:p>
    <w:p w14:paraId="1273DD0C" w14:textId="09685BD8" w:rsidR="00E3607D" w:rsidRPr="00E3607D" w:rsidRDefault="00E3607D" w:rsidP="00D54DDF">
      <w:pPr>
        <w:pStyle w:val="Paragraphedeliste"/>
        <w:numPr>
          <w:ilvl w:val="0"/>
          <w:numId w:val="38"/>
        </w:numPr>
        <w:rPr>
          <w:rFonts w:cstheme="minorHAnsi"/>
          <w:b/>
          <w:bCs/>
          <w:i/>
          <w:iCs/>
          <w:u w:val="single"/>
        </w:rPr>
      </w:pPr>
      <w:r w:rsidRPr="00E3607D">
        <w:rPr>
          <w:rFonts w:cstheme="minorHAnsi"/>
          <w:b/>
          <w:bCs/>
          <w:i/>
          <w:iCs/>
          <w:u w:val="single"/>
        </w:rPr>
        <w:t xml:space="preserve">Travailleurs handicapés ayant au préalable exercé une activité rémunérée </w:t>
      </w:r>
    </w:p>
    <w:p w14:paraId="01F3D235" w14:textId="77777777" w:rsidR="00E3607D" w:rsidRPr="00E3607D" w:rsidRDefault="00E3607D" w:rsidP="00E3607D">
      <w:pPr>
        <w:rPr>
          <w:rFonts w:cstheme="minorHAnsi"/>
        </w:rPr>
      </w:pPr>
      <w:r w:rsidRPr="00E3607D">
        <w:rPr>
          <w:rFonts w:cstheme="minorHAnsi"/>
        </w:rPr>
        <w:t xml:space="preserve">La rémunération due aux travailleurs handicapés en recherche d'emploi, ayant exercé une activité salariée pendant 6 mois au cours d'une période de 12 mois ou pendant 12 mois au cours d'une période de 24 mois est établie en fonction du salaire perçu antérieurement, dans les limites des montants minimum (685 €) et maximum (1 932,52 €). Pour Mayotte, ces montants sont respectivement fixés à 609 € et 1 720 €. </w:t>
      </w:r>
    </w:p>
    <w:p w14:paraId="01D3DB41" w14:textId="77777777" w:rsidR="00E3607D" w:rsidRPr="00E3607D" w:rsidRDefault="00E3607D" w:rsidP="00E3607D">
      <w:pPr>
        <w:rPr>
          <w:rFonts w:cstheme="minorHAnsi"/>
        </w:rPr>
      </w:pPr>
      <w:r w:rsidRPr="00E3607D">
        <w:rPr>
          <w:rFonts w:cstheme="minorHAnsi"/>
        </w:rPr>
        <w:t>Cette rémunération est calculée selon la durée légale de travail, à partir de la moyenne des salaires perçus pendant la durée d'activité de 6 mois ou de 12 mois considérée. Les majorations pour heures supplémentaires, les indemnités compensatrices de congé payé et de préavis, ainsi que les primes et indemnités qui ne sont pas retenues pour le calcul des cotisations sociales n'entrent pas dans le décompte des salaires perçus.</w:t>
      </w:r>
    </w:p>
    <w:p w14:paraId="378EEF3C" w14:textId="77777777" w:rsidR="00E3607D" w:rsidRPr="00E3607D" w:rsidRDefault="00E3607D" w:rsidP="00E3607D">
      <w:pPr>
        <w:rPr>
          <w:rFonts w:cstheme="minorHAnsi"/>
        </w:rPr>
      </w:pPr>
      <w:r w:rsidRPr="00E3607D">
        <w:rPr>
          <w:rFonts w:cstheme="minorHAnsi"/>
        </w:rPr>
        <w:t>Lorsque l'interruption du travail est antérieure depuis plus d'un an à l'entrée en stage, le salaire perçu dans le dernier emploi est affecté d'un coefficient de revalorisation correspondant aux majorations du salaire minimum de croissance au cours de la période considérée.</w:t>
      </w:r>
    </w:p>
    <w:p w14:paraId="017C9821" w14:textId="77777777" w:rsidR="00E3607D" w:rsidRPr="00E3607D" w:rsidRDefault="00E3607D" w:rsidP="00E3607D">
      <w:pPr>
        <w:rPr>
          <w:rFonts w:cstheme="minorHAnsi"/>
        </w:rPr>
      </w:pPr>
      <w:r w:rsidRPr="00E3607D">
        <w:rPr>
          <w:rFonts w:cstheme="minorHAnsi"/>
        </w:rPr>
        <w:t xml:space="preserve">De même, la rémunération mensuelle est fixée à 685 € (609 € à Mayotte), pour les personnes suivantes, suivant un stage de formation agréé : </w:t>
      </w:r>
    </w:p>
    <w:p w14:paraId="23E4D2D4" w14:textId="205902F6" w:rsidR="00E3607D" w:rsidRPr="00DC5D5C" w:rsidRDefault="00E3607D" w:rsidP="00D54DDF">
      <w:pPr>
        <w:pStyle w:val="Paragraphedeliste"/>
        <w:numPr>
          <w:ilvl w:val="0"/>
          <w:numId w:val="41"/>
        </w:numPr>
        <w:rPr>
          <w:rFonts w:cstheme="minorHAnsi"/>
        </w:rPr>
      </w:pPr>
      <w:r w:rsidRPr="00DC5D5C">
        <w:rPr>
          <w:rFonts w:cstheme="minorHAnsi"/>
        </w:rPr>
        <w:t xml:space="preserve">travailleurs handicapés en recherche d’emploi n’ayant pas exercé au préalable une activité salariée au cours de la période considérée ; </w:t>
      </w:r>
    </w:p>
    <w:p w14:paraId="1C78C245" w14:textId="1362D056" w:rsidR="00E3607D" w:rsidRPr="00DC5D5C" w:rsidRDefault="00E3607D" w:rsidP="00D54DDF">
      <w:pPr>
        <w:pStyle w:val="Paragraphedeliste"/>
        <w:numPr>
          <w:ilvl w:val="0"/>
          <w:numId w:val="41"/>
        </w:numPr>
        <w:rPr>
          <w:rFonts w:cstheme="minorHAnsi"/>
        </w:rPr>
      </w:pPr>
      <w:r w:rsidRPr="00DC5D5C">
        <w:rPr>
          <w:rFonts w:cstheme="minorHAnsi"/>
        </w:rPr>
        <w:t xml:space="preserve">travailleurs handicapés à la recherche d’un premier emploi. </w:t>
      </w:r>
    </w:p>
    <w:p w14:paraId="5FC19955" w14:textId="77777777" w:rsidR="00E3607D" w:rsidRPr="00E3607D" w:rsidRDefault="00E3607D" w:rsidP="00E3607D">
      <w:pPr>
        <w:rPr>
          <w:rFonts w:cstheme="minorHAnsi"/>
        </w:rPr>
      </w:pPr>
    </w:p>
    <w:p w14:paraId="21244648" w14:textId="7680565F" w:rsidR="00E3607D" w:rsidRPr="00DC5D5C" w:rsidRDefault="00E3607D" w:rsidP="00D54DDF">
      <w:pPr>
        <w:pStyle w:val="Paragraphedeliste"/>
        <w:numPr>
          <w:ilvl w:val="0"/>
          <w:numId w:val="38"/>
        </w:numPr>
        <w:rPr>
          <w:rFonts w:cstheme="minorHAnsi"/>
          <w:b/>
          <w:bCs/>
          <w:i/>
          <w:iCs/>
          <w:u w:val="single"/>
        </w:rPr>
      </w:pPr>
      <w:r w:rsidRPr="00DC5D5C">
        <w:rPr>
          <w:rFonts w:cstheme="minorHAnsi"/>
          <w:b/>
          <w:bCs/>
          <w:i/>
          <w:iCs/>
          <w:u w:val="single"/>
        </w:rPr>
        <w:t>Travailleurs victimes d’un accident du travail</w:t>
      </w:r>
    </w:p>
    <w:p w14:paraId="07A905A3" w14:textId="77777777" w:rsidR="00E3607D" w:rsidRPr="00E3607D" w:rsidRDefault="00E3607D" w:rsidP="00E3607D">
      <w:pPr>
        <w:rPr>
          <w:rFonts w:cstheme="minorHAnsi"/>
        </w:rPr>
      </w:pPr>
      <w:r w:rsidRPr="00E3607D">
        <w:rPr>
          <w:rFonts w:cstheme="minorHAnsi"/>
        </w:rPr>
        <w:t xml:space="preserve">Les travailleurs salariés en attente de réinsertion ou en instance de reclassement à la suite d’un accident du travail ou d’une maladie professionnelle et qui suivent un stage agréé par l'Etat ou une région perçoivent une </w:t>
      </w:r>
      <w:r w:rsidRPr="00E3607D">
        <w:rPr>
          <w:rFonts w:cstheme="minorHAnsi"/>
        </w:rPr>
        <w:lastRenderedPageBreak/>
        <w:t>rémunération mensuelle égale à leur salaire antérieur, pouvant aller de 685 € à 1 932,52 € (609 € à 1 720 € à Mayotte).</w:t>
      </w:r>
    </w:p>
    <w:p w14:paraId="7A49EAA5" w14:textId="77777777" w:rsidR="00E3607D" w:rsidRPr="00E3607D" w:rsidRDefault="00E3607D" w:rsidP="00E3607D">
      <w:pPr>
        <w:rPr>
          <w:rFonts w:cstheme="minorHAnsi"/>
        </w:rPr>
      </w:pPr>
      <w:r w:rsidRPr="00E3607D">
        <w:rPr>
          <w:rFonts w:cstheme="minorHAnsi"/>
        </w:rPr>
        <w:t>Cette rémunération est calculée selon la durée légale du travail à partir de la moyenne des salaires perçus pendant la durée d'activité (6 ou 12 derniers mois). Les majorations pour heures supplémentaires, les indemnités compensatrices de congé payé et de préavis ainsi que les primes et indemnités qui ne sont pas retenues pour le calcul des cotisations sociales n'entrent pas dans le décompte des salaires perçus.</w:t>
      </w:r>
    </w:p>
    <w:p w14:paraId="00BBB122" w14:textId="77777777" w:rsidR="00E3607D" w:rsidRPr="00E3607D" w:rsidRDefault="00E3607D" w:rsidP="00E3607D">
      <w:pPr>
        <w:rPr>
          <w:rFonts w:cstheme="minorHAnsi"/>
        </w:rPr>
      </w:pPr>
      <w:r w:rsidRPr="00E3607D">
        <w:rPr>
          <w:rFonts w:cstheme="minorHAnsi"/>
        </w:rPr>
        <w:t>Lorsque l'interruption du travail est antérieure depuis plus d'un an à l'entrée en stage, le salaire perçu dans le dernier emploi est affecté d'un coefficient de revalorisation correspondant aux majorations du salaire minimum de croissance au cours de la période considérée.</w:t>
      </w:r>
    </w:p>
    <w:p w14:paraId="494EC900" w14:textId="04CB0225" w:rsidR="00E3607D" w:rsidRPr="00106E2C" w:rsidRDefault="00E3607D" w:rsidP="00D54DDF">
      <w:pPr>
        <w:pStyle w:val="Paragraphedeliste"/>
        <w:numPr>
          <w:ilvl w:val="0"/>
          <w:numId w:val="38"/>
        </w:numPr>
        <w:rPr>
          <w:rFonts w:cstheme="minorHAnsi"/>
          <w:b/>
          <w:bCs/>
          <w:i/>
          <w:iCs/>
          <w:u w:val="single"/>
        </w:rPr>
      </w:pPr>
      <w:r w:rsidRPr="00106E2C">
        <w:rPr>
          <w:rFonts w:cstheme="minorHAnsi"/>
          <w:b/>
          <w:bCs/>
          <w:i/>
          <w:iCs/>
          <w:u w:val="single"/>
        </w:rPr>
        <w:t xml:space="preserve">Stagiaires de moins de 30 ans </w:t>
      </w:r>
    </w:p>
    <w:p w14:paraId="04C7ECE1" w14:textId="47D930CB" w:rsidR="00E3607D" w:rsidRPr="00E3607D" w:rsidRDefault="00E3607D" w:rsidP="00E3607D">
      <w:pPr>
        <w:rPr>
          <w:rFonts w:cstheme="minorHAnsi"/>
        </w:rPr>
      </w:pPr>
      <w:r w:rsidRPr="00E3607D">
        <w:rPr>
          <w:rFonts w:cstheme="minorHAnsi"/>
        </w:rPr>
        <w:t xml:space="preserve">De même, viennent d’être précisées les modalités de rémunération applicables aux jeunes de moins de 30 ans qui effectuent : </w:t>
      </w:r>
    </w:p>
    <w:p w14:paraId="04D72D5D" w14:textId="290D19BE" w:rsidR="00E3607D" w:rsidRPr="00106E2C" w:rsidRDefault="00E3607D" w:rsidP="00106E2C">
      <w:pPr>
        <w:pStyle w:val="Paragraphedeliste"/>
        <w:numPr>
          <w:ilvl w:val="0"/>
          <w:numId w:val="6"/>
        </w:numPr>
        <w:rPr>
          <w:rFonts w:cstheme="minorHAnsi"/>
        </w:rPr>
      </w:pPr>
      <w:r w:rsidRPr="00106E2C">
        <w:rPr>
          <w:rFonts w:cstheme="minorHAnsi"/>
        </w:rPr>
        <w:t xml:space="preserve">un stage d'accompagnement, d'insertion professionnelle, d'orientation ou d'appui à la définition d'un projet professionnel ; </w:t>
      </w:r>
    </w:p>
    <w:p w14:paraId="4DF3F00C" w14:textId="26B415CD" w:rsidR="00E3607D" w:rsidRPr="00106E2C" w:rsidRDefault="00E3607D" w:rsidP="00106E2C">
      <w:pPr>
        <w:pStyle w:val="Paragraphedeliste"/>
        <w:numPr>
          <w:ilvl w:val="0"/>
          <w:numId w:val="6"/>
        </w:numPr>
        <w:rPr>
          <w:rFonts w:cstheme="minorHAnsi"/>
        </w:rPr>
      </w:pPr>
      <w:r w:rsidRPr="00106E2C">
        <w:rPr>
          <w:rFonts w:cstheme="minorHAnsi"/>
        </w:rPr>
        <w:t>un stage d'initiation, de formation ou de complément de formation professionnelle dans le cadre d'un programme national organisé et financé par l'Etat destiné à répondre à un besoin additionnel de qualification au profit de jeunes sortis du système scolaire sans qualification ou à la recherche d'emploi disposant d'un niveau de qualification inférieur ou égal au baccalauréat.</w:t>
      </w:r>
    </w:p>
    <w:p w14:paraId="224CDD18" w14:textId="77777777" w:rsidR="00E3607D" w:rsidRPr="00E3607D" w:rsidRDefault="00E3607D" w:rsidP="00E3607D">
      <w:pPr>
        <w:rPr>
          <w:rFonts w:cstheme="minorHAnsi"/>
        </w:rPr>
      </w:pPr>
      <w:r w:rsidRPr="00E3607D">
        <w:rPr>
          <w:rFonts w:cstheme="minorHAnsi"/>
        </w:rPr>
        <w:t>Ainsi, à compter du 1</w:t>
      </w:r>
      <w:r w:rsidRPr="00106E2C">
        <w:rPr>
          <w:rFonts w:cstheme="minorHAnsi"/>
          <w:vertAlign w:val="superscript"/>
        </w:rPr>
        <w:t>er</w:t>
      </w:r>
      <w:r w:rsidRPr="00E3607D">
        <w:rPr>
          <w:rFonts w:cstheme="minorHAnsi"/>
        </w:rPr>
        <w:t xml:space="preserve"> mai 2021, le système de rémunération de ces stagiaires est simplifié et revalorisé, pour la 1</w:t>
      </w:r>
      <w:r w:rsidRPr="00106E2C">
        <w:rPr>
          <w:rFonts w:cstheme="minorHAnsi"/>
          <w:vertAlign w:val="superscript"/>
        </w:rPr>
        <w:t>re</w:t>
      </w:r>
      <w:r w:rsidRPr="00E3607D">
        <w:rPr>
          <w:rFonts w:cstheme="minorHAnsi"/>
        </w:rPr>
        <w:t xml:space="preserve"> fois depuis 1988. 3 catégories de rémunération sont prévues, selon l’âge du stagiaire : </w:t>
      </w:r>
    </w:p>
    <w:p w14:paraId="79CAA84C" w14:textId="56B9F5AE" w:rsidR="00E3607D" w:rsidRPr="00106E2C" w:rsidRDefault="00E3607D" w:rsidP="00106E2C">
      <w:pPr>
        <w:pStyle w:val="Paragraphedeliste"/>
        <w:numPr>
          <w:ilvl w:val="0"/>
          <w:numId w:val="6"/>
        </w:numPr>
        <w:rPr>
          <w:rFonts w:cstheme="minorHAnsi"/>
        </w:rPr>
      </w:pPr>
      <w:r w:rsidRPr="00106E2C">
        <w:rPr>
          <w:rFonts w:cstheme="minorHAnsi"/>
        </w:rPr>
        <w:t>200 € par mois pour tous les stagiaires de la formation professionnelle âgés de 16 à 18 ans (contre 130</w:t>
      </w:r>
      <w:r w:rsidR="00106E2C">
        <w:rPr>
          <w:rFonts w:cstheme="minorHAnsi"/>
        </w:rPr>
        <w:t> </w:t>
      </w:r>
      <w:r w:rsidRPr="00106E2C">
        <w:rPr>
          <w:rFonts w:cstheme="minorHAnsi"/>
        </w:rPr>
        <w:t>€ jusqu’à présent) ;</w:t>
      </w:r>
    </w:p>
    <w:p w14:paraId="6EA76FDB" w14:textId="5E5985F3" w:rsidR="00E3607D" w:rsidRPr="00106E2C" w:rsidRDefault="00E3607D" w:rsidP="00106E2C">
      <w:pPr>
        <w:pStyle w:val="Paragraphedeliste"/>
        <w:numPr>
          <w:ilvl w:val="0"/>
          <w:numId w:val="6"/>
        </w:numPr>
        <w:rPr>
          <w:rFonts w:cstheme="minorHAnsi"/>
        </w:rPr>
      </w:pPr>
      <w:r w:rsidRPr="00106E2C">
        <w:rPr>
          <w:rFonts w:cstheme="minorHAnsi"/>
        </w:rPr>
        <w:t>500 € par mois pour tous les stagiaires de la formation âgés de 18 à 25 ans révolus (contre un peu plus de 300 € auparavant) ;</w:t>
      </w:r>
    </w:p>
    <w:p w14:paraId="287B1554" w14:textId="7098A40D" w:rsidR="00E3607D" w:rsidRPr="00106E2C" w:rsidRDefault="00E3607D" w:rsidP="00106E2C">
      <w:pPr>
        <w:pStyle w:val="Paragraphedeliste"/>
        <w:numPr>
          <w:ilvl w:val="0"/>
          <w:numId w:val="6"/>
        </w:numPr>
        <w:rPr>
          <w:rFonts w:cstheme="minorHAnsi"/>
        </w:rPr>
      </w:pPr>
      <w:r w:rsidRPr="00106E2C">
        <w:rPr>
          <w:rFonts w:cstheme="minorHAnsi"/>
        </w:rPr>
        <w:t>685 € par mois pour tous les stagiaires de la formation de plus de 26 ans (contre une rémunération de 401 € ou 652 € selon les cas, jusqu’à présent).</w:t>
      </w:r>
    </w:p>
    <w:p w14:paraId="14EDF93B" w14:textId="77777777" w:rsidR="00E3607D" w:rsidRPr="00E3607D" w:rsidRDefault="00E3607D" w:rsidP="00E3607D">
      <w:pPr>
        <w:rPr>
          <w:rFonts w:cstheme="minorHAnsi"/>
        </w:rPr>
      </w:pPr>
      <w:r w:rsidRPr="00E3607D">
        <w:rPr>
          <w:rFonts w:cstheme="minorHAnsi"/>
        </w:rPr>
        <w:t xml:space="preserve">Le versement de cette rémunération, déterminée sur une base mensuelle, est assurée par l’Agence de services et de paiement (ASP). </w:t>
      </w:r>
    </w:p>
    <w:p w14:paraId="087F0B61" w14:textId="77777777" w:rsidR="00E3607D" w:rsidRPr="00E3607D" w:rsidRDefault="00E3607D" w:rsidP="00E3607D">
      <w:pPr>
        <w:rPr>
          <w:rFonts w:cstheme="minorHAnsi"/>
        </w:rPr>
      </w:pPr>
      <w:r w:rsidRPr="00E3607D">
        <w:rPr>
          <w:rFonts w:cstheme="minorHAnsi"/>
        </w:rPr>
        <w:t>Les rémunérations versées ainsi que, le cas échéant, les sommes payées au titre des cotisations de sécurité sociale afférentes à ces rémunérations font l'objet de retenues proportionnelles à la durée des absences non justifiées aux stages concernés.</w:t>
      </w:r>
    </w:p>
    <w:p w14:paraId="0CE42B88" w14:textId="77777777" w:rsidR="00E3607D" w:rsidRPr="00E3607D" w:rsidRDefault="00E3607D" w:rsidP="00E3607D">
      <w:pPr>
        <w:rPr>
          <w:rFonts w:cstheme="minorHAnsi"/>
        </w:rPr>
      </w:pPr>
      <w:r w:rsidRPr="00E3607D">
        <w:rPr>
          <w:rFonts w:cstheme="minorHAnsi"/>
        </w:rPr>
        <w:t>Le recouvrement des sommes indûment versées est opéré par l'ASP qui pourra accorder, lorsque la situation du débiteur le justifie, une remise partielle ou totale de dette.</w:t>
      </w:r>
    </w:p>
    <w:p w14:paraId="2866C917" w14:textId="0307187F" w:rsidR="00E3607D" w:rsidRPr="00106E2C" w:rsidRDefault="00E3607D" w:rsidP="00D54DDF">
      <w:pPr>
        <w:pStyle w:val="Paragraphedeliste"/>
        <w:numPr>
          <w:ilvl w:val="0"/>
          <w:numId w:val="38"/>
        </w:numPr>
        <w:rPr>
          <w:rFonts w:cstheme="minorHAnsi"/>
          <w:b/>
          <w:bCs/>
          <w:i/>
          <w:iCs/>
          <w:u w:val="single"/>
        </w:rPr>
      </w:pPr>
      <w:r w:rsidRPr="00106E2C">
        <w:rPr>
          <w:rFonts w:cstheme="minorHAnsi"/>
          <w:b/>
          <w:bCs/>
          <w:i/>
          <w:iCs/>
          <w:u w:val="single"/>
        </w:rPr>
        <w:t xml:space="preserve">Taux de remboursement par l’Etat </w:t>
      </w:r>
    </w:p>
    <w:p w14:paraId="0A3D322E" w14:textId="77777777" w:rsidR="00E3607D" w:rsidRPr="00E3607D" w:rsidRDefault="00E3607D" w:rsidP="00E3607D">
      <w:pPr>
        <w:rPr>
          <w:rFonts w:cstheme="minorHAnsi"/>
        </w:rPr>
      </w:pPr>
      <w:r w:rsidRPr="00E3607D">
        <w:rPr>
          <w:rFonts w:cstheme="minorHAnsi"/>
        </w:rPr>
        <w:t>Le taux de remboursement par l'Etat de la rémunération maintenue aux stagiaires par leurs employeurs ne peut dépasser :</w:t>
      </w:r>
    </w:p>
    <w:p w14:paraId="68BAB260" w14:textId="409DFD68" w:rsidR="00E3607D" w:rsidRPr="00106E2C" w:rsidRDefault="00E3607D" w:rsidP="00D54DDF">
      <w:pPr>
        <w:pStyle w:val="Paragraphedeliste"/>
        <w:numPr>
          <w:ilvl w:val="0"/>
          <w:numId w:val="42"/>
        </w:numPr>
        <w:rPr>
          <w:rFonts w:cstheme="minorHAnsi"/>
        </w:rPr>
      </w:pPr>
      <w:r w:rsidRPr="00106E2C">
        <w:rPr>
          <w:rFonts w:cstheme="minorHAnsi"/>
        </w:rPr>
        <w:t>50 % dans le cas de création d'emplois ou de modification du processus de production ;</w:t>
      </w:r>
    </w:p>
    <w:p w14:paraId="5F9B2DA1" w14:textId="7092F27B" w:rsidR="00E3607D" w:rsidRPr="00106E2C" w:rsidRDefault="00E3607D" w:rsidP="00D54DDF">
      <w:pPr>
        <w:pStyle w:val="Paragraphedeliste"/>
        <w:numPr>
          <w:ilvl w:val="0"/>
          <w:numId w:val="42"/>
        </w:numPr>
        <w:rPr>
          <w:rFonts w:cstheme="minorHAnsi"/>
        </w:rPr>
      </w:pPr>
      <w:r w:rsidRPr="00106E2C">
        <w:rPr>
          <w:rFonts w:cstheme="minorHAnsi"/>
        </w:rPr>
        <w:t>70 % dans le cas de réduction d'effectif ou de cessation d'activité.</w:t>
      </w:r>
    </w:p>
    <w:p w14:paraId="5F326BC1" w14:textId="77777777" w:rsidR="00E3607D" w:rsidRPr="00E3607D" w:rsidRDefault="00E3607D" w:rsidP="00E3607D">
      <w:pPr>
        <w:rPr>
          <w:rFonts w:cstheme="minorHAnsi"/>
        </w:rPr>
      </w:pPr>
      <w:r w:rsidRPr="00E3607D">
        <w:rPr>
          <w:rFonts w:cstheme="minorHAnsi"/>
        </w:rPr>
        <w:t>Dans le cas des conventions prévoyant le financement d'une action d'adaptation au poste de travail ou d'une action de formation par le Fonds national de l'emploi, le taux de remboursement ne peut dépasser :</w:t>
      </w:r>
    </w:p>
    <w:p w14:paraId="2C5CA507" w14:textId="2DD3872B" w:rsidR="00E3607D" w:rsidRPr="00106E2C" w:rsidRDefault="00E3607D" w:rsidP="00106E2C">
      <w:pPr>
        <w:pStyle w:val="Paragraphedeliste"/>
        <w:numPr>
          <w:ilvl w:val="0"/>
          <w:numId w:val="5"/>
        </w:numPr>
        <w:rPr>
          <w:rFonts w:cstheme="minorHAnsi"/>
        </w:rPr>
      </w:pPr>
      <w:r w:rsidRPr="00106E2C">
        <w:rPr>
          <w:rFonts w:cstheme="minorHAnsi"/>
        </w:rPr>
        <w:lastRenderedPageBreak/>
        <w:t>50 % pour les actions d'adaptation ;</w:t>
      </w:r>
    </w:p>
    <w:p w14:paraId="516B0B7B" w14:textId="47674B3E" w:rsidR="001E79E2" w:rsidRPr="00106E2C" w:rsidRDefault="00E3607D" w:rsidP="00106E2C">
      <w:pPr>
        <w:pStyle w:val="Paragraphedeliste"/>
        <w:numPr>
          <w:ilvl w:val="0"/>
          <w:numId w:val="5"/>
        </w:numPr>
        <w:rPr>
          <w:rFonts w:cstheme="minorHAnsi"/>
        </w:rPr>
      </w:pPr>
      <w:r w:rsidRPr="00106E2C">
        <w:rPr>
          <w:rFonts w:cstheme="minorHAnsi"/>
        </w:rPr>
        <w:t>70 % pour les actions de formation.</w:t>
      </w:r>
    </w:p>
    <w:p w14:paraId="639B5D37" w14:textId="77777777" w:rsidR="001E79E2" w:rsidRDefault="001E79E2" w:rsidP="001E79E2"/>
    <w:p w14:paraId="5A53F9C5" w14:textId="363736B2" w:rsidR="001E79E2" w:rsidRPr="00BA1E49" w:rsidRDefault="00285F4E" w:rsidP="001E79E2">
      <w:pPr>
        <w:pStyle w:val="Titre3"/>
      </w:pPr>
      <w:bookmarkStart w:id="75" w:name="_Toc74651361"/>
      <w:r>
        <w:t>Nouvelle carte d’identité</w:t>
      </w:r>
      <w:bookmarkEnd w:id="75"/>
    </w:p>
    <w:p w14:paraId="76F0D958" w14:textId="2859DD25" w:rsidR="001E79E2" w:rsidRDefault="001E79E2" w:rsidP="006D3AAB">
      <w:pPr>
        <w:spacing w:before="0" w:after="0"/>
        <w:rPr>
          <w:rFonts w:cstheme="minorHAnsi"/>
        </w:rPr>
      </w:pPr>
      <w:r w:rsidRPr="00E45B66">
        <w:rPr>
          <w:rFonts w:cstheme="minorHAnsi"/>
          <w:b/>
          <w:color w:val="0070C0"/>
        </w:rPr>
        <w:t>Slide</w:t>
      </w:r>
      <w:r>
        <w:rPr>
          <w:rFonts w:cstheme="minorHAnsi"/>
          <w:b/>
          <w:color w:val="0070C0"/>
        </w:rPr>
        <w:t xml:space="preserve"> </w:t>
      </w:r>
      <w:r w:rsidR="006D3AAB">
        <w:rPr>
          <w:rFonts w:cstheme="minorHAnsi"/>
          <w:b/>
          <w:color w:val="0070C0"/>
        </w:rPr>
        <w:t>87</w:t>
      </w:r>
    </w:p>
    <w:p w14:paraId="70BB7E17" w14:textId="1CD708AB" w:rsidR="001E79E2" w:rsidRPr="005B2C90" w:rsidRDefault="001E79E2" w:rsidP="001E79E2">
      <w:pPr>
        <w:rPr>
          <w:rFonts w:cstheme="minorHAnsi"/>
        </w:rPr>
      </w:pPr>
      <w:r w:rsidRPr="00451FF7">
        <w:rPr>
          <w:rFonts w:cstheme="minorHAnsi"/>
        </w:rPr>
        <w:t>Source </w:t>
      </w:r>
      <w:r w:rsidRPr="002545F5">
        <w:rPr>
          <w:rFonts w:cstheme="minorHAnsi"/>
        </w:rPr>
        <w:t xml:space="preserve">: </w:t>
      </w:r>
      <w:r w:rsidR="005B2C90" w:rsidRPr="005B2C90">
        <w:rPr>
          <w:rFonts w:cstheme="minorHAnsi"/>
        </w:rPr>
        <w:t>Arrêté du 11 mai 2021 portant application du décret n° 2021-279 du 13 mars 2021 portant diverses dispositions relatives à la carte nationale d'identité et au traitement de données à caractère personnel dénommé « titres électroniques sécurisés » (TES)</w:t>
      </w:r>
    </w:p>
    <w:p w14:paraId="63E13722" w14:textId="77777777" w:rsidR="001E79E2" w:rsidRPr="005B73D2" w:rsidRDefault="001E79E2" w:rsidP="001E79E2">
      <w:pPr>
        <w:pStyle w:val="Titre4"/>
        <w:rPr>
          <w:rStyle w:val="txt"/>
        </w:rPr>
      </w:pPr>
      <w:r w:rsidRPr="004858FF">
        <w:rPr>
          <w:rStyle w:val="txt"/>
        </w:rPr>
        <w:t>ce qu’il faut savoir…</w:t>
      </w:r>
    </w:p>
    <w:p w14:paraId="513DD8EB" w14:textId="77777777" w:rsidR="00855D09" w:rsidRPr="00855D09" w:rsidRDefault="00855D09" w:rsidP="00855D09">
      <w:pPr>
        <w:rPr>
          <w:rFonts w:cstheme="minorHAnsi"/>
        </w:rPr>
      </w:pPr>
      <w:r w:rsidRPr="00855D09">
        <w:rPr>
          <w:rFonts w:cstheme="minorHAnsi"/>
        </w:rPr>
        <w:t>Pour mémoire, une nouvelle carte nationale d’identité est en cours de déploiement sur l’ensemble du territoire français pour lutter contre l’usurpation d’identité.</w:t>
      </w:r>
    </w:p>
    <w:p w14:paraId="4CB7907A" w14:textId="77777777" w:rsidR="00855D09" w:rsidRPr="00855D09" w:rsidRDefault="00855D09" w:rsidP="00855D09">
      <w:pPr>
        <w:rPr>
          <w:rFonts w:cstheme="minorHAnsi"/>
        </w:rPr>
      </w:pPr>
      <w:r w:rsidRPr="00855D09">
        <w:rPr>
          <w:rFonts w:cstheme="minorHAnsi"/>
        </w:rPr>
        <w:t>Celle-ci est équipée :</w:t>
      </w:r>
    </w:p>
    <w:p w14:paraId="392E81BF" w14:textId="211736F6" w:rsidR="00855D09" w:rsidRPr="00855D09" w:rsidRDefault="00855D09" w:rsidP="00855D09">
      <w:pPr>
        <w:pStyle w:val="Paragraphedeliste"/>
        <w:numPr>
          <w:ilvl w:val="0"/>
          <w:numId w:val="128"/>
        </w:numPr>
        <w:rPr>
          <w:rFonts w:cstheme="minorHAnsi"/>
        </w:rPr>
      </w:pPr>
      <w:r w:rsidRPr="00855D09">
        <w:rPr>
          <w:rFonts w:cstheme="minorHAnsi"/>
        </w:rPr>
        <w:t>d’une puce électronique, qui comprend notamment une photo du titulaire de la carte, ses éléments d’identité (nom, prénoms, date et lieu de naissance, adresse, etc.) ainsi que ses empreintes digitales (sauf pour les mineurs de moins de 12 ans) ;</w:t>
      </w:r>
    </w:p>
    <w:p w14:paraId="483445AB" w14:textId="36085549" w:rsidR="00855D09" w:rsidRPr="00855D09" w:rsidRDefault="00855D09" w:rsidP="00855D09">
      <w:pPr>
        <w:pStyle w:val="Paragraphedeliste"/>
        <w:numPr>
          <w:ilvl w:val="0"/>
          <w:numId w:val="128"/>
        </w:numPr>
        <w:rPr>
          <w:rFonts w:cstheme="minorHAnsi"/>
        </w:rPr>
      </w:pPr>
      <w:r w:rsidRPr="00855D09">
        <w:rPr>
          <w:rFonts w:cstheme="minorHAnsi"/>
        </w:rPr>
        <w:t>d’un cachet électronique visuel (CEV) visé par l’Etat, qui contient l’ensemble des données inscrites sur la carte et qui en permet une lecture automatique.</w:t>
      </w:r>
    </w:p>
    <w:p w14:paraId="18617D53" w14:textId="77777777" w:rsidR="00855D09" w:rsidRPr="00855D09" w:rsidRDefault="00855D09" w:rsidP="00855D09">
      <w:pPr>
        <w:rPr>
          <w:rFonts w:cstheme="minorHAnsi"/>
        </w:rPr>
      </w:pPr>
      <w:r w:rsidRPr="00855D09">
        <w:rPr>
          <w:rFonts w:cstheme="minorHAnsi"/>
        </w:rPr>
        <w:t>Le calendrier du déploiement de la nouvelle carte est le suivant :</w:t>
      </w:r>
    </w:p>
    <w:p w14:paraId="6F11A893" w14:textId="14D92D58" w:rsidR="00855D09" w:rsidRPr="00855D09" w:rsidRDefault="00855D09" w:rsidP="00855D09">
      <w:pPr>
        <w:pStyle w:val="Paragraphedeliste"/>
        <w:numPr>
          <w:ilvl w:val="0"/>
          <w:numId w:val="129"/>
        </w:numPr>
        <w:rPr>
          <w:rFonts w:cstheme="minorHAnsi"/>
        </w:rPr>
      </w:pPr>
      <w:r w:rsidRPr="00855D09">
        <w:rPr>
          <w:rFonts w:cstheme="minorHAnsi"/>
        </w:rPr>
        <w:t>depuis le 15 mars 2021 pour le département de l’Oise ;</w:t>
      </w:r>
    </w:p>
    <w:p w14:paraId="137CFDED" w14:textId="2212D749" w:rsidR="00855D09" w:rsidRPr="00855D09" w:rsidRDefault="00855D09" w:rsidP="00855D09">
      <w:pPr>
        <w:pStyle w:val="Paragraphedeliste"/>
        <w:numPr>
          <w:ilvl w:val="0"/>
          <w:numId w:val="129"/>
        </w:numPr>
        <w:rPr>
          <w:rFonts w:cstheme="minorHAnsi"/>
        </w:rPr>
      </w:pPr>
      <w:r w:rsidRPr="00855D09">
        <w:rPr>
          <w:rFonts w:cstheme="minorHAnsi"/>
        </w:rPr>
        <w:t>depuis le 29 mars 2021 pour les départements de la Seine Maritime et La Réunion ;</w:t>
      </w:r>
    </w:p>
    <w:p w14:paraId="3D261D94" w14:textId="4E4E32B9" w:rsidR="00855D09" w:rsidRPr="00855D09" w:rsidRDefault="00855D09" w:rsidP="00855D09">
      <w:pPr>
        <w:pStyle w:val="Paragraphedeliste"/>
        <w:numPr>
          <w:ilvl w:val="0"/>
          <w:numId w:val="129"/>
        </w:numPr>
        <w:rPr>
          <w:rFonts w:cstheme="minorHAnsi"/>
        </w:rPr>
      </w:pPr>
      <w:r w:rsidRPr="00855D09">
        <w:rPr>
          <w:rFonts w:cstheme="minorHAnsi"/>
        </w:rPr>
        <w:t>depuis le 17 mai 2021 pour les territoires suivants : Aisne, Nord, Pas-de-Calais, Somme, Calvados, Eure, Manche, Orne, Guadeloupe, Guyane, Martinique, Mayotte, Saint-Barthélemy, Saint-Martin, Saint-Pierre-et-Miquelon, les îles Wallis et Futuna, Polynésie française, Nouvelle-Calédonie, Terres australes et antarctiques françaises ;</w:t>
      </w:r>
    </w:p>
    <w:p w14:paraId="7A497E3E" w14:textId="676DDBDC" w:rsidR="00855D09" w:rsidRPr="00855D09" w:rsidRDefault="00855D09" w:rsidP="00855D09">
      <w:pPr>
        <w:pStyle w:val="Paragraphedeliste"/>
        <w:numPr>
          <w:ilvl w:val="0"/>
          <w:numId w:val="129"/>
        </w:numPr>
        <w:rPr>
          <w:rFonts w:cstheme="minorHAnsi"/>
        </w:rPr>
      </w:pPr>
      <w:r w:rsidRPr="00855D09">
        <w:rPr>
          <w:rFonts w:cstheme="minorHAnsi"/>
        </w:rPr>
        <w:t>à partir du 31 mai 2021 pour les territoires suivants : Paris, Essonne, Val-de-Marne, Yvelines, Val-d'Oise, Seine-Saint-Denis, Seine-et-Marne, Hauts-de-Seine, Ardennes, Aube, Marne, Haute-Marne, Meurthe-et-Moselle, Meuse, Moselle, Bas-Rhin, Haut-Rhin, Vosges ;</w:t>
      </w:r>
    </w:p>
    <w:p w14:paraId="707D1BAA" w14:textId="71D53E9A" w:rsidR="00855D09" w:rsidRPr="00855D09" w:rsidRDefault="00855D09" w:rsidP="00855D09">
      <w:pPr>
        <w:pStyle w:val="Paragraphedeliste"/>
        <w:numPr>
          <w:ilvl w:val="0"/>
          <w:numId w:val="129"/>
        </w:numPr>
        <w:rPr>
          <w:rFonts w:cstheme="minorHAnsi"/>
        </w:rPr>
      </w:pPr>
      <w:r w:rsidRPr="00855D09">
        <w:rPr>
          <w:rFonts w:cstheme="minorHAnsi"/>
        </w:rPr>
        <w:t>à partir du 14 juin 2021 pour les territoires suivants : Côtes d'Armor, Finistère, Ille-et-Vilaine, Morbihan, Cher, Eure-et-Loir, Indre, Indre-et-Loire, Loir-et-Cher, Loiret, Loire-Atlantique, Maine-et-Loire, Mayenne, Sarthe, Vendée, Charente, Charente-Maritime, Corrèze, Creuse, Dordogne, Gironde, Landes, Lot-et-Garonne, Pyrénées-Atlantiques, Deux-Sèvres, Vienne, Haute-Vienne, Côte-d'Or, Doubs, Jura, Nièvre, Haute-Saône, Saône-et- Loire, Yonne, Territoire de Belfort ;</w:t>
      </w:r>
    </w:p>
    <w:p w14:paraId="0A9B2E70" w14:textId="0B2DD8C6" w:rsidR="00855D09" w:rsidRPr="00855D09" w:rsidRDefault="00855D09" w:rsidP="00855D09">
      <w:pPr>
        <w:pStyle w:val="Paragraphedeliste"/>
        <w:numPr>
          <w:ilvl w:val="0"/>
          <w:numId w:val="129"/>
        </w:numPr>
        <w:rPr>
          <w:rFonts w:cstheme="minorHAnsi"/>
        </w:rPr>
      </w:pPr>
      <w:r w:rsidRPr="00855D09">
        <w:rPr>
          <w:rFonts w:cstheme="minorHAnsi"/>
        </w:rPr>
        <w:t>à partir du 28 juin 2021 pour les territoires suivants : Corse-du-Sud, Haute-Corse, Ariège, Aude, Aveyron, Gard, Haute-Garonne, Gers, Hérault, Lot, Lozère, Hautes-Pyrénées, Pyrénées-Orientales, Tarn, Tarn-et-Garonne, Ain, Allier, Ardèche, Cantal, Drôme, Isère, Loire, Haute-Loire, Puy-de-Dôme, Rhône, Savoie, Haute-Savoie, Alpes-de-Haute-Provence, Hautes-Alpes, Alpes-Maritimes, Bouches-du-Rhône, Var, Vaucluse.</w:t>
      </w:r>
    </w:p>
    <w:p w14:paraId="50C21796" w14:textId="410FB5ED" w:rsidR="00DA3827" w:rsidRDefault="00855D09">
      <w:pPr>
        <w:rPr>
          <w:rFonts w:cstheme="minorHAnsi"/>
        </w:rPr>
      </w:pPr>
      <w:r w:rsidRPr="00855D09">
        <w:rPr>
          <w:rFonts w:cstheme="minorHAnsi"/>
        </w:rPr>
        <w:t>Notez qu’à compter du 2 août 2021, les cartes nationales d’identité correspondant à « l’ancien format » ne pourront plus être délivrées.</w:t>
      </w:r>
      <w:r w:rsidR="00DA3827">
        <w:rPr>
          <w:rFonts w:cstheme="minorHAnsi"/>
        </w:rPr>
        <w:br w:type="page"/>
      </w:r>
    </w:p>
    <w:p w14:paraId="6E6A2FEC" w14:textId="77777777" w:rsidR="001E79E2" w:rsidRPr="00451FF7" w:rsidRDefault="001E79E2" w:rsidP="00855D09">
      <w:pPr>
        <w:rPr>
          <w:rFonts w:cstheme="minorHAnsi"/>
        </w:rPr>
      </w:pPr>
    </w:p>
    <w:p w14:paraId="1B015E2C" w14:textId="186427F2" w:rsidR="001E79E2" w:rsidRDefault="001E79E2" w:rsidP="001E79E2"/>
    <w:p w14:paraId="29640617" w14:textId="28341C99" w:rsidR="00183DA0" w:rsidRPr="00564FF0" w:rsidRDefault="00183DA0" w:rsidP="00183DA0">
      <w:pPr>
        <w:rPr>
          <w:b/>
          <w:color w:val="002060"/>
        </w:rPr>
      </w:pPr>
    </w:p>
    <w:p w14:paraId="7D4A6A4E" w14:textId="77777777" w:rsidR="00183DA0" w:rsidRDefault="00183DA0" w:rsidP="00183DA0">
      <w:pPr>
        <w:rPr>
          <w:rStyle w:val="txt"/>
        </w:rPr>
      </w:pPr>
    </w:p>
    <w:p w14:paraId="2ADD3D41" w14:textId="77777777" w:rsidR="00183DA0" w:rsidRDefault="00183DA0" w:rsidP="00183DA0"/>
    <w:p w14:paraId="0483B777" w14:textId="77777777" w:rsidR="00183DA0" w:rsidRDefault="00183DA0" w:rsidP="00183DA0"/>
    <w:p w14:paraId="4C220355" w14:textId="77777777" w:rsidR="00183DA0" w:rsidRDefault="00183DA0" w:rsidP="00183DA0"/>
    <w:p w14:paraId="4FE6A912" w14:textId="77777777" w:rsidR="00183DA0" w:rsidRDefault="00183DA0" w:rsidP="00183DA0"/>
    <w:p w14:paraId="5EF10588" w14:textId="77777777" w:rsidR="00183DA0" w:rsidRDefault="00183DA0" w:rsidP="00183DA0"/>
    <w:p w14:paraId="5F6E251F" w14:textId="77777777" w:rsidR="00183DA0" w:rsidRDefault="00183DA0" w:rsidP="00183DA0"/>
    <w:p w14:paraId="1F92F3A0" w14:textId="77777777" w:rsidR="00183DA0" w:rsidRDefault="00183DA0" w:rsidP="00183DA0"/>
    <w:p w14:paraId="63990109" w14:textId="77777777" w:rsidR="00183DA0" w:rsidRDefault="00183DA0" w:rsidP="00183DA0"/>
    <w:p w14:paraId="23677C11" w14:textId="77777777" w:rsidR="00163F28" w:rsidRPr="00B36683" w:rsidRDefault="00163F28" w:rsidP="00CB57AF">
      <w:pPr>
        <w:pStyle w:val="Titre1"/>
      </w:pPr>
      <w:bookmarkStart w:id="76" w:name="_Toc74651362"/>
      <w:r>
        <w:t>L</w:t>
      </w:r>
      <w:r w:rsidR="00FF3DF8">
        <w:t>ES PROJETS DE REFORMES EN COURS</w:t>
      </w:r>
      <w:bookmarkEnd w:id="76"/>
    </w:p>
    <w:p w14:paraId="540F558B" w14:textId="77777777" w:rsidR="00163F28" w:rsidRDefault="00163F28" w:rsidP="00163F28">
      <w:pPr>
        <w:rPr>
          <w:rStyle w:val="txt"/>
        </w:rPr>
      </w:pPr>
      <w:r>
        <w:rPr>
          <w:rStyle w:val="txt"/>
        </w:rPr>
        <w:br w:type="page"/>
      </w:r>
    </w:p>
    <w:p w14:paraId="18E41C61" w14:textId="77777777" w:rsidR="00957311" w:rsidRPr="00BA1E49" w:rsidRDefault="00957311" w:rsidP="00957311">
      <w:pPr>
        <w:pStyle w:val="Titre3"/>
      </w:pPr>
      <w:bookmarkStart w:id="77" w:name="_Toc50632032"/>
      <w:bookmarkStart w:id="78" w:name="_Toc53564782"/>
      <w:bookmarkStart w:id="79" w:name="_Toc56428725"/>
      <w:bookmarkStart w:id="80" w:name="_Toc58929010"/>
      <w:bookmarkStart w:id="81" w:name="_Toc64285901"/>
      <w:bookmarkStart w:id="82" w:name="_Toc66348861"/>
      <w:bookmarkStart w:id="83" w:name="_Toc69222354"/>
      <w:bookmarkStart w:id="84" w:name="_Toc71898854"/>
      <w:bookmarkStart w:id="85" w:name="_Toc74651363"/>
      <w:r>
        <w:lastRenderedPageBreak/>
        <w:t>Projet de Loi relatif à la bioéthique</w:t>
      </w:r>
      <w:bookmarkEnd w:id="77"/>
      <w:bookmarkEnd w:id="78"/>
      <w:bookmarkEnd w:id="79"/>
      <w:bookmarkEnd w:id="80"/>
      <w:bookmarkEnd w:id="81"/>
      <w:bookmarkEnd w:id="82"/>
      <w:bookmarkEnd w:id="83"/>
      <w:bookmarkEnd w:id="84"/>
      <w:bookmarkEnd w:id="85"/>
    </w:p>
    <w:p w14:paraId="022179CD" w14:textId="30D8650B" w:rsidR="00957311" w:rsidRDefault="00957311" w:rsidP="00957311">
      <w:pPr>
        <w:spacing w:before="0" w:after="0"/>
        <w:rPr>
          <w:rFonts w:cstheme="minorHAnsi"/>
        </w:rPr>
      </w:pPr>
      <w:r w:rsidRPr="00E45B66">
        <w:rPr>
          <w:rFonts w:cstheme="minorHAnsi"/>
          <w:b/>
          <w:color w:val="0070C0"/>
        </w:rPr>
        <w:t>Slide</w:t>
      </w:r>
      <w:r>
        <w:rPr>
          <w:rFonts w:cstheme="minorHAnsi"/>
          <w:b/>
          <w:color w:val="0070C0"/>
        </w:rPr>
        <w:t xml:space="preserve"> </w:t>
      </w:r>
      <w:r w:rsidR="006D3AAB">
        <w:rPr>
          <w:rFonts w:cstheme="minorHAnsi"/>
          <w:b/>
          <w:color w:val="0070C0"/>
        </w:rPr>
        <w:t>89</w:t>
      </w:r>
    </w:p>
    <w:p w14:paraId="594A68AA" w14:textId="77777777" w:rsidR="00957311" w:rsidRDefault="00957311" w:rsidP="00957311">
      <w:r w:rsidRPr="00451FF7">
        <w:rPr>
          <w:rFonts w:cstheme="minorHAnsi"/>
        </w:rPr>
        <w:t>Source </w:t>
      </w:r>
      <w:r w:rsidRPr="002545F5">
        <w:rPr>
          <w:rFonts w:cstheme="minorHAnsi"/>
        </w:rPr>
        <w:t xml:space="preserve">: </w:t>
      </w:r>
      <w:r w:rsidRPr="001A2E29">
        <w:t xml:space="preserve">Projet de loi </w:t>
      </w:r>
      <w:r>
        <w:t>relatif à la bioéthique</w:t>
      </w:r>
    </w:p>
    <w:p w14:paraId="169E2EA2" w14:textId="77777777" w:rsidR="00957311" w:rsidRPr="005B73D2" w:rsidRDefault="00957311" w:rsidP="00957311">
      <w:pPr>
        <w:pStyle w:val="Titre4"/>
        <w:rPr>
          <w:rStyle w:val="txt"/>
        </w:rPr>
      </w:pPr>
      <w:r w:rsidRPr="004858FF">
        <w:rPr>
          <w:rStyle w:val="txt"/>
        </w:rPr>
        <w:t>ce qu’il faut savoir…</w:t>
      </w:r>
    </w:p>
    <w:p w14:paraId="48AE7A35" w14:textId="6EF4DCBC" w:rsidR="000C04F5" w:rsidRDefault="000C04F5" w:rsidP="00957311"/>
    <w:p w14:paraId="732EE4E4" w14:textId="33D09EB9" w:rsidR="000C04F5" w:rsidRDefault="000C04F5" w:rsidP="00957311">
      <w:r>
        <w:t xml:space="preserve">Depuis le </w:t>
      </w:r>
      <w:r w:rsidR="00D41A2C">
        <w:t>1</w:t>
      </w:r>
      <w:r w:rsidR="00D41A2C" w:rsidRPr="00117695">
        <w:rPr>
          <w:vertAlign w:val="superscript"/>
        </w:rPr>
        <w:t>er</w:t>
      </w:r>
      <w:r w:rsidR="00D41A2C">
        <w:t xml:space="preserve"> juin 2021, le projet de loi relatif à la bioéthique est en cours de discussion à l’Assemblée Nationale. </w:t>
      </w:r>
      <w:r w:rsidR="002E46FB">
        <w:t>Voici les principales mesures de ce projet de loi.</w:t>
      </w:r>
    </w:p>
    <w:p w14:paraId="23B51EBB" w14:textId="77777777" w:rsidR="000C04F5" w:rsidRDefault="000C04F5" w:rsidP="00957311"/>
    <w:p w14:paraId="53CEB587" w14:textId="77777777" w:rsidR="00957311" w:rsidRPr="004F5E39" w:rsidRDefault="00957311" w:rsidP="00957311">
      <w:pPr>
        <w:pStyle w:val="Paragraphedeliste"/>
        <w:numPr>
          <w:ilvl w:val="0"/>
          <w:numId w:val="1"/>
        </w:numPr>
        <w:rPr>
          <w:b/>
          <w:i/>
          <w:u w:val="single"/>
        </w:rPr>
      </w:pPr>
      <w:r>
        <w:rPr>
          <w:b/>
          <w:i/>
          <w:u w:val="single"/>
        </w:rPr>
        <w:t>Permettre</w:t>
      </w:r>
      <w:r w:rsidRPr="004F5E39">
        <w:rPr>
          <w:b/>
          <w:i/>
          <w:u w:val="single"/>
        </w:rPr>
        <w:t xml:space="preserve"> d’exercer un choix éclairé en matière de procréation dans</w:t>
      </w:r>
      <w:r>
        <w:rPr>
          <w:b/>
          <w:i/>
          <w:u w:val="single"/>
        </w:rPr>
        <w:t xml:space="preserve"> </w:t>
      </w:r>
      <w:r w:rsidRPr="004F5E39">
        <w:rPr>
          <w:b/>
          <w:i/>
          <w:u w:val="single"/>
        </w:rPr>
        <w:t>un cadre ma</w:t>
      </w:r>
      <w:r>
        <w:rPr>
          <w:b/>
          <w:i/>
          <w:u w:val="single"/>
        </w:rPr>
        <w:t>î</w:t>
      </w:r>
      <w:r w:rsidRPr="004F5E39">
        <w:rPr>
          <w:b/>
          <w:i/>
          <w:u w:val="single"/>
        </w:rPr>
        <w:t>trisé</w:t>
      </w:r>
    </w:p>
    <w:p w14:paraId="3C16DD86" w14:textId="77777777" w:rsidR="00957311" w:rsidRDefault="00957311" w:rsidP="00957311">
      <w:r>
        <w:t xml:space="preserve">Le projet de Loi prévoit d’élargir </w:t>
      </w:r>
      <w:r w:rsidRPr="004F5E39">
        <w:t xml:space="preserve">l’accès à l’assistance médicale à la procréation aux couples de femmes et aux femmes non mariées. Le critère médical d’infertilité, qui aujourd’hui conditionne cet accès est supprimé. La prise en charge par l’assurance maladie reste identique et est étendue aux nouveaux publics éligibles. </w:t>
      </w:r>
    </w:p>
    <w:p w14:paraId="543D4395" w14:textId="77777777" w:rsidR="00957311" w:rsidRDefault="00957311" w:rsidP="00957311">
      <w:r>
        <w:t xml:space="preserve">Le projet de Loi </w:t>
      </w:r>
      <w:r w:rsidRPr="004F5E39">
        <w:t>supprime également la notion imprécise d’</w:t>
      </w:r>
      <w:r>
        <w:t>« </w:t>
      </w:r>
      <w:r w:rsidRPr="004F5E39">
        <w:t>âge de</w:t>
      </w:r>
      <w:r>
        <w:t xml:space="preserve"> </w:t>
      </w:r>
      <w:r w:rsidRPr="004F5E39">
        <w:t>procréer</w:t>
      </w:r>
      <w:r>
        <w:t> »</w:t>
      </w:r>
      <w:r w:rsidRPr="004F5E39">
        <w:t xml:space="preserve"> qui figure dans la </w:t>
      </w:r>
      <w:r>
        <w:t>L</w:t>
      </w:r>
      <w:r w:rsidRPr="004F5E39">
        <w:t xml:space="preserve">oi au profit d’une interprétation incontestable de ce critère. </w:t>
      </w:r>
    </w:p>
    <w:p w14:paraId="4D56862B" w14:textId="77777777" w:rsidR="00957311" w:rsidRDefault="00957311" w:rsidP="00957311">
      <w:r>
        <w:t xml:space="preserve">Par ailleurs, le projet de Loi </w:t>
      </w:r>
      <w:r w:rsidRPr="004F5E39">
        <w:t>permet</w:t>
      </w:r>
      <w:r>
        <w:t xml:space="preserve"> </w:t>
      </w:r>
      <w:r w:rsidRPr="004F5E39">
        <w:t>le recours à un double don de gamètes au cours d’une même tentative d’assistance médicale à la procréation.</w:t>
      </w:r>
    </w:p>
    <w:p w14:paraId="0B65EDB3" w14:textId="77777777" w:rsidR="00957311" w:rsidRDefault="00957311" w:rsidP="00957311">
      <w:r>
        <w:t xml:space="preserve">Une autre mesure du projet de Loi </w:t>
      </w:r>
      <w:r w:rsidRPr="00FE08AB">
        <w:t>met fin à la possibilité de conserver des gamètes pour soi-même au moment du don, dispositif qui pouvait être vu comme créant une contrepartie au don et ouvre la</w:t>
      </w:r>
      <w:r>
        <w:t xml:space="preserve"> </w:t>
      </w:r>
      <w:r w:rsidRPr="00FE08AB">
        <w:t>possibilité d’une autoconservation de gamètes pour les femmes comme pour les hommes.</w:t>
      </w:r>
    </w:p>
    <w:p w14:paraId="605CA9D7" w14:textId="77777777" w:rsidR="00957311" w:rsidRDefault="00957311" w:rsidP="00957311">
      <w:r w:rsidRPr="00FE08AB">
        <w:t>Pour éviter tout effet incitatif, l</w:t>
      </w:r>
      <w:r>
        <w:t xml:space="preserve">e projet de Loi comporte </w:t>
      </w:r>
      <w:r w:rsidRPr="00FE08AB">
        <w:t>des conditions strictes de mise en</w:t>
      </w:r>
      <w:r>
        <w:t xml:space="preserve"> </w:t>
      </w:r>
      <w:r w:rsidRPr="00FE08AB">
        <w:t>œuvre</w:t>
      </w:r>
      <w:r>
        <w:t xml:space="preserve"> de ce dispositif </w:t>
      </w:r>
      <w:r w:rsidRPr="00FE08AB">
        <w:t xml:space="preserve">(des bornes d’âge sont posées, l’activité est réservée aux centres publics et privés à but non lucratif). </w:t>
      </w:r>
      <w:r>
        <w:t>Le projet de Loi prévoit</w:t>
      </w:r>
      <w:r w:rsidRPr="00FE08AB">
        <w:t xml:space="preserve"> la prise en charge des actes afférents au recueil ou au prélèvement de gamètes</w:t>
      </w:r>
      <w:r>
        <w:t xml:space="preserve"> </w:t>
      </w:r>
      <w:r w:rsidRPr="00FE08AB">
        <w:t xml:space="preserve">mais non de la conservation qui reste à la charge des bénéficiaires. </w:t>
      </w:r>
      <w:r>
        <w:t>En outre</w:t>
      </w:r>
      <w:r w:rsidRPr="00FE08AB">
        <w:t xml:space="preserve">, </w:t>
      </w:r>
      <w:r>
        <w:t>le projet de Loi</w:t>
      </w:r>
      <w:r w:rsidRPr="00FE08AB">
        <w:t xml:space="preserve"> met fin au recueil du consentement du conjoint lors d’un don de gamètes.</w:t>
      </w:r>
    </w:p>
    <w:p w14:paraId="5DEC97B0" w14:textId="77777777" w:rsidR="00957311" w:rsidRPr="00FE08AB" w:rsidRDefault="00957311" w:rsidP="00957311">
      <w:pPr>
        <w:pStyle w:val="Paragraphedeliste"/>
        <w:numPr>
          <w:ilvl w:val="0"/>
          <w:numId w:val="1"/>
        </w:numPr>
        <w:rPr>
          <w:b/>
          <w:i/>
          <w:u w:val="single"/>
        </w:rPr>
      </w:pPr>
      <w:r>
        <w:rPr>
          <w:b/>
          <w:i/>
          <w:u w:val="single"/>
        </w:rPr>
        <w:t>R</w:t>
      </w:r>
      <w:r w:rsidRPr="00FE08AB">
        <w:rPr>
          <w:b/>
          <w:i/>
          <w:u w:val="single"/>
        </w:rPr>
        <w:t>econnaître et sécuriser les droits des enfants nés d’assistance médicale à la procréation.</w:t>
      </w:r>
    </w:p>
    <w:p w14:paraId="58841B12" w14:textId="77777777" w:rsidR="00957311" w:rsidRDefault="00957311" w:rsidP="00957311">
      <w:r>
        <w:t xml:space="preserve">Une mesure du projet de Loi ouvre </w:t>
      </w:r>
      <w:r w:rsidRPr="00FE08AB">
        <w:t>un nouveau droit aux personnes nées d’assistance médicale à</w:t>
      </w:r>
      <w:r>
        <w:t xml:space="preserve"> </w:t>
      </w:r>
      <w:r w:rsidRPr="00FE08AB">
        <w:t>la procréation avec tiers donneur qui, à leur majorité, auront la possibilité, sans condition, d’accéder aux informations non identifiantes relatives au tiers donneur ainsi qu’à l’identité de ce</w:t>
      </w:r>
      <w:r>
        <w:t xml:space="preserve"> </w:t>
      </w:r>
      <w:r w:rsidRPr="00FE08AB">
        <w:t>dernier.</w:t>
      </w:r>
    </w:p>
    <w:p w14:paraId="5F0F5D1A" w14:textId="77777777" w:rsidR="00957311" w:rsidRDefault="00957311" w:rsidP="00957311">
      <w:r w:rsidRPr="00FE08AB">
        <w:t xml:space="preserve">En parallèle, </w:t>
      </w:r>
      <w:r>
        <w:t>il</w:t>
      </w:r>
      <w:r w:rsidRPr="00FE08AB">
        <w:t xml:space="preserve"> prévoit également une gestion centralisée des données relatives aux donneurs, aux dons et aux enfants nés de dons par l’Agence de la biomédecine. Il met en place une Commission qui accueillera les demandes des personnes nées de don et sollicitera l’Agence de la biomédecine pour obtenir les informations lui permettant d’exercer ses missions. </w:t>
      </w:r>
    </w:p>
    <w:p w14:paraId="6B7386EF" w14:textId="77777777" w:rsidR="00957311" w:rsidRDefault="00957311" w:rsidP="00957311">
      <w:r w:rsidRPr="00FE08AB">
        <w:t xml:space="preserve">Enfin, </w:t>
      </w:r>
      <w:r>
        <w:t>le projet de Loi</w:t>
      </w:r>
      <w:r w:rsidRPr="00FE08AB">
        <w:t xml:space="preserve"> prévoit un dispositif adapté pour les donneurs et les personnes nées de don qui ne</w:t>
      </w:r>
      <w:r>
        <w:t xml:space="preserve"> </w:t>
      </w:r>
      <w:r w:rsidRPr="00FE08AB">
        <w:t>relèvent pas d</w:t>
      </w:r>
      <w:r>
        <w:t>e la nouvelle réglementation.</w:t>
      </w:r>
    </w:p>
    <w:p w14:paraId="4A0C6C85" w14:textId="77777777" w:rsidR="00957311" w:rsidRDefault="00957311" w:rsidP="00957311">
      <w:pPr>
        <w:pStyle w:val="Paragraphedeliste"/>
        <w:numPr>
          <w:ilvl w:val="0"/>
          <w:numId w:val="1"/>
        </w:numPr>
        <w:rPr>
          <w:b/>
          <w:i/>
          <w:u w:val="single"/>
        </w:rPr>
      </w:pPr>
      <w:r>
        <w:rPr>
          <w:b/>
          <w:i/>
          <w:u w:val="single"/>
        </w:rPr>
        <w:t>Mesures relatives aux</w:t>
      </w:r>
      <w:r w:rsidRPr="00FE08AB">
        <w:rPr>
          <w:b/>
          <w:i/>
          <w:u w:val="single"/>
        </w:rPr>
        <w:t xml:space="preserve"> dons d’organes, de tissus ou de cellules</w:t>
      </w:r>
    </w:p>
    <w:p w14:paraId="59AC0128" w14:textId="77777777" w:rsidR="00957311" w:rsidRPr="00FE08AB" w:rsidRDefault="00957311" w:rsidP="00957311">
      <w:r>
        <w:lastRenderedPageBreak/>
        <w:t xml:space="preserve">Le projet de loi souhaite </w:t>
      </w:r>
      <w:r w:rsidRPr="00FE08AB">
        <w:t>améliorer l’accès à la greffe en accroissant les possibilités de</w:t>
      </w:r>
      <w:r>
        <w:t xml:space="preserve"> </w:t>
      </w:r>
      <w:r w:rsidRPr="00FE08AB">
        <w:t>don croisé d’organes. Pour accompagner cette mesure et plus largement le don du vivant, il</w:t>
      </w:r>
      <w:r>
        <w:t xml:space="preserve"> s</w:t>
      </w:r>
      <w:r w:rsidRPr="00FE08AB">
        <w:t xml:space="preserve">implifie l’organisation et le fonctionnement des comités d’expert </w:t>
      </w:r>
      <w:r>
        <w:t>« </w:t>
      </w:r>
      <w:r w:rsidRPr="00FE08AB">
        <w:t>des</w:t>
      </w:r>
      <w:r>
        <w:t xml:space="preserve"> </w:t>
      </w:r>
      <w:r w:rsidRPr="00FE08AB">
        <w:t>donneurs vivants</w:t>
      </w:r>
      <w:r>
        <w:t> »</w:t>
      </w:r>
      <w:r w:rsidRPr="00FE08AB">
        <w:t xml:space="preserve"> afin d’en faciliter l’accès pour les donneurs.</w:t>
      </w:r>
    </w:p>
    <w:p w14:paraId="36B54961" w14:textId="77777777" w:rsidR="00957311" w:rsidRPr="00FE08AB" w:rsidRDefault="00957311" w:rsidP="00957311">
      <w:r>
        <w:t>Le projet de loi étend</w:t>
      </w:r>
      <w:r w:rsidRPr="00FE08AB">
        <w:t xml:space="preserve"> sous conditions les possibilités de prélèvement de cellules souches hématopoïétiques des mineurs ou majeurs protégés à des fins de greffe au bénéfice de leur père ou mère en l’absence d’autres alternatives.</w:t>
      </w:r>
    </w:p>
    <w:p w14:paraId="63CCCCA7" w14:textId="77777777" w:rsidR="00957311" w:rsidRDefault="00957311" w:rsidP="00957311">
      <w:r>
        <w:t xml:space="preserve">Le projet de loi </w:t>
      </w:r>
      <w:r w:rsidRPr="00FE08AB">
        <w:t>renforce l’autonomie des personnes faisant l’objet d’une mesure de protection juridique avec représentation à leur bien en permettant l’expression de leur</w:t>
      </w:r>
      <w:r>
        <w:t xml:space="preserve"> </w:t>
      </w:r>
      <w:r w:rsidRPr="00FE08AB">
        <w:t>consentement en matière de don d’organes, de tissus et de cellules.</w:t>
      </w:r>
    </w:p>
    <w:p w14:paraId="42D40845" w14:textId="77777777" w:rsidR="00957311" w:rsidRPr="00FE08AB" w:rsidRDefault="00957311" w:rsidP="00957311">
      <w:r>
        <w:t>Enfin, le projet de loi entend promouvoir le don d’organes le plus largement possible. Pour cela, il étend l’obligation d’information des médecins à l’égard des patients âgés de 16 à 25 ans, s’agissant des modalités de consentement au don d’organes à des fins de greffe, aux patients âgés de plus de 25 ans.</w:t>
      </w:r>
    </w:p>
    <w:p w14:paraId="5B4E2498" w14:textId="77777777" w:rsidR="00957311" w:rsidRPr="00FE08AB" w:rsidRDefault="00957311" w:rsidP="00957311">
      <w:pPr>
        <w:pStyle w:val="Paragraphedeliste"/>
        <w:numPr>
          <w:ilvl w:val="0"/>
          <w:numId w:val="1"/>
        </w:numPr>
        <w:rPr>
          <w:b/>
          <w:i/>
          <w:u w:val="single"/>
        </w:rPr>
      </w:pPr>
      <w:r>
        <w:rPr>
          <w:b/>
          <w:i/>
          <w:u w:val="single"/>
        </w:rPr>
        <w:t>T</w:t>
      </w:r>
      <w:r w:rsidRPr="00FE08AB">
        <w:rPr>
          <w:b/>
          <w:i/>
          <w:u w:val="single"/>
        </w:rPr>
        <w:t>ransmission d’une information génétique en cas de rupture du lien de filiation biologique ou d’impossibilité pour une personne d’y consentir</w:t>
      </w:r>
    </w:p>
    <w:p w14:paraId="5FDEB9C7" w14:textId="77777777" w:rsidR="00957311" w:rsidRDefault="00957311" w:rsidP="00957311">
      <w:r>
        <w:t xml:space="preserve">Le projet de Loi prévoit de permettre </w:t>
      </w:r>
      <w:r w:rsidRPr="00FE08AB">
        <w:t xml:space="preserve">la réalisation, dans un cadre maîtrisé, d’un examen des caractéristiques génétiques d’une personne qui ne peut exprimer sa volonté, y compris si elle est décédée, quand cet examen peut permettre aux membres de sa famille de bénéficier de mesures de prévention ou de soins. </w:t>
      </w:r>
    </w:p>
    <w:p w14:paraId="7E89E9F8" w14:textId="77777777" w:rsidR="00957311" w:rsidRPr="00FE08AB" w:rsidRDefault="00957311" w:rsidP="00957311">
      <w:r>
        <w:t xml:space="preserve">Une autre mesure du projet de Loi </w:t>
      </w:r>
      <w:r w:rsidRPr="00FE08AB">
        <w:t>a également pour objet d’encadrer les modalités d’information des membres de la famille potentiellement concernés dans les situations où la</w:t>
      </w:r>
      <w:r>
        <w:t xml:space="preserve"> </w:t>
      </w:r>
      <w:r w:rsidRPr="00FE08AB">
        <w:t>personne n’est pas en mesure d’informer elle-même ses apparentés ou d’autoriser le médecin à</w:t>
      </w:r>
      <w:r>
        <w:t xml:space="preserve"> </w:t>
      </w:r>
      <w:r w:rsidRPr="00FE08AB">
        <w:t>le faire.</w:t>
      </w:r>
    </w:p>
    <w:p w14:paraId="0BE1D7C4" w14:textId="77777777" w:rsidR="00957311" w:rsidRPr="00FE08AB" w:rsidRDefault="00957311" w:rsidP="00957311">
      <w:r>
        <w:t xml:space="preserve">Enfin, le projet de Loi </w:t>
      </w:r>
      <w:r w:rsidRPr="00FE08AB">
        <w:t>permet d’organiser – sans aucune rupture de l’anonymat –</w:t>
      </w:r>
      <w:r>
        <w:t xml:space="preserve"> </w:t>
      </w:r>
      <w:r w:rsidRPr="00FE08AB">
        <w:t>la transmission d’une information médicale de nature génétique du parent de naissance à la personne née dans le</w:t>
      </w:r>
      <w:r>
        <w:t xml:space="preserve"> </w:t>
      </w:r>
      <w:r w:rsidRPr="00FE08AB">
        <w:t>secret, et inversement, en cas de diagnostic, chez l’un ou chez l’autre, d’une anomalie génétique pouvant être responsable d’une affection grave justifiant de mesures de prévention ou de soins. Il complète également le dispositif en vigueur pour la transmission d’une information médicale de nature génétique d’un donneur de gamètes aux personnes nées de son don (sans</w:t>
      </w:r>
      <w:r>
        <w:t xml:space="preserve"> </w:t>
      </w:r>
      <w:r w:rsidRPr="00FE08AB">
        <w:t>aucune rupture de l’anonymat).</w:t>
      </w:r>
    </w:p>
    <w:p w14:paraId="721F39AA" w14:textId="77777777" w:rsidR="00957311" w:rsidRPr="00142CE0" w:rsidRDefault="00957311" w:rsidP="00957311">
      <w:pPr>
        <w:pStyle w:val="Paragraphedeliste"/>
        <w:numPr>
          <w:ilvl w:val="0"/>
          <w:numId w:val="1"/>
        </w:numPr>
        <w:rPr>
          <w:b/>
          <w:i/>
          <w:u w:val="single"/>
        </w:rPr>
      </w:pPr>
      <w:r>
        <w:rPr>
          <w:b/>
          <w:i/>
          <w:u w:val="single"/>
        </w:rPr>
        <w:t>D</w:t>
      </w:r>
      <w:r w:rsidRPr="00142CE0">
        <w:rPr>
          <w:b/>
          <w:i/>
          <w:u w:val="single"/>
        </w:rPr>
        <w:t>iffusion de nouveaux progrès scientifiques et technologiques dans le</w:t>
      </w:r>
      <w:r>
        <w:rPr>
          <w:b/>
          <w:i/>
          <w:u w:val="single"/>
        </w:rPr>
        <w:t xml:space="preserve"> </w:t>
      </w:r>
      <w:r w:rsidRPr="00142CE0">
        <w:rPr>
          <w:b/>
          <w:i/>
          <w:u w:val="single"/>
        </w:rPr>
        <w:t>respect des principes éthiques</w:t>
      </w:r>
    </w:p>
    <w:p w14:paraId="32F42931" w14:textId="77777777" w:rsidR="00957311" w:rsidRDefault="00957311" w:rsidP="00957311">
      <w:r>
        <w:t>Le projet de Loi entend a</w:t>
      </w:r>
      <w:r w:rsidRPr="00142CE0">
        <w:t>dapte</w:t>
      </w:r>
      <w:r>
        <w:t>r</w:t>
      </w:r>
      <w:r w:rsidRPr="00142CE0">
        <w:t xml:space="preserve"> aux nouvelles technologies le cadre du consentement à un examen de génétique. Il permet – sous réserve de son accord – d’informer la personne de découvertes de</w:t>
      </w:r>
      <w:r>
        <w:t xml:space="preserve"> </w:t>
      </w:r>
      <w:r w:rsidRPr="00142CE0">
        <w:t>caractéristiques génétiques sans relation avec l’indication initiale de l’examen (réalisé à des</w:t>
      </w:r>
      <w:r>
        <w:t xml:space="preserve"> </w:t>
      </w:r>
      <w:r w:rsidRPr="00142CE0">
        <w:t>fins médicales ou de recherche scientifique) dès lors que ces informations permettent à la</w:t>
      </w:r>
      <w:r>
        <w:t xml:space="preserve"> </w:t>
      </w:r>
      <w:r w:rsidRPr="00142CE0">
        <w:t>personne ou aux membres de sa famille de bénéficier de mesures de prévention, y compris de</w:t>
      </w:r>
      <w:r>
        <w:t xml:space="preserve"> </w:t>
      </w:r>
      <w:r w:rsidRPr="00142CE0">
        <w:t>conseil génétique, ou de soins.</w:t>
      </w:r>
    </w:p>
    <w:p w14:paraId="5BDD0F25" w14:textId="77777777" w:rsidR="00957311" w:rsidRDefault="00957311" w:rsidP="00957311">
      <w:r>
        <w:t>Une mesure du projet de Loi v</w:t>
      </w:r>
      <w:r w:rsidRPr="00142CE0">
        <w:t>ise à sécuriser la bonne information du patient lorsqu’un traitement algorithmique de données massives (« intelligence artificielle ») est utilisé à l’occasion d’un acte de soins.</w:t>
      </w:r>
    </w:p>
    <w:p w14:paraId="4A9AF02F" w14:textId="77777777" w:rsidR="00957311" w:rsidRPr="00142CE0" w:rsidRDefault="00957311" w:rsidP="00957311">
      <w:r>
        <w:t>Une autre mesure p</w:t>
      </w:r>
      <w:r w:rsidRPr="00142CE0">
        <w:t xml:space="preserve">récise les finalités de recours aux techniques d’enregistrement de l’activité cérébrale. </w:t>
      </w:r>
      <w:r>
        <w:t>Cette mesure</w:t>
      </w:r>
      <w:r w:rsidRPr="00142CE0">
        <w:t xml:space="preserve"> permet d’interdire l’emploi de l’imagerie cérébrale fonctionnelle dans le domaine de</w:t>
      </w:r>
      <w:r>
        <w:t xml:space="preserve"> </w:t>
      </w:r>
      <w:r w:rsidRPr="00142CE0">
        <w:t>l’expertise judiciaire et renforce l’interdiction des discriminations fondées sur les données issues de l’enregistrement de l’activité cérébrale, en particulier en matière de prévention et de</w:t>
      </w:r>
      <w:r>
        <w:t xml:space="preserve"> </w:t>
      </w:r>
      <w:r w:rsidRPr="00142CE0">
        <w:t>couverture des risques.</w:t>
      </w:r>
    </w:p>
    <w:p w14:paraId="34FD0A93" w14:textId="77777777" w:rsidR="00957311" w:rsidRDefault="00957311" w:rsidP="00957311">
      <w:r>
        <w:t xml:space="preserve">Enfin, le projet Loi </w:t>
      </w:r>
      <w:r w:rsidRPr="00142CE0">
        <w:t>confère au ministre chargé de la santé le pouvoir d’interdire, après avis de la</w:t>
      </w:r>
      <w:r>
        <w:t xml:space="preserve"> </w:t>
      </w:r>
      <w:r w:rsidRPr="00142CE0">
        <w:t>Haute autorité de santé, tout dispositif de neuromodulation qui présenterait un danger grave ou</w:t>
      </w:r>
      <w:r>
        <w:t xml:space="preserve"> </w:t>
      </w:r>
      <w:r w:rsidRPr="00142CE0">
        <w:t>une suspicion de danger grave pour la santé humaine.</w:t>
      </w:r>
    </w:p>
    <w:p w14:paraId="6A8B7886" w14:textId="77777777" w:rsidR="00957311" w:rsidRPr="00142CE0" w:rsidRDefault="00957311" w:rsidP="00957311">
      <w:pPr>
        <w:pStyle w:val="Paragraphedeliste"/>
        <w:numPr>
          <w:ilvl w:val="0"/>
          <w:numId w:val="1"/>
        </w:numPr>
        <w:rPr>
          <w:b/>
          <w:i/>
          <w:u w:val="single"/>
        </w:rPr>
      </w:pPr>
      <w:r>
        <w:rPr>
          <w:b/>
          <w:i/>
          <w:u w:val="single"/>
        </w:rPr>
        <w:lastRenderedPageBreak/>
        <w:t xml:space="preserve">Aménagement du </w:t>
      </w:r>
      <w:r w:rsidRPr="00142CE0">
        <w:rPr>
          <w:b/>
          <w:i/>
          <w:u w:val="single"/>
        </w:rPr>
        <w:t>régime de recherches sur les cellules souches embryonnaires</w:t>
      </w:r>
    </w:p>
    <w:p w14:paraId="039BA5B1" w14:textId="77777777" w:rsidR="00957311" w:rsidRPr="00586966" w:rsidRDefault="00957311" w:rsidP="00957311">
      <w:r>
        <w:t>Le projet de Loi t</w:t>
      </w:r>
      <w:r w:rsidRPr="00586966">
        <w:t>ire les conséquences de la différence de nature entre l’embryon et les</w:t>
      </w:r>
      <w:r>
        <w:t xml:space="preserve"> </w:t>
      </w:r>
      <w:r w:rsidRPr="00586966">
        <w:t>cellules souches embryonnaires qui ne conduisent pas au même questionnement éthique. L’objectif est d’établir clairement la différence entre un embryon et des cellules souches embryonnaires et de rénover le régime juridique qui s’applique aux recherches sur ces cellules, sans modifier le régime applicable à la recherche sur l’embryon. Il a également pour objet de</w:t>
      </w:r>
      <w:r>
        <w:t xml:space="preserve"> </w:t>
      </w:r>
      <w:r w:rsidRPr="00586966">
        <w:t>fixer dans la loi une durée maximale de culture de l’embryon</w:t>
      </w:r>
      <w:r>
        <w:t xml:space="preserve"> </w:t>
      </w:r>
      <w:r w:rsidRPr="00586966">
        <w:t>in vitro</w:t>
      </w:r>
      <w:r>
        <w:t xml:space="preserve"> </w:t>
      </w:r>
      <w:r w:rsidRPr="00586966">
        <w:t>dans le cadre d’un</w:t>
      </w:r>
      <w:r>
        <w:t xml:space="preserve"> </w:t>
      </w:r>
      <w:r w:rsidRPr="00586966">
        <w:t>protocole de recherche.</w:t>
      </w:r>
    </w:p>
    <w:p w14:paraId="05303831" w14:textId="77777777" w:rsidR="00957311" w:rsidRPr="00586966" w:rsidRDefault="00957311" w:rsidP="00957311">
      <w:r>
        <w:t xml:space="preserve">De plus, le projet de Loi </w:t>
      </w:r>
      <w:r w:rsidRPr="00586966">
        <w:t>encadre certaines voies de recherche recourant à des cellules souches pluripotentes induites – la recherche sur ces cellules n’étant pas exempte d’interrogations éthiques lorsqu’il s’agit, par exemple, d’envisager de les différentier en gamètes. Ces voies de</w:t>
      </w:r>
      <w:r>
        <w:t xml:space="preserve"> </w:t>
      </w:r>
      <w:r w:rsidRPr="00586966">
        <w:t>recherche feront l’objet d’une déclaration à l’Agence de la biomédecine.</w:t>
      </w:r>
    </w:p>
    <w:p w14:paraId="25E86ED1" w14:textId="77777777" w:rsidR="00957311" w:rsidRPr="00586966" w:rsidRDefault="00957311" w:rsidP="00957311">
      <w:r>
        <w:t xml:space="preserve">Par ailleurs, le projet de Loi entend </w:t>
      </w:r>
      <w:r w:rsidRPr="00586966">
        <w:t>mettre fin à la conservation des embryons qui ne font plus l’objet d’un projet parental et sont proposés par les couples concernés à la recherche, mais ne</w:t>
      </w:r>
      <w:r>
        <w:t xml:space="preserve"> </w:t>
      </w:r>
      <w:r w:rsidRPr="00586966">
        <w:t xml:space="preserve">sont pas inclus dans un protocole de recherche après un délai de conservation de </w:t>
      </w:r>
      <w:r>
        <w:t>5</w:t>
      </w:r>
      <w:r w:rsidRPr="00586966">
        <w:t xml:space="preserve"> ans.</w:t>
      </w:r>
    </w:p>
    <w:p w14:paraId="60F0188C" w14:textId="77777777" w:rsidR="00957311" w:rsidRDefault="00957311" w:rsidP="00957311">
      <w:pPr>
        <w:pStyle w:val="Paragraphedeliste"/>
        <w:numPr>
          <w:ilvl w:val="0"/>
          <w:numId w:val="1"/>
        </w:numPr>
      </w:pPr>
      <w:r>
        <w:rPr>
          <w:b/>
          <w:i/>
          <w:u w:val="single"/>
        </w:rPr>
        <w:t>F</w:t>
      </w:r>
      <w:r w:rsidRPr="007A2A9E">
        <w:rPr>
          <w:b/>
          <w:i/>
          <w:u w:val="single"/>
        </w:rPr>
        <w:t>avoriser une recherche responsable en lien avec la</w:t>
      </w:r>
      <w:r>
        <w:rPr>
          <w:b/>
          <w:i/>
          <w:u w:val="single"/>
        </w:rPr>
        <w:t xml:space="preserve"> </w:t>
      </w:r>
      <w:r w:rsidRPr="007A2A9E">
        <w:rPr>
          <w:b/>
          <w:i/>
          <w:u w:val="single"/>
        </w:rPr>
        <w:t>médecine génomique</w:t>
      </w:r>
    </w:p>
    <w:p w14:paraId="75EA9DC7" w14:textId="77777777" w:rsidR="00957311" w:rsidRDefault="00957311" w:rsidP="00957311">
      <w:r>
        <w:t>Le projet de Loi cla</w:t>
      </w:r>
      <w:r w:rsidRPr="000130B1">
        <w:t xml:space="preserve">rifie des termes qui figurent dans la </w:t>
      </w:r>
      <w:r>
        <w:t>L</w:t>
      </w:r>
      <w:r w:rsidRPr="000130B1">
        <w:t>oi mais ne sont plus intelligibles dans le contexte scientifique actue</w:t>
      </w:r>
      <w:r>
        <w:t>l</w:t>
      </w:r>
      <w:r w:rsidRPr="000130B1">
        <w:t>.</w:t>
      </w:r>
      <w:r>
        <w:t xml:space="preserve"> </w:t>
      </w:r>
    </w:p>
    <w:p w14:paraId="44B3E337" w14:textId="77777777" w:rsidR="00957311" w:rsidRPr="000130B1" w:rsidRDefault="00957311" w:rsidP="00957311">
      <w:r>
        <w:t xml:space="preserve">Il vise également à </w:t>
      </w:r>
      <w:r w:rsidRPr="000130B1">
        <w:t>faire obstacle à toute</w:t>
      </w:r>
      <w:r>
        <w:t xml:space="preserve"> </w:t>
      </w:r>
      <w:r w:rsidRPr="000130B1">
        <w:t>expérimentation visant la transformation des caractères génétiques dans le but de modifier la</w:t>
      </w:r>
      <w:r>
        <w:t xml:space="preserve"> </w:t>
      </w:r>
      <w:r w:rsidRPr="000130B1">
        <w:t>descendance. Par ailleurs, la modification d’un embryon humain par adjonction de cellules provenant d’autres espèces reste interdite.</w:t>
      </w:r>
    </w:p>
    <w:p w14:paraId="44207BA3" w14:textId="77777777" w:rsidR="00957311" w:rsidRPr="000130B1" w:rsidRDefault="00957311" w:rsidP="00957311">
      <w:r>
        <w:t xml:space="preserve">Enfin, une mesure du projet de Loi entend </w:t>
      </w:r>
      <w:r w:rsidRPr="000130B1">
        <w:t>faciliter la recherche nécessitant des examens de génétique sur des collections d’échantillons biologiques conservés à l’issue de soins médicaux ou de</w:t>
      </w:r>
      <w:r>
        <w:t xml:space="preserve"> </w:t>
      </w:r>
      <w:r w:rsidRPr="000130B1">
        <w:t>recherches cliniques.</w:t>
      </w:r>
    </w:p>
    <w:p w14:paraId="2D340112" w14:textId="77777777" w:rsidR="00957311" w:rsidRPr="00B22CF5" w:rsidRDefault="00957311" w:rsidP="00957311">
      <w:pPr>
        <w:pStyle w:val="Paragraphedeliste"/>
        <w:numPr>
          <w:ilvl w:val="0"/>
          <w:numId w:val="1"/>
        </w:numPr>
        <w:rPr>
          <w:b/>
          <w:i/>
          <w:u w:val="single"/>
        </w:rPr>
      </w:pPr>
      <w:r>
        <w:rPr>
          <w:b/>
          <w:i/>
          <w:u w:val="single"/>
        </w:rPr>
        <w:t>A</w:t>
      </w:r>
      <w:r w:rsidRPr="00B22CF5">
        <w:rPr>
          <w:b/>
          <w:i/>
          <w:u w:val="single"/>
        </w:rPr>
        <w:t>mélioration de la qualité et de la sécurité des</w:t>
      </w:r>
      <w:r>
        <w:rPr>
          <w:b/>
          <w:i/>
          <w:u w:val="single"/>
        </w:rPr>
        <w:t xml:space="preserve"> </w:t>
      </w:r>
      <w:r w:rsidRPr="00B22CF5">
        <w:rPr>
          <w:b/>
          <w:i/>
          <w:u w:val="single"/>
        </w:rPr>
        <w:t>pratiques concernées par le champ bioéthique et optimiser l’organisation des soins</w:t>
      </w:r>
    </w:p>
    <w:p w14:paraId="3F19D5BF" w14:textId="77777777" w:rsidR="00957311" w:rsidRPr="00B22CF5" w:rsidRDefault="00957311" w:rsidP="00957311">
      <w:r>
        <w:t>Le projet de Loi m</w:t>
      </w:r>
      <w:r w:rsidRPr="00B22CF5">
        <w:t>et en cohérence la définition du diagnostic prénatal qui, actuellement, ne</w:t>
      </w:r>
      <w:r>
        <w:t xml:space="preserve"> </w:t>
      </w:r>
      <w:r w:rsidRPr="00B22CF5">
        <w:t>prend pas en compte les objectifs de la démarche en termes de prise en charge adaptée et de</w:t>
      </w:r>
      <w:r>
        <w:t xml:space="preserve"> </w:t>
      </w:r>
      <w:r w:rsidRPr="00B22CF5">
        <w:t>soins apportés au fœtus. Il permet également de renforcer l’information de la femme enceinte quand il est fait recours à de nouvelles techniques de génétique pour explorer un risque avéré de pathologie fœtale.</w:t>
      </w:r>
    </w:p>
    <w:p w14:paraId="5D29E1CB" w14:textId="77777777" w:rsidR="00957311" w:rsidRDefault="00957311" w:rsidP="00957311">
      <w:r>
        <w:t>Il encadre l</w:t>
      </w:r>
      <w:r w:rsidRPr="00B22CF5">
        <w:t>es pratiques de réductions embryonnaires (interruption du développement d’un ou plusieurs embryons ou fœtus en cas de grossesse multiple pour des</w:t>
      </w:r>
      <w:r>
        <w:t xml:space="preserve"> </w:t>
      </w:r>
      <w:r w:rsidRPr="00B22CF5">
        <w:t>raisons médicales), qui n’entrent pas dans le cadre légal de l’interruption de grossesse pour</w:t>
      </w:r>
      <w:r>
        <w:t xml:space="preserve"> </w:t>
      </w:r>
      <w:r w:rsidRPr="00B22CF5">
        <w:t>raison médicale et ne répondent pas non plus au cadre de l’interruption volontaire de grossesse réalisée avant la 14</w:t>
      </w:r>
      <w:r w:rsidRPr="00B22CF5">
        <w:rPr>
          <w:vertAlign w:val="superscript"/>
        </w:rPr>
        <w:t>ème</w:t>
      </w:r>
      <w:r>
        <w:t xml:space="preserve"> </w:t>
      </w:r>
      <w:r w:rsidRPr="00B22CF5">
        <w:t xml:space="preserve">semaine d’aménorrhée. </w:t>
      </w:r>
    </w:p>
    <w:p w14:paraId="2AC807AF" w14:textId="77777777" w:rsidR="00957311" w:rsidRPr="00B22CF5" w:rsidRDefault="00957311" w:rsidP="00957311">
      <w:r>
        <w:t xml:space="preserve">Le projet de Loi </w:t>
      </w:r>
      <w:r w:rsidRPr="00B22CF5">
        <w:t>supprime la</w:t>
      </w:r>
      <w:r>
        <w:t xml:space="preserve"> </w:t>
      </w:r>
      <w:r w:rsidRPr="00B22CF5">
        <w:t>proposition systématique d’un délai de réflexion en cas d’interruption de grossesse pour raison</w:t>
      </w:r>
      <w:r>
        <w:t xml:space="preserve"> </w:t>
      </w:r>
      <w:r w:rsidRPr="00B22CF5">
        <w:t>médicale.</w:t>
      </w:r>
    </w:p>
    <w:p w14:paraId="56DB7D5E" w14:textId="77777777" w:rsidR="00957311" w:rsidRDefault="00957311" w:rsidP="00957311">
      <w:r>
        <w:t>Par ailleurs, il c</w:t>
      </w:r>
      <w:r w:rsidRPr="00B22CF5">
        <w:t xml:space="preserve">larifie la situation de la femme mineure concernée par une interruption de grossesse pour raison médicale et qui désire garder le secret à l’égard de ses parents. </w:t>
      </w:r>
    </w:p>
    <w:p w14:paraId="3D657336" w14:textId="77777777" w:rsidR="00957311" w:rsidRDefault="00957311" w:rsidP="00957311">
      <w:r>
        <w:t xml:space="preserve">Une autre mesure du projet de Loi </w:t>
      </w:r>
      <w:r w:rsidRPr="00B22CF5">
        <w:t>permet aux patientes confrontées à la nécessité d’une préservation de leur</w:t>
      </w:r>
      <w:r>
        <w:t xml:space="preserve"> </w:t>
      </w:r>
      <w:r w:rsidRPr="00B22CF5">
        <w:t>fertilité de pouvoir bénéficier ultérieurement d’une autogreffe de tissu germinal pour</w:t>
      </w:r>
      <w:r>
        <w:t xml:space="preserve"> </w:t>
      </w:r>
      <w:r w:rsidRPr="00B22CF5">
        <w:t>restaurer une fonction endocrine.</w:t>
      </w:r>
    </w:p>
    <w:p w14:paraId="7801C651" w14:textId="77777777" w:rsidR="00957311" w:rsidRDefault="00957311" w:rsidP="00957311">
      <w:r>
        <w:lastRenderedPageBreak/>
        <w:t xml:space="preserve">Le projet de Loi prévoit aussi de supprimer la pratique du « bébé-médicament » qui </w:t>
      </w:r>
      <w:r w:rsidRPr="00B76BB9">
        <w:t>désigne un enfant conçu dans le but de guérir un frère ou une sœur aîné souffrant d’une maladie génétique familiale grâce aux cellules souches prélevées dans le sang du cordon ombilical recueilli à sa naissance</w:t>
      </w:r>
      <w:r>
        <w:t>. A la place, le Gouvernement souhaite développer les banques de sang placentaire allogéniques qui permettent d’obtenir les mêmes résultats qu’un « bébé-médicament ».</w:t>
      </w:r>
    </w:p>
    <w:p w14:paraId="7721FA3F" w14:textId="77777777" w:rsidR="00957311" w:rsidRDefault="00957311" w:rsidP="00957311">
      <w:r>
        <w:t>Le projet de loi comporte une mesure qui améliore la prise en charge des enfants présentant des variations du développement génital : le dispositif prévoit d’orienter systématiquement les familles concernées vers les 4 centres de référence des maladies rares du développement génital, notamment pour qu’elles puissent disposer d’une information complète, appréhender sereinement la situation et, le cas échéant, consentir ou non, de manière libre et éclairée, aux propositions de traitements médicaux formulées lors des réunions de concertation pluridisciplinaire de ces centres.</w:t>
      </w:r>
    </w:p>
    <w:p w14:paraId="6D8A4795" w14:textId="77777777" w:rsidR="00957311" w:rsidRPr="00B22CF5" w:rsidRDefault="00957311" w:rsidP="00957311">
      <w:r>
        <w:t>Il est aussi prévu de permettre aux</w:t>
      </w:r>
      <w:r w:rsidRPr="00B22CF5">
        <w:t xml:space="preserve"> conseillers en génétique de prescrire, dans un cadre strict, certains examens de génétique dans le double objectif de soulager les médecins généticiens et de</w:t>
      </w:r>
      <w:r>
        <w:t xml:space="preserve"> </w:t>
      </w:r>
      <w:r w:rsidRPr="00B22CF5">
        <w:t>réduire les délais d’attente pour les patients concernés.</w:t>
      </w:r>
    </w:p>
    <w:p w14:paraId="6CE91357" w14:textId="77777777" w:rsidR="00957311" w:rsidRDefault="00957311" w:rsidP="00957311">
      <w:r>
        <w:t xml:space="preserve">Il est projeté d’autoriser </w:t>
      </w:r>
      <w:r w:rsidRPr="00B22CF5">
        <w:t>les laboratoires spécialisés en génétique à transmettre directement les résultats, qu’ils ont validés, au prescripteur de l’examen (médecin ou sage-femme, seuls</w:t>
      </w:r>
      <w:r>
        <w:t xml:space="preserve"> </w:t>
      </w:r>
      <w:r w:rsidRPr="00B22CF5">
        <w:t>habilités à restituer ces résultats au patient) dans l’objectif de garantir une transmission sécurisée des résultats de génétique du laboratoire spécialisé au prescripteur et du prescripteur au</w:t>
      </w:r>
      <w:r>
        <w:t xml:space="preserve"> </w:t>
      </w:r>
      <w:r w:rsidRPr="00B22CF5">
        <w:t>patient.</w:t>
      </w:r>
    </w:p>
    <w:p w14:paraId="4497E651" w14:textId="77777777" w:rsidR="00957311" w:rsidRPr="00B22CF5" w:rsidRDefault="00957311" w:rsidP="00957311">
      <w:r>
        <w:t xml:space="preserve">Le projet de loi entend introduire </w:t>
      </w:r>
      <w:r w:rsidRPr="00B22CF5">
        <w:t>des garanties au bénéfice des patients concernés par des examens (notamment en oncologie) susceptibles de conduire à la réalisation d’examens des caractéristiques génétiques constitutionnelles. Ils seront pris en charge et accompagnés de façon spécifique et spécialisée.</w:t>
      </w:r>
    </w:p>
    <w:p w14:paraId="126B990E" w14:textId="77777777" w:rsidR="00957311" w:rsidRPr="00B22CF5" w:rsidRDefault="00957311" w:rsidP="00957311">
      <w:r>
        <w:t xml:space="preserve">De plus, il souhaite </w:t>
      </w:r>
      <w:r w:rsidRPr="00B22CF5">
        <w:t>assurer la sécurité sanitaire des médicaments qui sont issus du</w:t>
      </w:r>
      <w:r>
        <w:t xml:space="preserve"> </w:t>
      </w:r>
      <w:r w:rsidRPr="00B22CF5">
        <w:t>microbiote fécal en créant un cadre juridique spécifique à la collecte de selles dans un contexte de développement de la transplantation de microbiote fécal notamment en cas d’infections récidivantes.</w:t>
      </w:r>
    </w:p>
    <w:p w14:paraId="44DB6994" w14:textId="77777777" w:rsidR="00957311" w:rsidRPr="00B22CF5" w:rsidRDefault="00957311" w:rsidP="00957311">
      <w:r>
        <w:t xml:space="preserve">Enfin, le projet de Loi </w:t>
      </w:r>
      <w:r w:rsidRPr="00B22CF5">
        <w:t>autorise la préparation de médicaments de thérapie innovante au cours d’une</w:t>
      </w:r>
      <w:r>
        <w:t xml:space="preserve"> </w:t>
      </w:r>
      <w:r w:rsidRPr="00B22CF5">
        <w:t>seule intervention médicale pour éviter des actes inutiles et potentiellement néfastes pour la santé des patients, tout en permettant la diffusion de nouvelles thérapeutiques.</w:t>
      </w:r>
    </w:p>
    <w:p w14:paraId="306E3526" w14:textId="77777777" w:rsidR="00957311" w:rsidRDefault="00957311" w:rsidP="00957311">
      <w:pPr>
        <w:pStyle w:val="Paragraphedeliste"/>
        <w:numPr>
          <w:ilvl w:val="0"/>
          <w:numId w:val="1"/>
        </w:numPr>
      </w:pPr>
      <w:r>
        <w:rPr>
          <w:b/>
          <w:i/>
          <w:u w:val="single"/>
        </w:rPr>
        <w:t>Focus sur l’Agence de la biomédecine</w:t>
      </w:r>
    </w:p>
    <w:p w14:paraId="0EF9B93E" w14:textId="77777777" w:rsidR="00957311" w:rsidRDefault="00957311" w:rsidP="00957311">
      <w:r>
        <w:t xml:space="preserve">Le projet de Loi </w:t>
      </w:r>
      <w:r w:rsidRPr="00580B14">
        <w:t xml:space="preserve">procède à des simplifications </w:t>
      </w:r>
      <w:r>
        <w:t>des</w:t>
      </w:r>
      <w:r w:rsidRPr="00580B14">
        <w:t xml:space="preserve"> missions confiées à l’Agence de la biomédecine ainsi que </w:t>
      </w:r>
      <w:r>
        <w:t>de</w:t>
      </w:r>
      <w:r w:rsidRPr="00580B14">
        <w:t xml:space="preserve"> sa gouvernance (composition de son Conseil d’administration et de son Conseil d’orientation).</w:t>
      </w:r>
    </w:p>
    <w:p w14:paraId="1D44291C" w14:textId="77777777" w:rsidR="00957311" w:rsidRDefault="00957311" w:rsidP="00957311">
      <w:pPr>
        <w:pStyle w:val="Paragraphedeliste"/>
        <w:numPr>
          <w:ilvl w:val="0"/>
          <w:numId w:val="1"/>
        </w:numPr>
      </w:pPr>
      <w:r w:rsidRPr="00580B14">
        <w:rPr>
          <w:b/>
          <w:i/>
          <w:u w:val="single"/>
        </w:rPr>
        <w:t>Des ordonnances à venir</w:t>
      </w:r>
    </w:p>
    <w:p w14:paraId="5AE9E9BE" w14:textId="77777777" w:rsidR="00957311" w:rsidRDefault="00957311" w:rsidP="00957311">
      <w:r>
        <w:t xml:space="preserve">Le projet de Loi </w:t>
      </w:r>
      <w:r w:rsidRPr="00580B14">
        <w:t>habilite le Gouvernement à prendre par ordonnances des mesures visant</w:t>
      </w:r>
      <w:r>
        <w:t> :</w:t>
      </w:r>
    </w:p>
    <w:p w14:paraId="5AB8FE4E" w14:textId="77777777" w:rsidR="00957311" w:rsidRDefault="00957311" w:rsidP="00957311">
      <w:pPr>
        <w:pStyle w:val="Paragraphedeliste"/>
        <w:numPr>
          <w:ilvl w:val="0"/>
          <w:numId w:val="2"/>
        </w:numPr>
        <w:spacing w:before="0"/>
      </w:pPr>
      <w:r w:rsidRPr="00580B14">
        <w:t>à étendre et adapter les dispositions du présent projet de loi à Saint-Pierre-et-Miquelon, à</w:t>
      </w:r>
      <w:r>
        <w:t xml:space="preserve"> </w:t>
      </w:r>
      <w:r w:rsidRPr="00580B14">
        <w:t>Mayotte, à Wallis-et-Futuna, en Nouvelle-Calédonie et en Polynésie française</w:t>
      </w:r>
      <w:r>
        <w:t> ;</w:t>
      </w:r>
    </w:p>
    <w:p w14:paraId="0600DFD7" w14:textId="77777777" w:rsidR="00957311" w:rsidRDefault="00957311" w:rsidP="00957311">
      <w:pPr>
        <w:pStyle w:val="Paragraphedeliste"/>
        <w:numPr>
          <w:ilvl w:val="0"/>
          <w:numId w:val="2"/>
        </w:numPr>
        <w:spacing w:before="0"/>
      </w:pPr>
      <w:r w:rsidRPr="00580B14">
        <w:t>à procéder aux adaptations rendues nécessaires par l’entrée en vigueur le 26</w:t>
      </w:r>
      <w:r>
        <w:t xml:space="preserve"> m</w:t>
      </w:r>
      <w:r w:rsidRPr="00580B14">
        <w:t>ai 2020 du règlement (UE) n°2017/745 du Parlement européen et du Conseil du 5</w:t>
      </w:r>
      <w:r>
        <w:t xml:space="preserve"> </w:t>
      </w:r>
      <w:r w:rsidRPr="00580B14">
        <w:t>avri</w:t>
      </w:r>
      <w:r>
        <w:t>l</w:t>
      </w:r>
      <w:r w:rsidRPr="00580B14">
        <w:t>2017 relatif aux dispositifs médicaux et du règlement (UE) 2017/746 du Parlement européen et du Conseil du 5 avril 2017 relatif aux dispositifs médicaux de diagnostic</w:t>
      </w:r>
      <w:r>
        <w:t xml:space="preserve"> </w:t>
      </w:r>
      <w:r w:rsidRPr="00580B14">
        <w:t>in vitro ;</w:t>
      </w:r>
    </w:p>
    <w:p w14:paraId="6A97E4FD" w14:textId="77777777" w:rsidR="00957311" w:rsidRDefault="00957311" w:rsidP="00957311">
      <w:pPr>
        <w:pStyle w:val="Paragraphedeliste"/>
        <w:numPr>
          <w:ilvl w:val="0"/>
          <w:numId w:val="2"/>
        </w:numPr>
        <w:spacing w:before="0"/>
      </w:pPr>
      <w:r w:rsidRPr="00580B14">
        <w:t xml:space="preserve">à mettre à jour le </w:t>
      </w:r>
      <w:r>
        <w:t>C</w:t>
      </w:r>
      <w:r w:rsidRPr="00580B14">
        <w:t>ode de la santé publique en matière de législation des médicaments de thérapie innovante</w:t>
      </w:r>
      <w:r>
        <w:t>.</w:t>
      </w:r>
    </w:p>
    <w:p w14:paraId="6038AC5A" w14:textId="77777777" w:rsidR="00957311" w:rsidRDefault="00957311" w:rsidP="00957311"/>
    <w:p w14:paraId="7938EEDB" w14:textId="77777777" w:rsidR="00957311" w:rsidRPr="00BA1E49" w:rsidRDefault="00957311" w:rsidP="00957311">
      <w:pPr>
        <w:pStyle w:val="Titre3"/>
      </w:pPr>
      <w:bookmarkStart w:id="86" w:name="_Toc58929013"/>
      <w:bookmarkStart w:id="87" w:name="_Toc64285902"/>
      <w:bookmarkStart w:id="88" w:name="_Toc66348862"/>
      <w:bookmarkStart w:id="89" w:name="_Toc69222355"/>
      <w:bookmarkStart w:id="90" w:name="_Toc71898855"/>
      <w:bookmarkStart w:id="91" w:name="_Toc74651364"/>
      <w:r>
        <w:lastRenderedPageBreak/>
        <w:t>Projet de Loi confortant le respect des principes de la République</w:t>
      </w:r>
      <w:bookmarkEnd w:id="86"/>
      <w:bookmarkEnd w:id="87"/>
      <w:bookmarkEnd w:id="88"/>
      <w:bookmarkEnd w:id="89"/>
      <w:bookmarkEnd w:id="90"/>
      <w:bookmarkEnd w:id="91"/>
    </w:p>
    <w:p w14:paraId="1830328F" w14:textId="62EBCE0A" w:rsidR="00957311" w:rsidRDefault="00957311" w:rsidP="00957311">
      <w:pPr>
        <w:spacing w:before="0" w:after="0"/>
        <w:rPr>
          <w:rFonts w:cstheme="minorHAnsi"/>
        </w:rPr>
      </w:pPr>
      <w:r w:rsidRPr="00E45B66">
        <w:rPr>
          <w:rFonts w:cstheme="minorHAnsi"/>
          <w:b/>
          <w:color w:val="0070C0"/>
        </w:rPr>
        <w:t>Slide</w:t>
      </w:r>
      <w:r>
        <w:rPr>
          <w:rFonts w:cstheme="minorHAnsi"/>
          <w:b/>
          <w:color w:val="0070C0"/>
        </w:rPr>
        <w:t xml:space="preserve"> </w:t>
      </w:r>
      <w:r w:rsidR="006D3AAB">
        <w:rPr>
          <w:rFonts w:cstheme="minorHAnsi"/>
          <w:b/>
          <w:color w:val="0070C0"/>
        </w:rPr>
        <w:t>90</w:t>
      </w:r>
    </w:p>
    <w:p w14:paraId="0C105A1D" w14:textId="77777777" w:rsidR="00957311" w:rsidRPr="00217678" w:rsidRDefault="00957311" w:rsidP="00957311">
      <w:pPr>
        <w:rPr>
          <w:rFonts w:cstheme="minorHAnsi"/>
        </w:rPr>
      </w:pPr>
      <w:r w:rsidRPr="00451FF7">
        <w:rPr>
          <w:rFonts w:cstheme="minorHAnsi"/>
        </w:rPr>
        <w:t>Source </w:t>
      </w:r>
      <w:r w:rsidRPr="002545F5">
        <w:rPr>
          <w:rFonts w:cstheme="minorHAnsi"/>
        </w:rPr>
        <w:t xml:space="preserve">: </w:t>
      </w:r>
      <w:r>
        <w:rPr>
          <w:rFonts w:cstheme="minorHAnsi"/>
        </w:rPr>
        <w:t xml:space="preserve">Projet de Loi </w:t>
      </w:r>
      <w:r w:rsidRPr="007E15F0">
        <w:t>confortant le</w:t>
      </w:r>
      <w:r>
        <w:t xml:space="preserve"> </w:t>
      </w:r>
      <w:r w:rsidRPr="007E15F0">
        <w:t>respect</w:t>
      </w:r>
      <w:r>
        <w:t xml:space="preserve"> </w:t>
      </w:r>
      <w:r w:rsidRPr="007E15F0">
        <w:t>des</w:t>
      </w:r>
      <w:r>
        <w:t xml:space="preserve"> </w:t>
      </w:r>
      <w:r w:rsidRPr="007E15F0">
        <w:t>principes</w:t>
      </w:r>
      <w:r>
        <w:t xml:space="preserve"> </w:t>
      </w:r>
      <w:r w:rsidRPr="007E15F0">
        <w:t>de la</w:t>
      </w:r>
      <w:r>
        <w:t xml:space="preserve"> </w:t>
      </w:r>
      <w:r w:rsidRPr="007E15F0">
        <w:t>République</w:t>
      </w:r>
    </w:p>
    <w:p w14:paraId="6A5DCCEB" w14:textId="77777777" w:rsidR="00957311" w:rsidRPr="005B73D2" w:rsidRDefault="00957311" w:rsidP="00957311">
      <w:pPr>
        <w:pStyle w:val="Titre4"/>
        <w:rPr>
          <w:rStyle w:val="txt"/>
        </w:rPr>
      </w:pPr>
      <w:r w:rsidRPr="004858FF">
        <w:rPr>
          <w:rStyle w:val="txt"/>
        </w:rPr>
        <w:t>ce qu’il faut savoir…</w:t>
      </w:r>
    </w:p>
    <w:p w14:paraId="2B8B5107" w14:textId="5A3822F9" w:rsidR="00957311" w:rsidRDefault="00957311" w:rsidP="00957311">
      <w:pPr>
        <w:rPr>
          <w:rFonts w:cstheme="minorHAnsi"/>
        </w:rPr>
      </w:pPr>
      <w:r w:rsidRPr="002F7998">
        <w:rPr>
          <w:rFonts w:cstheme="minorHAnsi"/>
        </w:rPr>
        <w:t>Le 9 décembre 2020, le Gouvernement a déposé à l’Assemblée Nationale un projet de loi qui poursuit 2 objectifs : garantir le respect des principes républicains et garantir le libre exercice du culte.</w:t>
      </w:r>
    </w:p>
    <w:p w14:paraId="36A28ABE" w14:textId="0DE0E09A" w:rsidR="00B36863" w:rsidRPr="002F7998" w:rsidRDefault="00E31D1E" w:rsidP="00957311">
      <w:pPr>
        <w:rPr>
          <w:rFonts w:cstheme="minorHAnsi"/>
        </w:rPr>
      </w:pPr>
      <w:r>
        <w:rPr>
          <w:rFonts w:cstheme="minorHAnsi"/>
        </w:rPr>
        <w:t>Ce projet de loi fait l’objet d’une nouvelle lecture à l’Assemblée Nationale depuis le 7 juin 2021.</w:t>
      </w:r>
    </w:p>
    <w:p w14:paraId="1AB04479" w14:textId="77777777" w:rsidR="00957311" w:rsidRPr="002F7998" w:rsidRDefault="00957311" w:rsidP="00957311">
      <w:pPr>
        <w:rPr>
          <w:rFonts w:cstheme="minorHAnsi"/>
        </w:rPr>
      </w:pPr>
      <w:r w:rsidRPr="002F7998">
        <w:rPr>
          <w:rFonts w:cstheme="minorHAnsi"/>
        </w:rPr>
        <w:t>Voici les mesures que vous devez connaître.</w:t>
      </w:r>
    </w:p>
    <w:p w14:paraId="773FA202" w14:textId="77777777" w:rsidR="00957311" w:rsidRPr="002F7998" w:rsidRDefault="00957311" w:rsidP="00957311">
      <w:pPr>
        <w:pStyle w:val="Paragraphedeliste"/>
        <w:numPr>
          <w:ilvl w:val="0"/>
          <w:numId w:val="1"/>
        </w:numPr>
        <w:rPr>
          <w:rFonts w:cstheme="minorHAnsi"/>
          <w:b/>
          <w:bCs/>
          <w:i/>
          <w:iCs/>
          <w:u w:val="single"/>
        </w:rPr>
      </w:pPr>
      <w:r w:rsidRPr="002F7998">
        <w:rPr>
          <w:rFonts w:cstheme="minorHAnsi"/>
          <w:b/>
          <w:bCs/>
          <w:i/>
          <w:iCs/>
          <w:u w:val="single"/>
        </w:rPr>
        <w:t>Respect du principe de neutralité et de laïcité</w:t>
      </w:r>
    </w:p>
    <w:p w14:paraId="5F370E93" w14:textId="77777777" w:rsidR="00957311" w:rsidRPr="002F7998" w:rsidRDefault="00957311" w:rsidP="00957311">
      <w:pPr>
        <w:rPr>
          <w:rFonts w:cstheme="minorHAnsi"/>
        </w:rPr>
      </w:pPr>
      <w:r w:rsidRPr="002F7998">
        <w:rPr>
          <w:rFonts w:cstheme="minorHAnsi"/>
        </w:rPr>
        <w:t>La première mesure du projet de loi prévoit expressément que les organismes de droit privé chargés de l’exécution d’un service public sont soumis aux principes de neutralité et de laïcité du service public pour les activités qui relèvent de ce champ.</w:t>
      </w:r>
    </w:p>
    <w:p w14:paraId="5E371450" w14:textId="77777777" w:rsidR="00957311" w:rsidRPr="002F7998" w:rsidRDefault="00957311" w:rsidP="00957311">
      <w:pPr>
        <w:rPr>
          <w:rFonts w:cstheme="minorHAnsi"/>
        </w:rPr>
      </w:pPr>
      <w:r w:rsidRPr="002F7998">
        <w:rPr>
          <w:rFonts w:cstheme="minorHAnsi"/>
        </w:rPr>
        <w:t>Les organismes doivent veiller au respect de ces principes par les personnes qui participent à l’exécution du service public.</w:t>
      </w:r>
    </w:p>
    <w:p w14:paraId="02132505" w14:textId="77777777" w:rsidR="00957311" w:rsidRPr="002F7998" w:rsidRDefault="00957311" w:rsidP="00957311">
      <w:pPr>
        <w:rPr>
          <w:rFonts w:cstheme="minorHAnsi"/>
        </w:rPr>
      </w:pPr>
      <w:r w:rsidRPr="002F7998">
        <w:rPr>
          <w:rFonts w:cstheme="minorHAnsi"/>
        </w:rPr>
        <w:t>Le projet de loi prévoit que les contrats de commande publique devront comporter à l’avenir des clauses permettant à la personne publique qui confie l’exécution du service public de s’assurer du respect des principes de laïcité et de neutralité par le cocontractant, par des mesures de contrôle et par l’application, le cas échéant, de sanctions.</w:t>
      </w:r>
    </w:p>
    <w:p w14:paraId="337FF022" w14:textId="77777777" w:rsidR="00957311" w:rsidRPr="002F7998" w:rsidRDefault="00957311" w:rsidP="00957311">
      <w:pPr>
        <w:rPr>
          <w:rFonts w:cstheme="minorHAnsi"/>
        </w:rPr>
      </w:pPr>
      <w:r w:rsidRPr="002F7998">
        <w:rPr>
          <w:rFonts w:cstheme="minorHAnsi"/>
        </w:rPr>
        <w:t>Par ailleurs, il est prévu que lorsque le Préfet saisit le juge administratif pour demander la suspension provisoire d’un acte portant atteinte au principe de neutralité du service public, le juge statue dans un délai de 48</w:t>
      </w:r>
      <w:r>
        <w:rPr>
          <w:rFonts w:cstheme="minorHAnsi"/>
        </w:rPr>
        <w:t xml:space="preserve"> </w:t>
      </w:r>
      <w:r w:rsidRPr="002F7998">
        <w:rPr>
          <w:rFonts w:cstheme="minorHAnsi"/>
        </w:rPr>
        <w:t>h.</w:t>
      </w:r>
    </w:p>
    <w:p w14:paraId="4E2C0E7C" w14:textId="77777777" w:rsidR="00957311" w:rsidRPr="002F7998" w:rsidRDefault="00957311" w:rsidP="00957311">
      <w:pPr>
        <w:rPr>
          <w:rFonts w:cstheme="minorHAnsi"/>
        </w:rPr>
      </w:pPr>
    </w:p>
    <w:p w14:paraId="0B349C7E" w14:textId="77777777" w:rsidR="00957311" w:rsidRPr="002F7998" w:rsidRDefault="00957311" w:rsidP="00957311">
      <w:pPr>
        <w:pStyle w:val="Paragraphedeliste"/>
        <w:numPr>
          <w:ilvl w:val="0"/>
          <w:numId w:val="1"/>
        </w:numPr>
        <w:rPr>
          <w:rFonts w:cstheme="minorHAnsi"/>
          <w:b/>
          <w:bCs/>
          <w:i/>
          <w:iCs/>
          <w:u w:val="single"/>
        </w:rPr>
      </w:pPr>
      <w:r w:rsidRPr="002F7998">
        <w:rPr>
          <w:rFonts w:cstheme="minorHAnsi"/>
          <w:b/>
          <w:bCs/>
          <w:i/>
          <w:iCs/>
          <w:u w:val="single"/>
        </w:rPr>
        <w:t>Lutte contre le terrorisme</w:t>
      </w:r>
    </w:p>
    <w:p w14:paraId="7C644165" w14:textId="77777777" w:rsidR="00957311" w:rsidRPr="002F7998" w:rsidRDefault="00957311" w:rsidP="00957311">
      <w:pPr>
        <w:rPr>
          <w:rFonts w:cstheme="minorHAnsi"/>
        </w:rPr>
      </w:pPr>
      <w:r w:rsidRPr="002F7998">
        <w:rPr>
          <w:rFonts w:cstheme="minorHAnsi"/>
        </w:rPr>
        <w:t>Le projet de loi prévoit que la provocation à des actes de terrorisme et à l’apologie publique de tels actes soit inscrit</w:t>
      </w:r>
      <w:r>
        <w:rPr>
          <w:rFonts w:cstheme="minorHAnsi"/>
        </w:rPr>
        <w:t>e</w:t>
      </w:r>
      <w:r w:rsidRPr="002F7998">
        <w:rPr>
          <w:rFonts w:cstheme="minorHAnsi"/>
        </w:rPr>
        <w:t xml:space="preserve"> dans le fichier des auteurs d’infractions terroristes (FIJAIT).</w:t>
      </w:r>
    </w:p>
    <w:p w14:paraId="2D2DC5AA" w14:textId="77777777" w:rsidR="00957311" w:rsidRPr="002F7998" w:rsidRDefault="00957311" w:rsidP="00957311">
      <w:pPr>
        <w:rPr>
          <w:rFonts w:cstheme="minorHAnsi"/>
        </w:rPr>
      </w:pPr>
      <w:r w:rsidRPr="002F7998">
        <w:rPr>
          <w:rFonts w:cstheme="minorHAnsi"/>
        </w:rPr>
        <w:t xml:space="preserve">L’extraction, la reproduction et la transmission de données faisant l’apologie d’actes de terrorisme ou provoquant à ces actes </w:t>
      </w:r>
      <w:r>
        <w:rPr>
          <w:rFonts w:cstheme="minorHAnsi"/>
        </w:rPr>
        <w:t>doivent</w:t>
      </w:r>
      <w:r w:rsidRPr="002F7998">
        <w:rPr>
          <w:rFonts w:cstheme="minorHAnsi"/>
        </w:rPr>
        <w:t xml:space="preserve"> aussi intégrer le FIJAIT. L’objectif est de bloquer la diffusion de ces actes en ligne.</w:t>
      </w:r>
    </w:p>
    <w:p w14:paraId="5004DBE8" w14:textId="77777777" w:rsidR="00957311" w:rsidRPr="002F7998" w:rsidRDefault="00957311" w:rsidP="00957311">
      <w:pPr>
        <w:rPr>
          <w:rFonts w:cstheme="minorHAnsi"/>
        </w:rPr>
      </w:pPr>
      <w:r w:rsidRPr="002F7998">
        <w:rPr>
          <w:rFonts w:cstheme="minorHAnsi"/>
        </w:rPr>
        <w:t>Par ailleurs, le projet de loi prévoit que les personnes inscrites sur le fichier relèvent d’un régime différent selon qu’elles ont été condamnées ou non à un acte terroriste.</w:t>
      </w:r>
    </w:p>
    <w:p w14:paraId="65752241" w14:textId="77777777" w:rsidR="00957311" w:rsidRPr="002F7998" w:rsidRDefault="00957311" w:rsidP="00957311">
      <w:pPr>
        <w:rPr>
          <w:rFonts w:cstheme="minorHAnsi"/>
        </w:rPr>
      </w:pPr>
    </w:p>
    <w:p w14:paraId="59B002AF" w14:textId="77777777" w:rsidR="00957311" w:rsidRPr="002F7998" w:rsidRDefault="00957311" w:rsidP="00957311">
      <w:pPr>
        <w:pStyle w:val="Paragraphedeliste"/>
        <w:numPr>
          <w:ilvl w:val="0"/>
          <w:numId w:val="1"/>
        </w:numPr>
        <w:rPr>
          <w:rFonts w:cstheme="minorHAnsi"/>
          <w:b/>
          <w:bCs/>
          <w:i/>
          <w:iCs/>
          <w:u w:val="single"/>
        </w:rPr>
      </w:pPr>
      <w:r w:rsidRPr="002F7998">
        <w:rPr>
          <w:rFonts w:cstheme="minorHAnsi"/>
          <w:b/>
          <w:bCs/>
          <w:i/>
          <w:iCs/>
          <w:u w:val="single"/>
        </w:rPr>
        <w:t>Protéger les agents chargés du service public</w:t>
      </w:r>
    </w:p>
    <w:p w14:paraId="5063E311" w14:textId="77777777" w:rsidR="00957311" w:rsidRPr="002F7998" w:rsidRDefault="00957311" w:rsidP="00957311">
      <w:pPr>
        <w:rPr>
          <w:rFonts w:cstheme="minorHAnsi"/>
        </w:rPr>
      </w:pPr>
      <w:r w:rsidRPr="002F7998">
        <w:rPr>
          <w:rFonts w:cstheme="minorHAnsi"/>
        </w:rPr>
        <w:t>Le projet de loi crée une nouvelle infraction pénale afin de mieux protéger les agents chargés du service public en sanctionnant les menaces, les violences ou tout acte d’intimidation exercés à leur encontre dans le but de se soustraire aux règles régissant le fonctionnement d’un service public.</w:t>
      </w:r>
    </w:p>
    <w:p w14:paraId="230AE7CE" w14:textId="77777777" w:rsidR="00957311" w:rsidRPr="002F7998" w:rsidRDefault="00957311" w:rsidP="00957311">
      <w:pPr>
        <w:rPr>
          <w:rFonts w:cstheme="minorHAnsi"/>
        </w:rPr>
      </w:pPr>
      <w:r w:rsidRPr="002F7998">
        <w:rPr>
          <w:rFonts w:cstheme="minorHAnsi"/>
        </w:rPr>
        <w:lastRenderedPageBreak/>
        <w:t>En outre, il étend le dispositif de signalement à la disposition des agents publics qui s’estiment victimes d’un acte de violence, de discrimination, de harcèlement moral ou sexuel, etc. aux actes constitutifs d’atteinte à l’intégrité physique des agents ou aux menaces dont ils peuvent faire l’objet dans l’exercice de leurs fonctions.</w:t>
      </w:r>
    </w:p>
    <w:p w14:paraId="746BA180" w14:textId="77777777" w:rsidR="00957311" w:rsidRPr="002F7998" w:rsidRDefault="00957311" w:rsidP="00957311">
      <w:pPr>
        <w:rPr>
          <w:rFonts w:cstheme="minorHAnsi"/>
        </w:rPr>
      </w:pPr>
    </w:p>
    <w:p w14:paraId="601F9945" w14:textId="77777777" w:rsidR="00957311" w:rsidRPr="00DB5BCB" w:rsidRDefault="00957311" w:rsidP="00957311">
      <w:pPr>
        <w:pStyle w:val="Paragraphedeliste"/>
        <w:numPr>
          <w:ilvl w:val="0"/>
          <w:numId w:val="1"/>
        </w:numPr>
        <w:rPr>
          <w:rFonts w:cstheme="minorHAnsi"/>
          <w:b/>
          <w:bCs/>
          <w:i/>
          <w:iCs/>
          <w:u w:val="single"/>
        </w:rPr>
      </w:pPr>
      <w:r w:rsidRPr="00DB5BCB">
        <w:rPr>
          <w:rFonts w:cstheme="minorHAnsi"/>
          <w:b/>
          <w:bCs/>
          <w:i/>
          <w:iCs/>
          <w:u w:val="single"/>
        </w:rPr>
        <w:t>Pour les associations</w:t>
      </w:r>
    </w:p>
    <w:p w14:paraId="3747C9F4" w14:textId="77777777" w:rsidR="00957311" w:rsidRPr="002F7998" w:rsidRDefault="00957311" w:rsidP="00957311">
      <w:pPr>
        <w:rPr>
          <w:rFonts w:cstheme="minorHAnsi"/>
        </w:rPr>
      </w:pPr>
      <w:r w:rsidRPr="002F7998">
        <w:rPr>
          <w:rFonts w:cstheme="minorHAnsi"/>
        </w:rPr>
        <w:t>Le projet de loi renforce l’encadrement des subventions attribuées aux associations par les collectivités publiques ou toute autre personne chargée de la gestion d’un service public afin de s’assurer que ces moyens mis librement à leur disposition soient employés dans le respect des principes républicains qui seront déclinés dans un contrat d’engagement républicain.</w:t>
      </w:r>
    </w:p>
    <w:p w14:paraId="581B5FF8" w14:textId="77777777" w:rsidR="00957311" w:rsidRPr="002F7998" w:rsidRDefault="00957311" w:rsidP="00957311">
      <w:pPr>
        <w:rPr>
          <w:rFonts w:cstheme="minorHAnsi"/>
        </w:rPr>
      </w:pPr>
      <w:r w:rsidRPr="002F7998">
        <w:rPr>
          <w:rFonts w:cstheme="minorHAnsi"/>
        </w:rPr>
        <w:t>La violation de cet engagement a pour conséquence la restitution de la subvention. Un Décret doit préciser cette mesure.</w:t>
      </w:r>
    </w:p>
    <w:p w14:paraId="2D3D8E21" w14:textId="77777777" w:rsidR="00957311" w:rsidRPr="002F7998" w:rsidRDefault="00957311" w:rsidP="00957311">
      <w:pPr>
        <w:rPr>
          <w:rFonts w:cstheme="minorHAnsi"/>
        </w:rPr>
      </w:pPr>
      <w:r w:rsidRPr="002F7998">
        <w:rPr>
          <w:rFonts w:cstheme="minorHAnsi"/>
        </w:rPr>
        <w:t>De plus, le projet de loi renforce les conditions d’agrément des associations par l’État. S’il existe différents agréments, ceux-ci doivent néanmoins respecter un tronc commun soumis à 3 conditions : objet d’intérêt général, fonctionnement démocratique et transparence financière.</w:t>
      </w:r>
    </w:p>
    <w:p w14:paraId="2D824415" w14:textId="77777777" w:rsidR="00957311" w:rsidRPr="002F7998" w:rsidRDefault="00957311" w:rsidP="00957311">
      <w:pPr>
        <w:rPr>
          <w:rFonts w:cstheme="minorHAnsi"/>
        </w:rPr>
      </w:pPr>
      <w:r w:rsidRPr="002F7998">
        <w:rPr>
          <w:rFonts w:cstheme="minorHAnsi"/>
        </w:rPr>
        <w:t>Le projet de loi y ajoute une 4</w:t>
      </w:r>
      <w:r w:rsidRPr="00F20A01">
        <w:rPr>
          <w:rFonts w:cstheme="minorHAnsi"/>
          <w:vertAlign w:val="superscript"/>
        </w:rPr>
        <w:t>ème</w:t>
      </w:r>
      <w:r w:rsidRPr="002F7998">
        <w:rPr>
          <w:rFonts w:cstheme="minorHAnsi"/>
        </w:rPr>
        <w:t xml:space="preserve"> condition : le respect des principes du contrat d’engagement républicain.</w:t>
      </w:r>
    </w:p>
    <w:p w14:paraId="797AA707" w14:textId="77777777" w:rsidR="00957311" w:rsidRPr="002F7998" w:rsidRDefault="00957311" w:rsidP="00957311">
      <w:pPr>
        <w:rPr>
          <w:rFonts w:cstheme="minorHAnsi"/>
        </w:rPr>
      </w:pPr>
      <w:r w:rsidRPr="002F7998">
        <w:rPr>
          <w:rFonts w:cstheme="minorHAnsi"/>
        </w:rPr>
        <w:t>Par ailleurs, le projet de loi modifie les modalités et les motifs de dissolution administrative des associations et groupements de fait troublant gravement l’ordre public ou portant atteinte à des droits et libertés fondamentaux.</w:t>
      </w:r>
    </w:p>
    <w:p w14:paraId="7166A9BB" w14:textId="77777777" w:rsidR="00957311" w:rsidRPr="002F7998" w:rsidRDefault="00957311" w:rsidP="00957311">
      <w:pPr>
        <w:rPr>
          <w:rFonts w:cstheme="minorHAnsi"/>
        </w:rPr>
      </w:pPr>
      <w:r w:rsidRPr="002F7998">
        <w:rPr>
          <w:rFonts w:cstheme="minorHAnsi"/>
        </w:rPr>
        <w:t>En premier lieu, il modernise la rédaction de certains motifs de dissolution dont le caractère obsolète ou complexe est source de difficultés d’application. En adaptant ces fondements aux caractéristiques contemporaines des agissements des associations et groupements de fait concernés, le projet de loi renforce les possibilités de prendre à leur encontre une mesure de dissolution administrative.</w:t>
      </w:r>
    </w:p>
    <w:p w14:paraId="0A8A643F" w14:textId="77777777" w:rsidR="00957311" w:rsidRPr="002F7998" w:rsidRDefault="00957311" w:rsidP="00957311">
      <w:pPr>
        <w:rPr>
          <w:rFonts w:cstheme="minorHAnsi"/>
        </w:rPr>
      </w:pPr>
      <w:r w:rsidRPr="002F7998">
        <w:rPr>
          <w:rFonts w:cstheme="minorHAnsi"/>
        </w:rPr>
        <w:t>Cette mesure prévoit aussi la possibilité d’imputer à une association ou à un groupement de fait les agissements qui sont soit commis par des membres agissant en cette qualité, soit directement liés aux activités de cette association ou de ce groupement. Ce nouveau dispositif doit permettre de dissoudre administrativement les entités concernées lorsque leurs dirigeants se sont abstenus de faire cesser de tels agissements, alors même qu’ils en avaient connaissance et compte tenu des moyens dont ils disposaient.</w:t>
      </w:r>
    </w:p>
    <w:p w14:paraId="7A347B5B" w14:textId="77777777" w:rsidR="00957311" w:rsidRPr="002F7998" w:rsidRDefault="00957311" w:rsidP="00957311">
      <w:pPr>
        <w:rPr>
          <w:rFonts w:cstheme="minorHAnsi"/>
        </w:rPr>
      </w:pPr>
      <w:r w:rsidRPr="002F7998">
        <w:rPr>
          <w:rFonts w:cstheme="minorHAnsi"/>
        </w:rPr>
        <w:t>En dernier lieu, cette mesure crée la possibilité, en cas d’urgence, de suspendre à titre conservatoire tout ou partie des activités des associations ou groupements de fait qui font l’objet d’une procédure de dissolution administrative, pendant la durée nécessaire à l’instruction de cette mesure.</w:t>
      </w:r>
    </w:p>
    <w:p w14:paraId="4A6D5449" w14:textId="77777777" w:rsidR="00957311" w:rsidRPr="002F7998" w:rsidRDefault="00957311" w:rsidP="00957311">
      <w:pPr>
        <w:rPr>
          <w:rFonts w:cstheme="minorHAnsi"/>
        </w:rPr>
      </w:pPr>
      <w:r w:rsidRPr="002F7998">
        <w:rPr>
          <w:rFonts w:cstheme="minorHAnsi"/>
        </w:rPr>
        <w:t xml:space="preserve">Une autre mesure du projet de loi entend renforcer le contrôle de l’État sur les fonds de dotation, qui constituent un outil de structuration d’activités philanthropiques, dont la création est très peu contrôlée. </w:t>
      </w:r>
    </w:p>
    <w:p w14:paraId="5F4742AB" w14:textId="77777777" w:rsidR="00957311" w:rsidRPr="002F7998" w:rsidRDefault="00957311" w:rsidP="00957311">
      <w:pPr>
        <w:rPr>
          <w:rFonts w:cstheme="minorHAnsi"/>
        </w:rPr>
      </w:pPr>
      <w:r w:rsidRPr="002F7998">
        <w:rPr>
          <w:rFonts w:cstheme="minorHAnsi"/>
        </w:rPr>
        <w:t>La grande majorité poursuit de manière régulière son objet d’intérêt général. Toutefois, certains fonds peuvent avoir une activité irrégulière. Or, les moyens dont dispose l’État pour contrôler ces organismes ne sont pas suffisants. Sans revenir sur le régime déclaratif des fonds de dotation ni exiger de transmission de documents supplémentaires, l’objectif est de renforcer les moyens dont dispose l’administration chargée de contrôler l’activité des fonds de dotation.</w:t>
      </w:r>
    </w:p>
    <w:p w14:paraId="4BD58545" w14:textId="77777777" w:rsidR="00957311" w:rsidRPr="002F7998" w:rsidRDefault="00957311" w:rsidP="00957311">
      <w:pPr>
        <w:rPr>
          <w:rFonts w:cstheme="minorHAnsi"/>
        </w:rPr>
      </w:pPr>
      <w:r w:rsidRPr="002F7998">
        <w:rPr>
          <w:rFonts w:cstheme="minorHAnsi"/>
        </w:rPr>
        <w:t>Le projet de loi souhaite autoriser l’administration fiscale à vérifier si, au regard de son objet et de ses conditions de fonctionnement, un organisme bénéficiaire de dons satisfait aux conditions requises par la Loi pour que ses donateurs bénéficient de réductions d’impôts.</w:t>
      </w:r>
    </w:p>
    <w:p w14:paraId="5966782A" w14:textId="77777777" w:rsidR="00957311" w:rsidRPr="002F7998" w:rsidRDefault="00957311" w:rsidP="00957311">
      <w:pPr>
        <w:rPr>
          <w:rFonts w:cstheme="minorHAnsi"/>
        </w:rPr>
      </w:pPr>
      <w:r w:rsidRPr="002F7998">
        <w:rPr>
          <w:rFonts w:cstheme="minorHAnsi"/>
        </w:rPr>
        <w:lastRenderedPageBreak/>
        <w:t>Actuellement, la procédure ne permet pas de vérifier le bien-fondé de la dépense fiscale au vu des conditions légales. L’administration fiscale ne peut donc, en pratique, appliquer l’amende prévue par la Loi en cas de délivrance irrégulière de reçus fiscaux que dans un nombre limité de situations.</w:t>
      </w:r>
    </w:p>
    <w:p w14:paraId="4B1CC3C4" w14:textId="77777777" w:rsidR="00957311" w:rsidRPr="002F7998" w:rsidRDefault="00957311" w:rsidP="00957311">
      <w:pPr>
        <w:rPr>
          <w:rFonts w:cstheme="minorHAnsi"/>
        </w:rPr>
      </w:pPr>
      <w:r w:rsidRPr="002F7998">
        <w:rPr>
          <w:rFonts w:cstheme="minorHAnsi"/>
        </w:rPr>
        <w:t>Le projet de loi entend permettre l’application de la sanction pécuniaire prévue en cas de délivrance irrégulière de reçus à d’autres documents ayant le même objet, y compris lorsqu’il est question de mécénat.</w:t>
      </w:r>
    </w:p>
    <w:p w14:paraId="298F0E3F" w14:textId="77777777" w:rsidR="00957311" w:rsidRPr="002F7998" w:rsidRDefault="00957311" w:rsidP="00957311">
      <w:pPr>
        <w:rPr>
          <w:rFonts w:cstheme="minorHAnsi"/>
        </w:rPr>
      </w:pPr>
      <w:r w:rsidRPr="002F7998">
        <w:rPr>
          <w:rFonts w:cstheme="minorHAnsi"/>
        </w:rPr>
        <w:t xml:space="preserve">Une autre mesure du projet de loi crée l’obligation, pour les organismes à but non lucratif bénéficiaires de dons qui estiment être éligibles au régime fiscal du mécénat, de déclarer chaque année le montant cumulé de dons concernés ainsi que le nombre de reçus qu’ils ont délivrés, </w:t>
      </w:r>
      <w:r>
        <w:t>sans devoir transmettre à l’administration</w:t>
      </w:r>
      <w:r w:rsidRPr="002F7998">
        <w:rPr>
          <w:rFonts w:cstheme="minorHAnsi"/>
        </w:rPr>
        <w:t xml:space="preserve"> fiscale l’identité des donateurs : seul le montant global des dons et le nombre de reçus délivrés seront déclarés.</w:t>
      </w:r>
    </w:p>
    <w:p w14:paraId="70224AC5" w14:textId="77777777" w:rsidR="00957311" w:rsidRPr="002F7998" w:rsidRDefault="00957311" w:rsidP="00957311">
      <w:pPr>
        <w:rPr>
          <w:rFonts w:cstheme="minorHAnsi"/>
        </w:rPr>
      </w:pPr>
      <w:r w:rsidRPr="002F7998">
        <w:rPr>
          <w:rFonts w:cstheme="minorHAnsi"/>
        </w:rPr>
        <w:t xml:space="preserve">Pour donner plein effet à cette mesure, les entreprises qui consentent des dons seront dans l’obligation de produire un reçu fiscal émanant du bénéficiaire du don. </w:t>
      </w:r>
    </w:p>
    <w:p w14:paraId="6E9B5722" w14:textId="77777777" w:rsidR="00957311" w:rsidRPr="002F7998" w:rsidRDefault="00957311" w:rsidP="00957311">
      <w:pPr>
        <w:rPr>
          <w:rFonts w:cstheme="minorHAnsi"/>
        </w:rPr>
      </w:pPr>
      <w:r w:rsidRPr="002F7998">
        <w:rPr>
          <w:rFonts w:cstheme="minorHAnsi"/>
        </w:rPr>
        <w:t>Le non-respect de l’obligation déclarative du montant des dons sera sanctionné par une amende de 150 €.</w:t>
      </w:r>
    </w:p>
    <w:p w14:paraId="586A9F06" w14:textId="77777777" w:rsidR="00957311" w:rsidRPr="002F7998" w:rsidRDefault="00957311" w:rsidP="00957311">
      <w:pPr>
        <w:rPr>
          <w:rFonts w:cstheme="minorHAnsi"/>
        </w:rPr>
      </w:pPr>
      <w:r w:rsidRPr="002F7998">
        <w:rPr>
          <w:rFonts w:cstheme="minorHAnsi"/>
        </w:rPr>
        <w:t xml:space="preserve">Enfin, le projet de loi étend les motifs de suspension des avantages fiscaux bénéficiant aux mécènes en cas de condamnation définitive de l’organisme donataire. </w:t>
      </w:r>
    </w:p>
    <w:p w14:paraId="0D6383C5" w14:textId="77777777" w:rsidR="00957311" w:rsidRPr="002F7998" w:rsidRDefault="00957311" w:rsidP="00957311">
      <w:pPr>
        <w:rPr>
          <w:rFonts w:cstheme="minorHAnsi"/>
        </w:rPr>
      </w:pPr>
      <w:r w:rsidRPr="002F7998">
        <w:rPr>
          <w:rFonts w:cstheme="minorHAnsi"/>
        </w:rPr>
        <w:t>La Loi prévoit aujourd’hui cette suspension pour abus de confiance ou pour escroquerie. Il est proposé d’étendre ce mécanisme à d’autres infractions incompatibles avec le bénéfice d’une dépense fiscale, notamment les actes de terrorisme, le recel, le blanchiment ainsi que 2 nouvelles infractions prévues par le projet de loi : la mise en danger de la vie d’autrui par la diffusion d’informations, et l’usage de menaces ou de pressions à l’encontre d’un agent public en vue de se soustraire aux règles du service public.</w:t>
      </w:r>
    </w:p>
    <w:p w14:paraId="3DC2E732" w14:textId="77777777" w:rsidR="00957311" w:rsidRPr="002F7998" w:rsidRDefault="00957311" w:rsidP="00957311">
      <w:pPr>
        <w:rPr>
          <w:rFonts w:cstheme="minorHAnsi"/>
        </w:rPr>
      </w:pPr>
    </w:p>
    <w:p w14:paraId="792C3FB4" w14:textId="77777777" w:rsidR="00957311" w:rsidRPr="00DB5BCB" w:rsidRDefault="00957311" w:rsidP="00957311">
      <w:pPr>
        <w:pStyle w:val="Paragraphedeliste"/>
        <w:numPr>
          <w:ilvl w:val="0"/>
          <w:numId w:val="1"/>
        </w:numPr>
        <w:rPr>
          <w:rFonts w:cstheme="minorHAnsi"/>
          <w:b/>
          <w:bCs/>
          <w:i/>
          <w:iCs/>
          <w:u w:val="single"/>
        </w:rPr>
      </w:pPr>
      <w:r w:rsidRPr="00DB5BCB">
        <w:rPr>
          <w:rFonts w:cstheme="minorHAnsi"/>
          <w:b/>
          <w:bCs/>
          <w:i/>
          <w:iCs/>
          <w:u w:val="single"/>
        </w:rPr>
        <w:t>Protéger les héritiers réservataires</w:t>
      </w:r>
    </w:p>
    <w:p w14:paraId="3194D4BA" w14:textId="77777777" w:rsidR="00957311" w:rsidRPr="002F7998" w:rsidRDefault="00957311" w:rsidP="00957311">
      <w:pPr>
        <w:rPr>
          <w:rFonts w:cstheme="minorHAnsi"/>
        </w:rPr>
      </w:pPr>
      <w:r w:rsidRPr="002F7998">
        <w:rPr>
          <w:rFonts w:cstheme="minorHAnsi"/>
        </w:rPr>
        <w:t>Le projet de loi entend renforcer la protection des héritiers réservataires.</w:t>
      </w:r>
    </w:p>
    <w:p w14:paraId="35B1B29F" w14:textId="77777777" w:rsidR="00957311" w:rsidRPr="002F7998" w:rsidRDefault="00957311" w:rsidP="00957311">
      <w:pPr>
        <w:rPr>
          <w:rFonts w:cstheme="minorHAnsi"/>
        </w:rPr>
      </w:pPr>
      <w:r w:rsidRPr="002F7998">
        <w:rPr>
          <w:rFonts w:cstheme="minorHAnsi"/>
        </w:rPr>
        <w:t>La Loi actuelle est complétée pour que tous les enfants héritiers légaux bénéficient de leurs droits sans qu’une distinction puisse être opérée sur des critères discriminatoires.</w:t>
      </w:r>
    </w:p>
    <w:p w14:paraId="7D1E4970" w14:textId="77777777" w:rsidR="00957311" w:rsidRPr="002F7998" w:rsidRDefault="00957311" w:rsidP="00957311">
      <w:pPr>
        <w:rPr>
          <w:rFonts w:cstheme="minorHAnsi"/>
        </w:rPr>
      </w:pPr>
      <w:r w:rsidRPr="002F7998">
        <w:rPr>
          <w:rFonts w:cstheme="minorHAnsi"/>
        </w:rPr>
        <w:t>Ainsi, le projet de loi rétablit un nouveau droit de prélèvement compensatoire qui permettrait à tous les enfants omis par le défunt de récupérer sur les biens situés en France l’équivalent de leur réserve, dès lors que la Loi étrangère applicable à la succession permet de les déshériter. Ce droit de prélèvement jouera dès lors que le défunt ou l’un des enfants est ressortissant d’un État membre de l’Union Européenne ou y réside au moment du décès.</w:t>
      </w:r>
    </w:p>
    <w:p w14:paraId="0DF43910" w14:textId="77777777" w:rsidR="00957311" w:rsidRPr="002F7998" w:rsidRDefault="00957311" w:rsidP="00957311">
      <w:pPr>
        <w:rPr>
          <w:rFonts w:cstheme="minorHAnsi"/>
        </w:rPr>
      </w:pPr>
      <w:r w:rsidRPr="002F7998">
        <w:rPr>
          <w:rFonts w:cstheme="minorHAnsi"/>
        </w:rPr>
        <w:t>Une autre mesure prévoi</w:t>
      </w:r>
      <w:r>
        <w:rPr>
          <w:rFonts w:cstheme="minorHAnsi"/>
        </w:rPr>
        <w:t>t</w:t>
      </w:r>
      <w:r w:rsidRPr="002F7998">
        <w:rPr>
          <w:rFonts w:cstheme="minorHAnsi"/>
        </w:rPr>
        <w:t xml:space="preserve"> d’assurer l’information des héritiers réservataires de leur droit à l’action en réduction. Concrètement, le notaire aura l’obligation d’informer précisément et individuellement les héritiers susceptibles d’être lésés par les libéralités effectuées par le défunt.</w:t>
      </w:r>
    </w:p>
    <w:p w14:paraId="6D3DD986" w14:textId="77777777" w:rsidR="00957311" w:rsidRPr="002F7998" w:rsidRDefault="00957311" w:rsidP="00957311">
      <w:pPr>
        <w:rPr>
          <w:rFonts w:cstheme="minorHAnsi"/>
        </w:rPr>
      </w:pPr>
    </w:p>
    <w:p w14:paraId="78CEEB27" w14:textId="77777777" w:rsidR="00957311" w:rsidRPr="00DB5BCB" w:rsidRDefault="00957311" w:rsidP="00957311">
      <w:pPr>
        <w:pStyle w:val="Paragraphedeliste"/>
        <w:numPr>
          <w:ilvl w:val="0"/>
          <w:numId w:val="1"/>
        </w:numPr>
        <w:rPr>
          <w:rFonts w:cstheme="minorHAnsi"/>
          <w:b/>
          <w:bCs/>
          <w:i/>
          <w:iCs/>
          <w:u w:val="single"/>
        </w:rPr>
      </w:pPr>
      <w:r w:rsidRPr="00DB5BCB">
        <w:rPr>
          <w:rFonts w:cstheme="minorHAnsi"/>
          <w:b/>
          <w:bCs/>
          <w:i/>
          <w:iCs/>
          <w:u w:val="single"/>
        </w:rPr>
        <w:t>Lutter contre la polygamie</w:t>
      </w:r>
    </w:p>
    <w:p w14:paraId="35203293" w14:textId="77777777" w:rsidR="00957311" w:rsidRPr="002F7998" w:rsidRDefault="00957311" w:rsidP="00957311">
      <w:pPr>
        <w:rPr>
          <w:rFonts w:cstheme="minorHAnsi"/>
        </w:rPr>
      </w:pPr>
      <w:r w:rsidRPr="002F7998">
        <w:rPr>
          <w:rFonts w:cstheme="minorHAnsi"/>
        </w:rPr>
        <w:t>Si certaines dispositions du code de l’entrée et du séjour des étrangers et du droit d’asile permettent déjà d’opposer l’état de polygamie pour refuser ou retirer certains titres de séjour, ce motif n’est pas opposable à toutes les situations. Le projet de loi remédie à cela.</w:t>
      </w:r>
    </w:p>
    <w:p w14:paraId="2F411189" w14:textId="77777777" w:rsidR="00957311" w:rsidRPr="002F7998" w:rsidRDefault="00957311" w:rsidP="00957311">
      <w:pPr>
        <w:rPr>
          <w:rFonts w:cstheme="minorHAnsi"/>
        </w:rPr>
      </w:pPr>
      <w:r w:rsidRPr="002F7998">
        <w:rPr>
          <w:rFonts w:cstheme="minorHAnsi"/>
        </w:rPr>
        <w:lastRenderedPageBreak/>
        <w:t xml:space="preserve">Pour lutter contre la polygamie, le projet de loi limite aussi le bénéfice d’une pension de réversion à un unique conjoint survivant ainsi qu’aux conjoints divorcés si l’assuré décédé n’était pas marié avec d’autres conjoints pendant la période du mariage. </w:t>
      </w:r>
    </w:p>
    <w:p w14:paraId="6E4A9054" w14:textId="77777777" w:rsidR="00957311" w:rsidRPr="002F7998" w:rsidRDefault="00957311" w:rsidP="00957311">
      <w:pPr>
        <w:rPr>
          <w:rFonts w:cstheme="minorHAnsi"/>
        </w:rPr>
      </w:pPr>
    </w:p>
    <w:p w14:paraId="3D8FE55F" w14:textId="77777777" w:rsidR="00957311" w:rsidRPr="00DB5BCB" w:rsidRDefault="00957311" w:rsidP="00957311">
      <w:pPr>
        <w:pStyle w:val="Paragraphedeliste"/>
        <w:numPr>
          <w:ilvl w:val="0"/>
          <w:numId w:val="1"/>
        </w:numPr>
        <w:rPr>
          <w:rFonts w:cstheme="minorHAnsi"/>
          <w:b/>
          <w:bCs/>
          <w:i/>
          <w:iCs/>
          <w:u w:val="single"/>
        </w:rPr>
      </w:pPr>
      <w:r w:rsidRPr="00DB5BCB">
        <w:rPr>
          <w:rFonts w:cstheme="minorHAnsi"/>
          <w:b/>
          <w:bCs/>
          <w:i/>
          <w:iCs/>
          <w:u w:val="single"/>
        </w:rPr>
        <w:t>Lutter contre les mariages forcés</w:t>
      </w:r>
    </w:p>
    <w:p w14:paraId="545F34EB" w14:textId="77777777" w:rsidR="00957311" w:rsidRPr="002F7998" w:rsidRDefault="00957311" w:rsidP="00957311">
      <w:pPr>
        <w:rPr>
          <w:rFonts w:cstheme="minorHAnsi"/>
        </w:rPr>
      </w:pPr>
      <w:r w:rsidRPr="002F7998">
        <w:rPr>
          <w:rFonts w:cstheme="minorHAnsi"/>
        </w:rPr>
        <w:t>Le projet de loi renforce le dispositif de protection du consentement de futurs époux contre la célébration de mariages forcés.</w:t>
      </w:r>
    </w:p>
    <w:p w14:paraId="637DF92E" w14:textId="77777777" w:rsidR="00957311" w:rsidRPr="002F7998" w:rsidRDefault="00957311" w:rsidP="00957311">
      <w:pPr>
        <w:rPr>
          <w:rFonts w:cstheme="minorHAnsi"/>
        </w:rPr>
      </w:pPr>
      <w:r w:rsidRPr="002F7998">
        <w:rPr>
          <w:rFonts w:cstheme="minorHAnsi"/>
        </w:rPr>
        <w:t>Après l’audition commune et l’examen des pièces fournies et des éléments circonstanciés extérieurs qui seront portés à sa connaissance, l’officier de l’état civil aura l’obligation de s’entretenir séparément avec les futurs époux lorsqu’il existe un doute sur le caractère libre du consentement.</w:t>
      </w:r>
    </w:p>
    <w:p w14:paraId="72CD436F" w14:textId="77777777" w:rsidR="00957311" w:rsidRPr="002F7998" w:rsidRDefault="00957311" w:rsidP="00957311">
      <w:pPr>
        <w:rPr>
          <w:rFonts w:cstheme="minorHAnsi"/>
        </w:rPr>
      </w:pPr>
      <w:r w:rsidRPr="002F7998">
        <w:rPr>
          <w:rFonts w:cstheme="minorHAnsi"/>
        </w:rPr>
        <w:t>En outre, il aura l’obligation de saisir le procureur de la République aux fins d’éventuelle opposition à mariage s’il conserve ses doutes à l’issue de l’entretien.</w:t>
      </w:r>
    </w:p>
    <w:p w14:paraId="47A0DE7A" w14:textId="77777777" w:rsidR="00957311" w:rsidRPr="002F7998" w:rsidRDefault="00957311" w:rsidP="00957311">
      <w:pPr>
        <w:rPr>
          <w:rFonts w:cstheme="minorHAnsi"/>
        </w:rPr>
      </w:pPr>
    </w:p>
    <w:p w14:paraId="0183D08E" w14:textId="77777777" w:rsidR="00957311" w:rsidRPr="00DB5BCB" w:rsidRDefault="00957311" w:rsidP="00957311">
      <w:pPr>
        <w:pStyle w:val="Paragraphedeliste"/>
        <w:numPr>
          <w:ilvl w:val="0"/>
          <w:numId w:val="1"/>
        </w:numPr>
        <w:rPr>
          <w:rFonts w:cstheme="minorHAnsi"/>
          <w:b/>
          <w:bCs/>
          <w:i/>
          <w:iCs/>
          <w:u w:val="single"/>
        </w:rPr>
      </w:pPr>
      <w:r w:rsidRPr="00DB5BCB">
        <w:rPr>
          <w:rFonts w:cstheme="minorHAnsi"/>
          <w:b/>
          <w:bCs/>
          <w:i/>
          <w:iCs/>
          <w:u w:val="single"/>
        </w:rPr>
        <w:t>Pour les médecins</w:t>
      </w:r>
    </w:p>
    <w:p w14:paraId="38E49015" w14:textId="77777777" w:rsidR="00957311" w:rsidRPr="002F7998" w:rsidRDefault="00957311" w:rsidP="00957311">
      <w:pPr>
        <w:rPr>
          <w:rFonts w:cstheme="minorHAnsi"/>
        </w:rPr>
      </w:pPr>
      <w:r w:rsidRPr="002F7998">
        <w:rPr>
          <w:rFonts w:cstheme="minorHAnsi"/>
        </w:rPr>
        <w:t>Le projet de loi entend interdire à l’ensemble des professionnels de santé l’établissement de certificats attestant de la virginité d’une personne et à sanctionner ceux qui y contreviendraient.</w:t>
      </w:r>
    </w:p>
    <w:p w14:paraId="33784DD2" w14:textId="77777777" w:rsidR="00957311" w:rsidRPr="002F7998" w:rsidRDefault="00957311" w:rsidP="00957311">
      <w:pPr>
        <w:rPr>
          <w:rFonts w:cstheme="minorHAnsi"/>
        </w:rPr>
      </w:pPr>
    </w:p>
    <w:p w14:paraId="294E4E94" w14:textId="77777777" w:rsidR="00957311" w:rsidRPr="00DB5BCB" w:rsidRDefault="00957311" w:rsidP="00957311">
      <w:pPr>
        <w:pStyle w:val="Paragraphedeliste"/>
        <w:numPr>
          <w:ilvl w:val="0"/>
          <w:numId w:val="1"/>
        </w:numPr>
        <w:rPr>
          <w:rFonts w:cstheme="minorHAnsi"/>
          <w:b/>
          <w:bCs/>
          <w:i/>
          <w:iCs/>
          <w:u w:val="single"/>
        </w:rPr>
      </w:pPr>
      <w:r w:rsidRPr="00DB5BCB">
        <w:rPr>
          <w:rFonts w:cstheme="minorHAnsi"/>
          <w:b/>
          <w:bCs/>
          <w:i/>
          <w:iCs/>
          <w:u w:val="single"/>
        </w:rPr>
        <w:t>Lutter contre la haine en ligne</w:t>
      </w:r>
    </w:p>
    <w:p w14:paraId="3C293CB6" w14:textId="77777777" w:rsidR="00957311" w:rsidRPr="002F7998" w:rsidRDefault="00957311" w:rsidP="00957311">
      <w:pPr>
        <w:rPr>
          <w:rFonts w:cstheme="minorHAnsi"/>
        </w:rPr>
      </w:pPr>
      <w:r w:rsidRPr="002F7998">
        <w:rPr>
          <w:rFonts w:cstheme="minorHAnsi"/>
        </w:rPr>
        <w:t xml:space="preserve">Le projet de loi crée un nouveau délit de mise en danger de la vie d’autrui par diffusion d’informations relatives à la vie privée, familiale ou professionnelle d’une personne, permettant de l’identifier ou de la localiser, dans le but de l’exposer elle-même ou les membres de sa famille à un risque immédiat d’atteinte à la vie, à l’intégrité physique ou psychique, ou aux biens. </w:t>
      </w:r>
    </w:p>
    <w:p w14:paraId="150AEDC2" w14:textId="77777777" w:rsidR="00957311" w:rsidRPr="002F7998" w:rsidRDefault="00957311" w:rsidP="00957311">
      <w:pPr>
        <w:rPr>
          <w:rFonts w:cstheme="minorHAnsi"/>
        </w:rPr>
      </w:pPr>
      <w:r w:rsidRPr="002F7998">
        <w:rPr>
          <w:rFonts w:cstheme="minorHAnsi"/>
        </w:rPr>
        <w:t>Cette incrimination a pour objet de prévenir la commission d’infractions portant atteinte aux personnes et aux biens. Le comportement prohibé est donc réprimé indépendamment de l’existence d’un résultat.</w:t>
      </w:r>
    </w:p>
    <w:p w14:paraId="5F4FE492" w14:textId="77777777" w:rsidR="00957311" w:rsidRPr="002F7998" w:rsidRDefault="00957311" w:rsidP="00957311">
      <w:pPr>
        <w:rPr>
          <w:rFonts w:cstheme="minorHAnsi"/>
        </w:rPr>
      </w:pPr>
      <w:r w:rsidRPr="002F7998">
        <w:rPr>
          <w:rFonts w:cstheme="minorHAnsi"/>
        </w:rPr>
        <w:t>En revanche, l’infraction ne peut être retenue que s’il est prouvé une intention particulière de l’auteur des faits de porter atteinte à l’intégrité physique ou aux biens de la personne.</w:t>
      </w:r>
    </w:p>
    <w:p w14:paraId="17009E9E" w14:textId="77777777" w:rsidR="00957311" w:rsidRPr="002F7998" w:rsidRDefault="00957311" w:rsidP="00957311">
      <w:pPr>
        <w:rPr>
          <w:rFonts w:cstheme="minorHAnsi"/>
        </w:rPr>
      </w:pPr>
      <w:r w:rsidRPr="002F7998">
        <w:rPr>
          <w:rFonts w:cstheme="minorHAnsi"/>
        </w:rPr>
        <w:t>Enfin, les peines sont aggravées lorsque la personne visée est dépositaire de l’autorité publique ou chargée d’une mission de service public. La création de ce nouveau délit vise ainsi à protéger les personnes en interdisant la diffusion malveillante de données personnelles, notamment sur un service de communication au public en ligne.</w:t>
      </w:r>
    </w:p>
    <w:p w14:paraId="0DD1C441" w14:textId="77777777" w:rsidR="00957311" w:rsidRPr="002F7998" w:rsidRDefault="00957311" w:rsidP="00957311">
      <w:pPr>
        <w:rPr>
          <w:rFonts w:cstheme="minorHAnsi"/>
        </w:rPr>
      </w:pPr>
      <w:r w:rsidRPr="002F7998">
        <w:rPr>
          <w:rFonts w:cstheme="minorHAnsi"/>
        </w:rPr>
        <w:t>Une autre mesure du projet de loi vise à instituer une procédure à même d’assurer l’effectivité d’une décision de justice exécutoire constatant l’illicéité d’un site Web et ordonnant son blocage ou son déréférencement.</w:t>
      </w:r>
    </w:p>
    <w:p w14:paraId="4362B593" w14:textId="77777777" w:rsidR="00957311" w:rsidRPr="002F7998" w:rsidRDefault="00957311" w:rsidP="00957311">
      <w:pPr>
        <w:rPr>
          <w:rFonts w:cstheme="minorHAnsi"/>
        </w:rPr>
      </w:pPr>
      <w:r w:rsidRPr="002F7998">
        <w:rPr>
          <w:rFonts w:cstheme="minorHAnsi"/>
        </w:rPr>
        <w:t>Par ailleurs, le projet de loi fait évoluer le cadre procédural applicable à la poursuite des délits de provocation à la commission d’infractions graves, des délits d’apologie d’infractions graves ainsi que des délits de provocation à la haine discriminatoire. L’objectif est d’apporter une réponse rapide aux comportements qui, dans un contexte d’évolutions majeures des outils de communication, portent une atteinte grave à notre capacité à vivre ensemble.</w:t>
      </w:r>
    </w:p>
    <w:p w14:paraId="3CDC9893" w14:textId="77777777" w:rsidR="00957311" w:rsidRPr="002F7998" w:rsidRDefault="00957311" w:rsidP="00957311">
      <w:pPr>
        <w:rPr>
          <w:rFonts w:cstheme="minorHAnsi"/>
        </w:rPr>
      </w:pPr>
    </w:p>
    <w:p w14:paraId="75D626E0" w14:textId="77777777" w:rsidR="00957311" w:rsidRPr="00DB5BCB" w:rsidRDefault="00957311" w:rsidP="00957311">
      <w:pPr>
        <w:pStyle w:val="Paragraphedeliste"/>
        <w:numPr>
          <w:ilvl w:val="0"/>
          <w:numId w:val="1"/>
        </w:numPr>
        <w:rPr>
          <w:rFonts w:cstheme="minorHAnsi"/>
          <w:b/>
          <w:bCs/>
          <w:i/>
          <w:iCs/>
          <w:u w:val="single"/>
        </w:rPr>
      </w:pPr>
      <w:r w:rsidRPr="00DB5BCB">
        <w:rPr>
          <w:rFonts w:cstheme="minorHAnsi"/>
          <w:b/>
          <w:bCs/>
          <w:i/>
          <w:iCs/>
          <w:u w:val="single"/>
        </w:rPr>
        <w:t>Les mesures pour l’éducation</w:t>
      </w:r>
    </w:p>
    <w:p w14:paraId="339E59A9" w14:textId="77777777" w:rsidR="00957311" w:rsidRPr="002F7998" w:rsidRDefault="00957311" w:rsidP="00957311">
      <w:pPr>
        <w:rPr>
          <w:rFonts w:cstheme="minorHAnsi"/>
        </w:rPr>
      </w:pPr>
      <w:r w:rsidRPr="002F7998">
        <w:rPr>
          <w:rFonts w:cstheme="minorHAnsi"/>
        </w:rPr>
        <w:t xml:space="preserve">Le projet de loi pose le principe de la scolarisation obligatoire de l’ensemble des enfants aujourd’hui soumis à l’obligation d’instruction, soit les enfants âgés de 3 à 16 ans. </w:t>
      </w:r>
    </w:p>
    <w:p w14:paraId="5CE26CA7" w14:textId="77777777" w:rsidR="00957311" w:rsidRPr="002F7998" w:rsidRDefault="00957311" w:rsidP="00957311">
      <w:pPr>
        <w:rPr>
          <w:rFonts w:cstheme="minorHAnsi"/>
        </w:rPr>
      </w:pPr>
      <w:r w:rsidRPr="002F7998">
        <w:rPr>
          <w:rFonts w:cstheme="minorHAnsi"/>
        </w:rPr>
        <w:t>Il ne pourra être dérogé à cette obligation de fréquenter un établissement d’enseignement public ou privé que sur autorisation délivrée par les services académiques, pour des motifs tirés de la situation de l’enfant et définis par la Loi.</w:t>
      </w:r>
    </w:p>
    <w:p w14:paraId="756F2EB6" w14:textId="77777777" w:rsidR="00957311" w:rsidRPr="002F7998" w:rsidRDefault="00957311" w:rsidP="00957311">
      <w:pPr>
        <w:rPr>
          <w:rFonts w:cstheme="minorHAnsi"/>
        </w:rPr>
      </w:pPr>
      <w:r w:rsidRPr="002F7998">
        <w:rPr>
          <w:rFonts w:cstheme="minorHAnsi"/>
        </w:rPr>
        <w:t>Par ailleurs, il instaure un régime de fermeture administrative des établissements d’enseignement privé hors contrat ainsi que des établissements illégalement ouverts. Il s’agit de permettre aux autorités, lorsque sont constatés des dérives ou des manquements graves et réitérés à la réglementation, d’y mettre fin dans les meilleurs délais, dans l’intérêt des enfants qui y sont accueillis.</w:t>
      </w:r>
    </w:p>
    <w:p w14:paraId="455FF979" w14:textId="77777777" w:rsidR="00957311" w:rsidRPr="002F7998" w:rsidRDefault="00957311" w:rsidP="00957311">
      <w:pPr>
        <w:rPr>
          <w:rFonts w:cstheme="minorHAnsi"/>
        </w:rPr>
      </w:pPr>
      <w:r w:rsidRPr="002F7998">
        <w:rPr>
          <w:rFonts w:cstheme="minorHAnsi"/>
        </w:rPr>
        <w:t>Enfin, le projet de loi prévoit une condition supplémentaire pour la passation, par un établissement d’enseignement privé, d’un contrat simple ou d’association avec l’État. Tout établissement privé souhaitant conclure un tel contrat, qui lui ouvre droit à un financement public, devra préalablement démontrer qu’il est en mesure de dispenser, selon la nature du contrat, un enseignement conforme aux programmes de l’enseignement public ou par référence à ceux-ci.</w:t>
      </w:r>
    </w:p>
    <w:p w14:paraId="0DF26C74" w14:textId="77777777" w:rsidR="00957311" w:rsidRDefault="00957311" w:rsidP="00957311">
      <w:pPr>
        <w:rPr>
          <w:rFonts w:cstheme="minorHAnsi"/>
          <w:b/>
          <w:bCs/>
          <w:i/>
          <w:iCs/>
          <w:u w:val="single"/>
        </w:rPr>
      </w:pPr>
    </w:p>
    <w:p w14:paraId="28375B49" w14:textId="77777777" w:rsidR="00957311" w:rsidRPr="00DB5BCB" w:rsidRDefault="00957311" w:rsidP="00957311">
      <w:pPr>
        <w:pStyle w:val="Paragraphedeliste"/>
        <w:numPr>
          <w:ilvl w:val="0"/>
          <w:numId w:val="1"/>
        </w:numPr>
        <w:rPr>
          <w:rFonts w:cstheme="minorHAnsi"/>
          <w:b/>
          <w:bCs/>
          <w:i/>
          <w:iCs/>
          <w:u w:val="single"/>
        </w:rPr>
      </w:pPr>
      <w:r w:rsidRPr="00DB5BCB">
        <w:rPr>
          <w:rFonts w:cstheme="minorHAnsi"/>
          <w:b/>
          <w:bCs/>
          <w:i/>
          <w:iCs/>
          <w:u w:val="single"/>
        </w:rPr>
        <w:t>Pour les fédérations sportives</w:t>
      </w:r>
    </w:p>
    <w:p w14:paraId="6EB5BB62" w14:textId="77777777" w:rsidR="00957311" w:rsidRPr="002F7998" w:rsidRDefault="00957311" w:rsidP="00957311">
      <w:pPr>
        <w:rPr>
          <w:rFonts w:cstheme="minorHAnsi"/>
        </w:rPr>
      </w:pPr>
      <w:r w:rsidRPr="002F7998">
        <w:rPr>
          <w:rFonts w:cstheme="minorHAnsi"/>
        </w:rPr>
        <w:t>Le projet de loi remplace le régime de tutelle sur l’ensemble des fédérations sportives reconnues par l’État par un régime de contrôle.</w:t>
      </w:r>
    </w:p>
    <w:p w14:paraId="4CE2A3D3" w14:textId="77777777" w:rsidR="00957311" w:rsidRPr="002F7998" w:rsidRDefault="00957311" w:rsidP="00957311">
      <w:pPr>
        <w:rPr>
          <w:rFonts w:cstheme="minorHAnsi"/>
        </w:rPr>
      </w:pPr>
      <w:r w:rsidRPr="002F7998">
        <w:rPr>
          <w:rFonts w:cstheme="minorHAnsi"/>
        </w:rPr>
        <w:t>S’agissant des associations et fédérations sportives agréées, il introduit le respect des principes républicains, par la souscription d’un contrat d’engagement républicain, dans le socle législatif.</w:t>
      </w:r>
    </w:p>
    <w:p w14:paraId="2DB3ADFF" w14:textId="77777777" w:rsidR="00957311" w:rsidRPr="002F7998" w:rsidRDefault="00957311" w:rsidP="00957311">
      <w:pPr>
        <w:rPr>
          <w:rFonts w:cstheme="minorHAnsi"/>
        </w:rPr>
      </w:pPr>
      <w:r w:rsidRPr="002F7998">
        <w:rPr>
          <w:rFonts w:cstheme="minorHAnsi"/>
        </w:rPr>
        <w:t>Afin de permettre le contrôle régulier de cette obligation, il fixe une durée d’agrément pour les fédérations sportives et prévoit que le non</w:t>
      </w:r>
      <w:r>
        <w:rPr>
          <w:rFonts w:cstheme="minorHAnsi"/>
        </w:rPr>
        <w:t>-</w:t>
      </w:r>
      <w:r w:rsidRPr="002F7998">
        <w:rPr>
          <w:rFonts w:cstheme="minorHAnsi"/>
        </w:rPr>
        <w:t>respect du contrat d’engagement républicain entra</w:t>
      </w:r>
      <w:r>
        <w:rPr>
          <w:rFonts w:cstheme="minorHAnsi"/>
        </w:rPr>
        <w:t>î</w:t>
      </w:r>
      <w:r w:rsidRPr="002F7998">
        <w:rPr>
          <w:rFonts w:cstheme="minorHAnsi"/>
        </w:rPr>
        <w:t>ne le retrait de l’agrément.</w:t>
      </w:r>
    </w:p>
    <w:p w14:paraId="6126C908" w14:textId="77777777" w:rsidR="00957311" w:rsidRPr="002F7998" w:rsidRDefault="00957311" w:rsidP="00957311">
      <w:pPr>
        <w:rPr>
          <w:rFonts w:cstheme="minorHAnsi"/>
        </w:rPr>
      </w:pPr>
      <w:r w:rsidRPr="002F7998">
        <w:rPr>
          <w:rFonts w:cstheme="minorHAnsi"/>
        </w:rPr>
        <w:t>Enfin, pour les fédérations délégataires, il crée les conditions permettant de favoriser l’exercice du contrôle de l’action fédérale en instaurant la conclusion d’un contrat de délégation. Il ajoute aux obligations des fédérations délégataires la définition d’une stratégie nationale visant à promouvoir les principes du contrat d’engagement républicain.</w:t>
      </w:r>
    </w:p>
    <w:p w14:paraId="27FB16FE" w14:textId="77777777" w:rsidR="00957311" w:rsidRPr="002F7998" w:rsidRDefault="00957311" w:rsidP="00957311">
      <w:pPr>
        <w:rPr>
          <w:rFonts w:cstheme="minorHAnsi"/>
        </w:rPr>
      </w:pPr>
    </w:p>
    <w:p w14:paraId="66ADD501" w14:textId="77777777" w:rsidR="00957311" w:rsidRPr="00DB5BCB" w:rsidRDefault="00957311" w:rsidP="00957311">
      <w:pPr>
        <w:pStyle w:val="Paragraphedeliste"/>
        <w:numPr>
          <w:ilvl w:val="0"/>
          <w:numId w:val="1"/>
        </w:numPr>
        <w:rPr>
          <w:rFonts w:cstheme="minorHAnsi"/>
          <w:b/>
          <w:bCs/>
          <w:i/>
          <w:iCs/>
          <w:u w:val="single"/>
        </w:rPr>
      </w:pPr>
      <w:r w:rsidRPr="00DB5BCB">
        <w:rPr>
          <w:rFonts w:cstheme="minorHAnsi"/>
          <w:b/>
          <w:bCs/>
          <w:i/>
          <w:iCs/>
          <w:u w:val="single"/>
        </w:rPr>
        <w:t>L’exercice libre du culte</w:t>
      </w:r>
    </w:p>
    <w:p w14:paraId="35D17330" w14:textId="77777777" w:rsidR="00957311" w:rsidRPr="00DB5BCB" w:rsidRDefault="00957311" w:rsidP="00EA763A">
      <w:pPr>
        <w:pStyle w:val="Paragraphedeliste"/>
        <w:numPr>
          <w:ilvl w:val="0"/>
          <w:numId w:val="166"/>
        </w:numPr>
        <w:rPr>
          <w:rFonts w:cstheme="minorHAnsi"/>
          <w:b/>
          <w:bCs/>
        </w:rPr>
      </w:pPr>
      <w:r w:rsidRPr="00DB5BCB">
        <w:rPr>
          <w:rFonts w:cstheme="minorHAnsi"/>
          <w:b/>
          <w:bCs/>
        </w:rPr>
        <w:t>Renforcer la transparence des conditions de l’exercice du culte.</w:t>
      </w:r>
    </w:p>
    <w:p w14:paraId="3F3CBA86" w14:textId="77777777" w:rsidR="00957311" w:rsidRPr="002F7998" w:rsidRDefault="00957311" w:rsidP="00957311">
      <w:pPr>
        <w:rPr>
          <w:rFonts w:cstheme="minorHAnsi"/>
        </w:rPr>
      </w:pPr>
      <w:r w:rsidRPr="002F7998">
        <w:rPr>
          <w:rFonts w:cstheme="minorHAnsi"/>
        </w:rPr>
        <w:t>Le projet de loi simplifie la condition relative au nombre minimal de membres requis pour constituer une association cultuelle en la fixant à 7 personnes majeures.</w:t>
      </w:r>
    </w:p>
    <w:p w14:paraId="17CC8877" w14:textId="77777777" w:rsidR="00957311" w:rsidRPr="002F7998" w:rsidRDefault="00957311" w:rsidP="00957311">
      <w:pPr>
        <w:rPr>
          <w:rFonts w:cstheme="minorHAnsi"/>
        </w:rPr>
      </w:pPr>
      <w:r w:rsidRPr="002F7998">
        <w:rPr>
          <w:rFonts w:cstheme="minorHAnsi"/>
        </w:rPr>
        <w:t>De plus, il impose également aux associations cultuelles de prévoir des règles de fonctionnement garantissant une meilleure maîtrise par leurs membres des décisions importantes prises par l’association, en soumettant à la décision d’un organe délibérant l’adhésion des nouveaux membres, les modifications statutaires, les cessions immobilières et, sauf si cela ne relève pas des compétences de l’association, le recrutement des ministres du culte.</w:t>
      </w:r>
    </w:p>
    <w:p w14:paraId="1C9BF248" w14:textId="77777777" w:rsidR="00957311" w:rsidRPr="002F7998" w:rsidRDefault="00957311" w:rsidP="00957311">
      <w:pPr>
        <w:rPr>
          <w:rFonts w:cstheme="minorHAnsi"/>
        </w:rPr>
      </w:pPr>
      <w:r w:rsidRPr="002F7998">
        <w:rPr>
          <w:rFonts w:cstheme="minorHAnsi"/>
        </w:rPr>
        <w:lastRenderedPageBreak/>
        <w:t>L’objectif poursuivi est de renforcer les procédures de démocratie interne s’agissant des actes de gestion les plus importants afin de mieux lutter contre les tentatives de prise de contrôle par des groupes radicaux ou contre des dérives pouvant aboutir à l’appropriation du fonctionnement associatif par certains individus, contre la volonté des membres de l’association.</w:t>
      </w:r>
    </w:p>
    <w:p w14:paraId="25AA7EB6" w14:textId="77777777" w:rsidR="00957311" w:rsidRPr="002F7998" w:rsidRDefault="00957311" w:rsidP="00957311">
      <w:pPr>
        <w:rPr>
          <w:rFonts w:cstheme="minorHAnsi"/>
        </w:rPr>
      </w:pPr>
      <w:r w:rsidRPr="002F7998">
        <w:rPr>
          <w:rFonts w:cstheme="minorHAnsi"/>
        </w:rPr>
        <w:t>Cette disposition n’empêche pas les associations cultuelles de choisir que les ministres du culte soient désignés de manière extérieure au cadre associatif, en conformité avec les principes régissant le culte dont elles se proposent d’organiser l’exercice public.</w:t>
      </w:r>
    </w:p>
    <w:p w14:paraId="18CBDBB2" w14:textId="77777777" w:rsidR="00957311" w:rsidRPr="002F7998" w:rsidRDefault="00957311" w:rsidP="00957311">
      <w:pPr>
        <w:rPr>
          <w:rFonts w:cstheme="minorHAnsi"/>
        </w:rPr>
      </w:pPr>
      <w:r w:rsidRPr="002F7998">
        <w:rPr>
          <w:rFonts w:cstheme="minorHAnsi"/>
        </w:rPr>
        <w:t xml:space="preserve">Par ailleurs, le projet de loi transforme la procédure actuelle de rescrit administratif, qui permet à une association cultuelle d’obtenir la confirmation par l’administration qu’elle répond aux prescriptions de ce statut, en une obligation de déclaration, auprès du Préfet, de la qualité cultuelle de toute association qui souhaite bénéficier des avantages propres à la catégorie des associations cultuelles. </w:t>
      </w:r>
    </w:p>
    <w:p w14:paraId="5FB7EB64" w14:textId="77777777" w:rsidR="00957311" w:rsidRPr="002F7998" w:rsidRDefault="00957311" w:rsidP="00957311">
      <w:pPr>
        <w:rPr>
          <w:rFonts w:cstheme="minorHAnsi"/>
        </w:rPr>
      </w:pPr>
      <w:r w:rsidRPr="002F7998">
        <w:rPr>
          <w:rFonts w:cstheme="minorHAnsi"/>
        </w:rPr>
        <w:t>Ce dispositif a pour but de permettre à l’administration de s’assurer, dès l’origine, que les associations qui se déclarent cultuelles et qui bénéficient à ce titre de certains avantages, notamment fiscaux, respectent les règles applicables à cette catégorie particulière d’association et qu’aucun motif d’ordre public n’y fait obstacle. L’administration sera également fondée à mettre un terme à tout moment au bénéfice de ces avantages si une association cultuelle ne respecte plus les règles de constitution et de fonctionnement qui s’imposent à elle ou pour un motif d’ordre public tiré de ses agissements.</w:t>
      </w:r>
    </w:p>
    <w:p w14:paraId="2DCE5038" w14:textId="77777777" w:rsidR="00957311" w:rsidRPr="002F7998" w:rsidRDefault="00957311" w:rsidP="00957311">
      <w:pPr>
        <w:rPr>
          <w:rFonts w:cstheme="minorHAnsi"/>
        </w:rPr>
      </w:pPr>
      <w:r w:rsidRPr="002F7998">
        <w:rPr>
          <w:rFonts w:cstheme="minorHAnsi"/>
        </w:rPr>
        <w:t>Afin de leur garantir la possibilité d’une plus grande autonomie financière, il est également permis à ces associations de posséder des immeubles acquis à titre gratuit qui ne sont pas directement nécessaires à leur objet, afin de pouvoir en tirer des revenus. Ces revenus ne pourront servir qu’à financer des activités cultuelles.</w:t>
      </w:r>
    </w:p>
    <w:p w14:paraId="5EE8359B" w14:textId="77777777" w:rsidR="00957311" w:rsidRPr="002F7998" w:rsidRDefault="00957311" w:rsidP="00957311">
      <w:pPr>
        <w:rPr>
          <w:rFonts w:cstheme="minorHAnsi"/>
        </w:rPr>
      </w:pPr>
      <w:r w:rsidRPr="002F7998">
        <w:rPr>
          <w:rFonts w:cstheme="minorHAnsi"/>
        </w:rPr>
        <w:t>En outre, le projet de loi entend assujettir les associations simplement déclarées ayant un objet en tout ou partie cultuel, dites associations « mixtes », aux obligations essentielles imposées aux associations cultuelles.</w:t>
      </w:r>
    </w:p>
    <w:p w14:paraId="0D5D5D2B" w14:textId="77777777" w:rsidR="00957311" w:rsidRPr="002F7998" w:rsidRDefault="00957311" w:rsidP="00957311">
      <w:pPr>
        <w:rPr>
          <w:rFonts w:cstheme="minorHAnsi"/>
        </w:rPr>
      </w:pPr>
      <w:r w:rsidRPr="002F7998">
        <w:rPr>
          <w:rFonts w:cstheme="minorHAnsi"/>
        </w:rPr>
        <w:t>Pour cela, il étend, d’une part, aux réunions tenues pour l’exercice du culte sur initiative individuelle certaines obligations et certaines sanctions prévues pour les associations cultuelles et, d’autre part, aux associations simplement déclarées ayant un objet cultuel, certaines obligations applicables aux associations cultuelles, notamment l’obligation d’adoption par une assemblée générale annuelle des actes de gestion et d’administration ainsi que la déclaration des avantages et ressources provenant de l’étranger.</w:t>
      </w:r>
    </w:p>
    <w:p w14:paraId="51CBF6A3" w14:textId="77777777" w:rsidR="00957311" w:rsidRPr="002F7998" w:rsidRDefault="00957311" w:rsidP="00957311">
      <w:pPr>
        <w:rPr>
          <w:rFonts w:cstheme="minorHAnsi"/>
        </w:rPr>
      </w:pPr>
      <w:r w:rsidRPr="002F7998">
        <w:rPr>
          <w:rFonts w:cstheme="minorHAnsi"/>
        </w:rPr>
        <w:t>Il crée ensuite une nouvelle obligation prévoyant notamment que les comptes annuels dissocient clairement les activités en relation avec l’exercice public d’un culte des autres activités. Comme pour les associations cultuelles, ces associations seront soumises à l’obligation de tenir un état séparé des lieux dans lesquels elles organisent habituellement l’exercice du culte. Cette nouvelle obligation donnera lieu, dans certains cas, à une obligation de certification des comptes de ces associations.</w:t>
      </w:r>
    </w:p>
    <w:p w14:paraId="18C1B803" w14:textId="77777777" w:rsidR="00957311" w:rsidRPr="002F7998" w:rsidRDefault="00957311" w:rsidP="00957311">
      <w:pPr>
        <w:rPr>
          <w:rFonts w:cstheme="minorHAnsi"/>
        </w:rPr>
      </w:pPr>
      <w:r w:rsidRPr="002F7998">
        <w:rPr>
          <w:rFonts w:cstheme="minorHAnsi"/>
        </w:rPr>
        <w:t>Enfin, le Préfet pourra enjoindre à une association de mettre en conformité son objet avec ses activités s’il constate que cette dernière accomplit des actes en relation avec l’exercice public d’un culte sans que son objet le prévoie. Il s’agit de s’assurer qu’une association qui a en réalité pour objet l’organisation de l’exercice public du culte le déclare et, par voie de conséquence, respecte les prescriptions légales qui s’attachent à cet exercice.</w:t>
      </w:r>
    </w:p>
    <w:p w14:paraId="5ABD1B09" w14:textId="77777777" w:rsidR="00957311" w:rsidRPr="002F7998" w:rsidRDefault="00957311" w:rsidP="00957311">
      <w:pPr>
        <w:rPr>
          <w:rFonts w:cstheme="minorHAnsi"/>
        </w:rPr>
      </w:pPr>
      <w:r w:rsidRPr="002F7998">
        <w:rPr>
          <w:rFonts w:cstheme="minorHAnsi"/>
        </w:rPr>
        <w:t>Le projet de loi étend aux associations inscrites de droit local à objet cultuel d’Alsace</w:t>
      </w:r>
      <w:r>
        <w:rPr>
          <w:rFonts w:cstheme="minorHAnsi"/>
        </w:rPr>
        <w:t>-</w:t>
      </w:r>
      <w:r w:rsidRPr="002F7998">
        <w:rPr>
          <w:rFonts w:cstheme="minorHAnsi"/>
        </w:rPr>
        <w:t>Moselle certaines obligations applicables aux associations cultuelles et soumet les associations inscrites à objet cultuel et les établissements publics du culte d’Alsace</w:t>
      </w:r>
      <w:r>
        <w:rPr>
          <w:rFonts w:cstheme="minorHAnsi"/>
        </w:rPr>
        <w:t>-</w:t>
      </w:r>
      <w:r w:rsidRPr="002F7998">
        <w:rPr>
          <w:rFonts w:cstheme="minorHAnsi"/>
        </w:rPr>
        <w:t>Moselle à certaines dispositions relatives à la police des cultes.</w:t>
      </w:r>
    </w:p>
    <w:p w14:paraId="23C32135" w14:textId="77777777" w:rsidR="00957311" w:rsidRPr="002F7998" w:rsidRDefault="00957311" w:rsidP="00957311">
      <w:pPr>
        <w:rPr>
          <w:rFonts w:cstheme="minorHAnsi"/>
        </w:rPr>
      </w:pPr>
      <w:r w:rsidRPr="002F7998">
        <w:rPr>
          <w:rFonts w:cstheme="minorHAnsi"/>
        </w:rPr>
        <w:t xml:space="preserve">Il prévoit aussi une exemption du droit de préemption pour les immeubles faisant l’objet d’une donation entre vifs au profit des fondations, des congrégations, des associations ayant la capacité à recevoir des libéralités, des établissements publics du culte et des associations de droit local. Il s’agit, d’une part, de garantir au donateur </w:t>
      </w:r>
      <w:r w:rsidRPr="002F7998">
        <w:rPr>
          <w:rFonts w:cstheme="minorHAnsi"/>
        </w:rPr>
        <w:lastRenderedPageBreak/>
        <w:t>que sa volonté sera respectée et, d’autre part, de renforcer la sécurité des organismes bénéficiaires en consolidant leurs ressources.</w:t>
      </w:r>
    </w:p>
    <w:p w14:paraId="0FDDA82D" w14:textId="77777777" w:rsidR="00957311" w:rsidRPr="00247C4A" w:rsidRDefault="00957311" w:rsidP="00EA763A">
      <w:pPr>
        <w:pStyle w:val="Paragraphedeliste"/>
        <w:numPr>
          <w:ilvl w:val="0"/>
          <w:numId w:val="166"/>
        </w:numPr>
        <w:rPr>
          <w:rFonts w:cstheme="minorHAnsi"/>
          <w:b/>
          <w:bCs/>
        </w:rPr>
      </w:pPr>
      <w:r w:rsidRPr="00247C4A">
        <w:rPr>
          <w:rFonts w:cstheme="minorHAnsi"/>
          <w:b/>
          <w:bCs/>
        </w:rPr>
        <w:t>Contrôler le financement des cultes</w:t>
      </w:r>
    </w:p>
    <w:p w14:paraId="4589897C" w14:textId="77777777" w:rsidR="00957311" w:rsidRPr="002F7998" w:rsidRDefault="00957311" w:rsidP="00957311">
      <w:pPr>
        <w:rPr>
          <w:rFonts w:cstheme="minorHAnsi"/>
        </w:rPr>
      </w:pPr>
      <w:r w:rsidRPr="002F7998">
        <w:rPr>
          <w:rFonts w:cstheme="minorHAnsi"/>
        </w:rPr>
        <w:t>Le projet de loi renforce les obligations administratives et comptables des associations cultuelles, dans un objectif de plus grande transparence qui facilitera l’exercice par les responsables associatifs de leurs mandats et qui contribuera à garantir un usage transparent des ressources collectées.</w:t>
      </w:r>
    </w:p>
    <w:p w14:paraId="486C2A4B" w14:textId="77777777" w:rsidR="00957311" w:rsidRPr="002F7998" w:rsidRDefault="00957311" w:rsidP="00957311">
      <w:pPr>
        <w:rPr>
          <w:rFonts w:cstheme="minorHAnsi"/>
        </w:rPr>
      </w:pPr>
      <w:r w:rsidRPr="002F7998">
        <w:rPr>
          <w:rFonts w:cstheme="minorHAnsi"/>
        </w:rPr>
        <w:t>Ainsi, il crée une obligation de dresser une liste des lieux dans lesquels elles organisent habituellement l’exercice du culte. Le Préfet disposera de la possibilité d’accéder aux comptes ainsi qu’à l’état du patrimoine des associations cultuelles. Enfin, la certification des comptes annuels par un commissaire aux comptes est prévue dès lors que l’association bénéficie d’avantages ou de ressources provenant de l’étranger et dépassant un seuil fixé par Décret.</w:t>
      </w:r>
    </w:p>
    <w:p w14:paraId="789F6DB0" w14:textId="77777777" w:rsidR="00957311" w:rsidRPr="002F7998" w:rsidRDefault="00957311" w:rsidP="00957311">
      <w:pPr>
        <w:rPr>
          <w:rFonts w:cstheme="minorHAnsi"/>
        </w:rPr>
      </w:pPr>
      <w:r w:rsidRPr="002F7998">
        <w:rPr>
          <w:rFonts w:cstheme="minorHAnsi"/>
        </w:rPr>
        <w:t>Par ailleurs, il rehausse la peine prévue en cas de manquement aux obligations administratives et comptables introduites par l’article précédent, en l’alignant sur la peine applicable aux sociétés anonymes et aux associations simplement déclarées en cas de méconnaissance de leurs obligations comptables relatives à la perception de subventions et de dons.</w:t>
      </w:r>
    </w:p>
    <w:p w14:paraId="173FEF1A" w14:textId="77777777" w:rsidR="00957311" w:rsidRPr="002F7998" w:rsidRDefault="00957311" w:rsidP="00957311">
      <w:pPr>
        <w:rPr>
          <w:rFonts w:cstheme="minorHAnsi"/>
        </w:rPr>
      </w:pPr>
      <w:r w:rsidRPr="002F7998">
        <w:rPr>
          <w:rFonts w:cstheme="minorHAnsi"/>
        </w:rPr>
        <w:t>Il prévoit également la possibilité pour le juge d’enjoindre aux dirigeants de toute association méconnaissant ces obligations, sous astreinte, la tenue des comptes annuels et des autres documents comptables exigés.</w:t>
      </w:r>
    </w:p>
    <w:p w14:paraId="0AC47D28" w14:textId="77777777" w:rsidR="00957311" w:rsidRPr="002F7998" w:rsidRDefault="00957311" w:rsidP="00957311">
      <w:pPr>
        <w:rPr>
          <w:rFonts w:cstheme="minorHAnsi"/>
        </w:rPr>
      </w:pPr>
      <w:r w:rsidRPr="002F7998">
        <w:rPr>
          <w:rFonts w:cstheme="minorHAnsi"/>
        </w:rPr>
        <w:t xml:space="preserve">Une autre mesure du projet de loi crée une obligation de déclaration des avantages et ressources qu’une association cultuelle reçoit directement ou indirectement de la part d’une société étrangère ou d’une personne physique non-résidente, dont le montant ou la valorisation dépasse un certain montant défini par un Décret et qui ne peut être inférieur à 10 000 €, avec un pouvoir d’opposition de l’autorité administrative. </w:t>
      </w:r>
    </w:p>
    <w:p w14:paraId="2F0230AA" w14:textId="77777777" w:rsidR="00957311" w:rsidRPr="002F7998" w:rsidRDefault="00957311" w:rsidP="00957311">
      <w:pPr>
        <w:rPr>
          <w:rFonts w:cstheme="minorHAnsi"/>
        </w:rPr>
      </w:pPr>
      <w:r w:rsidRPr="002F7998">
        <w:rPr>
          <w:rFonts w:cstheme="minorHAnsi"/>
        </w:rPr>
        <w:t>L’objectif de cette mesure est, par un mécanisme de transparence à l’égard de l’administration, de réduire les capacités d’influence et de mainmise d’acteurs étrangers sur les associations et leurs lieux de culte afin de pouvoir, le cas échéant, lutter contre toute forme de pression de leur part. L’administration peut s’opposer au financement étranger direct ou indirect d’une association cultuelle pour un grave motif d’ordre public tiré de l’existence d’une menace réelle, actuelle et suffisamment grave affectant un intérêt fondamental de la société.</w:t>
      </w:r>
    </w:p>
    <w:p w14:paraId="0211A807" w14:textId="77777777" w:rsidR="00957311" w:rsidRPr="002F7998" w:rsidRDefault="00957311" w:rsidP="00957311">
      <w:pPr>
        <w:rPr>
          <w:rFonts w:cstheme="minorHAnsi"/>
        </w:rPr>
      </w:pPr>
      <w:r w:rsidRPr="002F7998">
        <w:rPr>
          <w:rFonts w:cstheme="minorHAnsi"/>
        </w:rPr>
        <w:t xml:space="preserve">Le projet de loi instaure une procédure symétrique d’opposition par l’autorité administrative à l’acceptation par les associations à objet cultuel des libéralités qui leur sont consenties directement ou indirectement par des personnes physiques non-résidentes ou des sociétés de droit étranger. </w:t>
      </w:r>
    </w:p>
    <w:p w14:paraId="7A67C5D8" w14:textId="77777777" w:rsidR="00957311" w:rsidRPr="002F7998" w:rsidRDefault="00957311" w:rsidP="00957311">
      <w:pPr>
        <w:rPr>
          <w:rFonts w:cstheme="minorHAnsi"/>
        </w:rPr>
      </w:pPr>
      <w:r w:rsidRPr="002F7998">
        <w:rPr>
          <w:rFonts w:cstheme="minorHAnsi"/>
        </w:rPr>
        <w:t>Le projet de loi renforce les peines prévues en cas d’atteinte à la liberté d’exercer un culte ou de s’abstenir de l’exercer.</w:t>
      </w:r>
    </w:p>
    <w:p w14:paraId="7A1DDD3D" w14:textId="77777777" w:rsidR="00957311" w:rsidRPr="002F7998" w:rsidRDefault="00957311" w:rsidP="00957311">
      <w:pPr>
        <w:rPr>
          <w:rFonts w:cstheme="minorHAnsi"/>
        </w:rPr>
      </w:pPr>
      <w:r w:rsidRPr="002F7998">
        <w:rPr>
          <w:rFonts w:cstheme="minorHAnsi"/>
        </w:rPr>
        <w:t>Le projet de loi aggrave les peines prévues, dès lors que les provocations à commettre certaines infractions graves ou que les provocations publiques à la discrimination, à la haine ou à la violence à l’égard d’une personne ou d’un groupe de personnes sont commises dans des lieux où s’exerce le culte ou aux abords de ces lieux.</w:t>
      </w:r>
    </w:p>
    <w:p w14:paraId="66BD61F9" w14:textId="77777777" w:rsidR="00957311" w:rsidRPr="002F7998" w:rsidRDefault="00957311" w:rsidP="00957311">
      <w:pPr>
        <w:rPr>
          <w:rFonts w:cstheme="minorHAnsi"/>
        </w:rPr>
      </w:pPr>
      <w:r w:rsidRPr="002F7998">
        <w:rPr>
          <w:rFonts w:cstheme="minorHAnsi"/>
        </w:rPr>
        <w:t>Il précise aussi les conditions de la mise en cause de la responsabilité civile de l’association lors de la réalisation de certaines infractions.</w:t>
      </w:r>
    </w:p>
    <w:p w14:paraId="0A646E31" w14:textId="77777777" w:rsidR="00957311" w:rsidRPr="002F7998" w:rsidRDefault="00957311" w:rsidP="00957311">
      <w:pPr>
        <w:rPr>
          <w:rFonts w:cstheme="minorHAnsi"/>
        </w:rPr>
      </w:pPr>
      <w:r w:rsidRPr="002F7998">
        <w:rPr>
          <w:rFonts w:cstheme="minorHAnsi"/>
        </w:rPr>
        <w:t>Une autre mesure du projet de loi prévoit qu’une interdiction de paraître dans les lieux de culte peut être prononcée par le juge à titre de peine alternative ou de peine complémentaire pour les délits relatifs à la police des cultes, ainsi qu’en cas de condamnation pour provocation à des actes de terrorisme ou provocation à la discrimination, à la haine ou à la violence à l’égard d’une personne ou d’un groupe de personnes.</w:t>
      </w:r>
    </w:p>
    <w:p w14:paraId="49E41462" w14:textId="77777777" w:rsidR="00957311" w:rsidRPr="002F7998" w:rsidRDefault="00957311" w:rsidP="00957311">
      <w:pPr>
        <w:rPr>
          <w:rFonts w:cstheme="minorHAnsi"/>
        </w:rPr>
      </w:pPr>
      <w:r w:rsidRPr="002F7998">
        <w:rPr>
          <w:rFonts w:cstheme="minorHAnsi"/>
        </w:rPr>
        <w:lastRenderedPageBreak/>
        <w:t xml:space="preserve">Il interdit aussi à toute personne condamnée pour des actes de terrorisme de diriger ou d’administrer une association cultuelle pendant une durée de 10 ans à compter de la date à laquelle la condamnation est devenue définitive. </w:t>
      </w:r>
    </w:p>
    <w:p w14:paraId="4DEED17C" w14:textId="77777777" w:rsidR="00957311" w:rsidRPr="002F7998" w:rsidRDefault="00957311" w:rsidP="00957311">
      <w:pPr>
        <w:rPr>
          <w:rFonts w:cstheme="minorHAnsi"/>
        </w:rPr>
      </w:pPr>
      <w:r w:rsidRPr="002F7998">
        <w:rPr>
          <w:rFonts w:cstheme="minorHAnsi"/>
        </w:rPr>
        <w:t>Par ailleurs, il crée une mesure de fermeture administrative des lieux de culte, à caractère temporaire. Cette nouvelle mesure permettra de prévenir et de lutter contre les agissements de nature à troubler gravement l’ordre public en provoquant à la haine ou à la violence envers une personne ou un groupe de personnes. Cela rend également possible la fermeture administrative des locaux dépendant du lieu de culte dont la fermeture est prononcée.</w:t>
      </w:r>
    </w:p>
    <w:p w14:paraId="5DE772BD" w14:textId="77777777" w:rsidR="00957311" w:rsidRPr="002F7998" w:rsidRDefault="00957311" w:rsidP="00957311">
      <w:pPr>
        <w:rPr>
          <w:rFonts w:cstheme="minorHAnsi"/>
        </w:rPr>
      </w:pPr>
    </w:p>
    <w:p w14:paraId="13299DB2" w14:textId="77777777" w:rsidR="00957311" w:rsidRPr="00247C4A" w:rsidRDefault="00957311" w:rsidP="00EA763A">
      <w:pPr>
        <w:pStyle w:val="Paragraphedeliste"/>
        <w:numPr>
          <w:ilvl w:val="0"/>
          <w:numId w:val="167"/>
        </w:numPr>
        <w:rPr>
          <w:rFonts w:cstheme="minorHAnsi"/>
          <w:b/>
          <w:bCs/>
          <w:i/>
          <w:iCs/>
          <w:u w:val="single"/>
        </w:rPr>
      </w:pPr>
      <w:r w:rsidRPr="00247C4A">
        <w:rPr>
          <w:rFonts w:cstheme="minorHAnsi"/>
          <w:b/>
          <w:bCs/>
          <w:i/>
          <w:iCs/>
          <w:u w:val="single"/>
        </w:rPr>
        <w:t>Pour l’Outre-Mer</w:t>
      </w:r>
    </w:p>
    <w:p w14:paraId="3E9371C2" w14:textId="77777777" w:rsidR="00957311" w:rsidRPr="002F7998" w:rsidRDefault="00957311" w:rsidP="00957311">
      <w:pPr>
        <w:rPr>
          <w:rFonts w:cstheme="minorHAnsi"/>
        </w:rPr>
      </w:pPr>
      <w:r w:rsidRPr="002F7998">
        <w:rPr>
          <w:rFonts w:cstheme="minorHAnsi"/>
        </w:rPr>
        <w:t>Le projet de loi rend pleinement applicables en Guadeloupe, en Martinique, à La Réunion, à Saint Barthélemy et à Saint Martin les dispositions de la loi concernant la séparation des Églises et de l’État et concernant l’exercice des cultes. Il vise ainsi à faire évoluer le droit des cultes en Outre-mer afin de tendre vers une harmonisation avec le droit commun applicable en métropole.</w:t>
      </w:r>
    </w:p>
    <w:p w14:paraId="397FECE1" w14:textId="77777777" w:rsidR="00957311" w:rsidRPr="002F7998" w:rsidRDefault="00957311" w:rsidP="00957311">
      <w:pPr>
        <w:rPr>
          <w:rFonts w:cstheme="minorHAnsi"/>
        </w:rPr>
      </w:pPr>
      <w:r w:rsidRPr="002F7998">
        <w:rPr>
          <w:rFonts w:cstheme="minorHAnsi"/>
        </w:rPr>
        <w:t>Le projet de loi prévoit des mesures relatives à l’application à Mayotte de dispositions spécifiques concernant la délivrance de titre de séjour, le mariage et le droit à pension de réversion.</w:t>
      </w:r>
    </w:p>
    <w:p w14:paraId="7BAF3F90" w14:textId="77777777" w:rsidR="00957311" w:rsidRPr="002F7998" w:rsidRDefault="00957311" w:rsidP="00957311">
      <w:pPr>
        <w:rPr>
          <w:rFonts w:cstheme="minorHAnsi"/>
        </w:rPr>
      </w:pPr>
    </w:p>
    <w:p w14:paraId="0D2670A0" w14:textId="77777777" w:rsidR="00957311" w:rsidRPr="00247C4A" w:rsidRDefault="00957311" w:rsidP="00EA763A">
      <w:pPr>
        <w:pStyle w:val="Paragraphedeliste"/>
        <w:numPr>
          <w:ilvl w:val="0"/>
          <w:numId w:val="167"/>
        </w:numPr>
        <w:rPr>
          <w:rFonts w:cstheme="minorHAnsi"/>
          <w:b/>
          <w:bCs/>
          <w:i/>
          <w:iCs/>
          <w:u w:val="single"/>
        </w:rPr>
      </w:pPr>
      <w:r w:rsidRPr="00247C4A">
        <w:rPr>
          <w:rFonts w:cstheme="minorHAnsi"/>
          <w:b/>
          <w:bCs/>
          <w:i/>
          <w:iCs/>
          <w:u w:val="single"/>
        </w:rPr>
        <w:t>Mesures diverses</w:t>
      </w:r>
    </w:p>
    <w:p w14:paraId="16BB609A" w14:textId="77777777" w:rsidR="00957311" w:rsidRPr="002F7998" w:rsidRDefault="00957311" w:rsidP="00957311">
      <w:pPr>
        <w:rPr>
          <w:rFonts w:cstheme="minorHAnsi"/>
        </w:rPr>
      </w:pPr>
      <w:r w:rsidRPr="002F7998">
        <w:rPr>
          <w:rFonts w:cstheme="minorHAnsi"/>
        </w:rPr>
        <w:t>Le projet de loi élargit la portée du droit d’opposition du service à compétence nationale TRACFIN. Ce service dispose de la faculté de s’opposer à l’exécution d’une opération non</w:t>
      </w:r>
      <w:r>
        <w:rPr>
          <w:rFonts w:cstheme="minorHAnsi"/>
        </w:rPr>
        <w:t>-</w:t>
      </w:r>
      <w:r w:rsidRPr="002F7998">
        <w:rPr>
          <w:rFonts w:cstheme="minorHAnsi"/>
        </w:rPr>
        <w:t>encore exécutée dont il a eu connaissance dans le cadre de ses missions en matière de lutte contre le blanchiment des capitaux et le financement du terrorisme. L’exercice du droit d’opposition permet de reporter de 10 jours la réalisation de l’opération, en l’attente d’une saisie pénale ou administrative des sommes litigieuses.</w:t>
      </w:r>
    </w:p>
    <w:p w14:paraId="2D75A972" w14:textId="77777777" w:rsidR="00957311" w:rsidRPr="002F7998" w:rsidRDefault="00957311" w:rsidP="00957311">
      <w:pPr>
        <w:rPr>
          <w:rFonts w:cstheme="minorHAnsi"/>
        </w:rPr>
      </w:pPr>
      <w:r w:rsidRPr="002F7998">
        <w:rPr>
          <w:rFonts w:cstheme="minorHAnsi"/>
        </w:rPr>
        <w:t>Actuellement, le droit d’opposition ne vise qu’une seule opération, signalée notamment par un professionnel assujetti, et portant potentiellement sur un montant nettement inférieur au produit total de l’infraction soupçonnée. Par conséquent, cette disposition oblige TRACFIN à exercer son droit d’opposition autant de fois que le client formule une nouvelle demande d’opération, et ce à supposer que le professionnel assujetti réalise bien de façon systématique une nouvelle déclaration de soupçon afin d’informer TRACFIN de toute tentative de mouvement.</w:t>
      </w:r>
    </w:p>
    <w:p w14:paraId="15F2486B" w14:textId="77777777" w:rsidR="00957311" w:rsidRDefault="00957311" w:rsidP="00957311">
      <w:r w:rsidRPr="002F7998">
        <w:rPr>
          <w:rFonts w:cstheme="minorHAnsi"/>
        </w:rPr>
        <w:t>Les modifications du projet de loi élargissent la portée du droit d’opposition afin qu’il puisse s’appliquer par anticipation à tout type d’opération demandée par le client dans un délai de 10 jours. Ce report préventif permet de sécuriser les saisies pénales à venir et de simplifier la conduite à tenir pour les personnes en charge des opérations.</w:t>
      </w:r>
    </w:p>
    <w:p w14:paraId="0AD0E7B9" w14:textId="77777777" w:rsidR="00957311" w:rsidRDefault="00957311" w:rsidP="00957311"/>
    <w:p w14:paraId="0B565630" w14:textId="77777777" w:rsidR="00957311" w:rsidRPr="00BA1E49" w:rsidRDefault="00957311" w:rsidP="00957311">
      <w:pPr>
        <w:pStyle w:val="Titre3"/>
      </w:pPr>
      <w:bookmarkStart w:id="92" w:name="_Toc64285903"/>
      <w:bookmarkStart w:id="93" w:name="_Toc66348863"/>
      <w:bookmarkStart w:id="94" w:name="_Toc69222356"/>
      <w:bookmarkStart w:id="95" w:name="_Toc71898856"/>
      <w:bookmarkStart w:id="96" w:name="_Toc74651365"/>
      <w:r>
        <w:t>Projet de Loi portant lutte contre le dérèglement climatique et renforcement de la résilience face à ses effets</w:t>
      </w:r>
      <w:bookmarkEnd w:id="92"/>
      <w:bookmarkEnd w:id="93"/>
      <w:bookmarkEnd w:id="94"/>
      <w:bookmarkEnd w:id="95"/>
      <w:bookmarkEnd w:id="96"/>
    </w:p>
    <w:p w14:paraId="0A3528D6" w14:textId="2EF7667E" w:rsidR="00957311" w:rsidRDefault="00957311" w:rsidP="00957311">
      <w:pPr>
        <w:spacing w:before="0" w:after="0"/>
        <w:rPr>
          <w:rFonts w:cstheme="minorHAnsi"/>
        </w:rPr>
      </w:pPr>
      <w:r w:rsidRPr="00E45B66">
        <w:rPr>
          <w:rFonts w:cstheme="minorHAnsi"/>
          <w:b/>
          <w:color w:val="0070C0"/>
        </w:rPr>
        <w:t>Slide</w:t>
      </w:r>
      <w:r>
        <w:rPr>
          <w:rFonts w:cstheme="minorHAnsi"/>
          <w:b/>
          <w:color w:val="0070C0"/>
        </w:rPr>
        <w:t xml:space="preserve"> </w:t>
      </w:r>
      <w:r w:rsidR="006D3AAB">
        <w:rPr>
          <w:rFonts w:cstheme="minorHAnsi"/>
          <w:b/>
          <w:color w:val="0070C0"/>
        </w:rPr>
        <w:t>91</w:t>
      </w:r>
    </w:p>
    <w:p w14:paraId="346C5277" w14:textId="77777777" w:rsidR="00957311" w:rsidRPr="00217678" w:rsidRDefault="00957311" w:rsidP="00957311">
      <w:pPr>
        <w:rPr>
          <w:rFonts w:cstheme="minorHAnsi"/>
        </w:rPr>
      </w:pPr>
      <w:r w:rsidRPr="00451FF7">
        <w:rPr>
          <w:rFonts w:cstheme="minorHAnsi"/>
        </w:rPr>
        <w:t>Source </w:t>
      </w:r>
      <w:r w:rsidRPr="002545F5">
        <w:rPr>
          <w:rFonts w:cstheme="minorHAnsi"/>
        </w:rPr>
        <w:t xml:space="preserve">: </w:t>
      </w:r>
      <w:hyperlink r:id="rId11" w:tgtFrame="_blank" w:tooltip="Accédez à la version html du document" w:history="1">
        <w:r w:rsidRPr="00CC1F34">
          <w:t>Projet de loi portant lutte contre le dérèglement climatique et renforcement de la résilience face à ses effets</w:t>
        </w:r>
      </w:hyperlink>
    </w:p>
    <w:p w14:paraId="3AA465F7" w14:textId="77777777" w:rsidR="00957311" w:rsidRPr="005B73D2" w:rsidRDefault="00957311" w:rsidP="00957311">
      <w:pPr>
        <w:pStyle w:val="Titre4"/>
        <w:rPr>
          <w:rStyle w:val="txt"/>
        </w:rPr>
      </w:pPr>
      <w:r w:rsidRPr="004858FF">
        <w:rPr>
          <w:rStyle w:val="txt"/>
        </w:rPr>
        <w:lastRenderedPageBreak/>
        <w:t>ce qu’il faut savoir…</w:t>
      </w:r>
    </w:p>
    <w:p w14:paraId="4FE87A30" w14:textId="5B7AB71E" w:rsidR="00957311" w:rsidRDefault="00957311" w:rsidP="00957311">
      <w:pPr>
        <w:rPr>
          <w:rFonts w:cstheme="minorHAnsi"/>
        </w:rPr>
      </w:pPr>
      <w:r w:rsidRPr="000E62A1">
        <w:rPr>
          <w:rFonts w:cstheme="minorHAnsi"/>
        </w:rPr>
        <w:t>Le 10 février 2021, a été déposé à l’Assemblée Nationale un projet de loi qui regroupe les dispositions proposées par le Gouvernement au vu du résultat des travaux menés par la Convention citoyenne pour le climat, sur la question suivante : « Comment réduire d’au moins 40 % par rapport à 1990 les émissions de gaz à effet de serre d’ici 2030, dans le respect de la justice sociale ? ».</w:t>
      </w:r>
    </w:p>
    <w:p w14:paraId="0DCFE31A" w14:textId="67F10349" w:rsidR="0068033B" w:rsidRPr="000E62A1" w:rsidRDefault="0068033B" w:rsidP="00957311">
      <w:pPr>
        <w:rPr>
          <w:rFonts w:cstheme="minorHAnsi"/>
        </w:rPr>
      </w:pPr>
      <w:r>
        <w:rPr>
          <w:rFonts w:cstheme="minorHAnsi"/>
        </w:rPr>
        <w:t xml:space="preserve">Ce projet de loi est en cours de discussion au Sénat depuis le 4 mai </w:t>
      </w:r>
      <w:r w:rsidR="00075FC8">
        <w:rPr>
          <w:rFonts w:cstheme="minorHAnsi"/>
        </w:rPr>
        <w:t>2021.</w:t>
      </w:r>
    </w:p>
    <w:p w14:paraId="24A46BE4" w14:textId="77777777" w:rsidR="00957311" w:rsidRPr="000E62A1" w:rsidRDefault="00957311" w:rsidP="00957311">
      <w:pPr>
        <w:rPr>
          <w:rFonts w:cstheme="minorHAnsi"/>
        </w:rPr>
      </w:pPr>
      <w:r w:rsidRPr="000E62A1">
        <w:rPr>
          <w:rFonts w:cstheme="minorHAnsi"/>
        </w:rPr>
        <w:t>Voici les mesures que vous devez connaître.</w:t>
      </w:r>
    </w:p>
    <w:p w14:paraId="52CBC53F" w14:textId="77777777" w:rsidR="00957311" w:rsidRPr="000E62A1" w:rsidRDefault="00957311" w:rsidP="00957311">
      <w:pPr>
        <w:rPr>
          <w:rFonts w:cstheme="minorHAnsi"/>
        </w:rPr>
      </w:pPr>
    </w:p>
    <w:p w14:paraId="6E5ADD4C" w14:textId="77777777" w:rsidR="00957311" w:rsidRPr="000E62A1" w:rsidRDefault="00957311" w:rsidP="00EA763A">
      <w:pPr>
        <w:pStyle w:val="Paragraphedeliste"/>
        <w:numPr>
          <w:ilvl w:val="0"/>
          <w:numId w:val="167"/>
        </w:numPr>
        <w:rPr>
          <w:rFonts w:cstheme="minorHAnsi"/>
          <w:b/>
          <w:bCs/>
          <w:i/>
          <w:iCs/>
          <w:u w:val="single"/>
        </w:rPr>
      </w:pPr>
      <w:r w:rsidRPr="000E62A1">
        <w:rPr>
          <w:rFonts w:cstheme="minorHAnsi"/>
          <w:b/>
          <w:bCs/>
          <w:i/>
          <w:iCs/>
          <w:u w:val="single"/>
        </w:rPr>
        <w:t>Obligation d’information du consommateur</w:t>
      </w:r>
    </w:p>
    <w:p w14:paraId="2EE89D87" w14:textId="77777777" w:rsidR="00957311" w:rsidRPr="000E62A1" w:rsidRDefault="00957311" w:rsidP="00957311">
      <w:pPr>
        <w:rPr>
          <w:rFonts w:cstheme="minorHAnsi"/>
        </w:rPr>
      </w:pPr>
      <w:r w:rsidRPr="000E62A1">
        <w:rPr>
          <w:rFonts w:cstheme="minorHAnsi"/>
        </w:rPr>
        <w:t>Le projet de loi vise à améliorer l’information du consommateur de l’empreinte carbone des produits.</w:t>
      </w:r>
    </w:p>
    <w:p w14:paraId="2CF013B1" w14:textId="77777777" w:rsidR="00957311" w:rsidRPr="000E62A1" w:rsidRDefault="00957311" w:rsidP="00957311">
      <w:pPr>
        <w:rPr>
          <w:rFonts w:cstheme="minorHAnsi"/>
        </w:rPr>
      </w:pPr>
      <w:r w:rsidRPr="000E62A1">
        <w:rPr>
          <w:rFonts w:cstheme="minorHAnsi"/>
        </w:rPr>
        <w:t>L’impact carbone de l’affichage environnemental devra être impérativement clair et il sera possible de rendre obligatoire cet affichage, le cas échéant.</w:t>
      </w:r>
    </w:p>
    <w:p w14:paraId="11304A5D" w14:textId="77777777" w:rsidR="00957311" w:rsidRPr="000E62A1" w:rsidRDefault="00957311" w:rsidP="00957311">
      <w:pPr>
        <w:rPr>
          <w:rFonts w:cstheme="minorHAnsi"/>
        </w:rPr>
      </w:pPr>
      <w:r w:rsidRPr="000E62A1">
        <w:rPr>
          <w:rFonts w:cstheme="minorHAnsi"/>
        </w:rPr>
        <w:t xml:space="preserve">L’objectif est d’assurer une meilleure information des consommateurs sur l’impact carbone des produits et services sur l’ensemble de leur cycle de vie, et d’orienter leur acte d’achat vers les produits et services les plus vertueux sur un plan environnemental. </w:t>
      </w:r>
    </w:p>
    <w:p w14:paraId="04A19C31" w14:textId="77777777" w:rsidR="00957311" w:rsidRPr="000E62A1" w:rsidRDefault="00957311" w:rsidP="00957311">
      <w:pPr>
        <w:rPr>
          <w:rFonts w:cstheme="minorHAnsi"/>
        </w:rPr>
      </w:pPr>
    </w:p>
    <w:p w14:paraId="46F1C570" w14:textId="77777777" w:rsidR="00957311" w:rsidRPr="000E62A1" w:rsidRDefault="00957311" w:rsidP="00EA763A">
      <w:pPr>
        <w:pStyle w:val="Paragraphedeliste"/>
        <w:numPr>
          <w:ilvl w:val="0"/>
          <w:numId w:val="167"/>
        </w:numPr>
        <w:rPr>
          <w:rFonts w:cstheme="minorHAnsi"/>
          <w:b/>
          <w:bCs/>
          <w:i/>
          <w:iCs/>
          <w:u w:val="single"/>
        </w:rPr>
      </w:pPr>
      <w:r w:rsidRPr="000E62A1">
        <w:rPr>
          <w:rFonts w:cstheme="minorHAnsi"/>
          <w:b/>
          <w:bCs/>
          <w:i/>
          <w:iCs/>
          <w:u w:val="single"/>
        </w:rPr>
        <w:t>Lutte contre la surproduction de déchets</w:t>
      </w:r>
    </w:p>
    <w:p w14:paraId="44303806" w14:textId="77777777" w:rsidR="00957311" w:rsidRPr="000E62A1" w:rsidRDefault="00957311" w:rsidP="00957311">
      <w:pPr>
        <w:rPr>
          <w:rFonts w:cstheme="minorHAnsi"/>
        </w:rPr>
      </w:pPr>
      <w:r w:rsidRPr="000E62A1">
        <w:rPr>
          <w:rFonts w:cstheme="minorHAnsi"/>
        </w:rPr>
        <w:t>Le projet de loi prévoit qu’il ne sera plus possible de faire de la publicité pour les énergies fossiles en raison de leur impact direct sur le changement climatique.</w:t>
      </w:r>
    </w:p>
    <w:p w14:paraId="08E20BF5" w14:textId="77777777" w:rsidR="00957311" w:rsidRPr="000E62A1" w:rsidRDefault="00957311" w:rsidP="00957311">
      <w:pPr>
        <w:rPr>
          <w:rFonts w:cstheme="minorHAnsi"/>
        </w:rPr>
      </w:pPr>
      <w:r w:rsidRPr="000E62A1">
        <w:rPr>
          <w:rFonts w:cstheme="minorHAnsi"/>
        </w:rPr>
        <w:t>De plus, une expérimentation dans les collectivités locales volontaires entend interdire la distribution à domicile d’imprimés papier ou cartonnés non adressés lorsque l’autorisation de les recevoir n’est pas expressément affichée sur la boîte aux lettres. Appelée « Oui Pub », cette expérimentation complète le dispositif « Stop pub ».</w:t>
      </w:r>
    </w:p>
    <w:p w14:paraId="62F17E4F" w14:textId="77777777" w:rsidR="00957311" w:rsidRPr="000E62A1" w:rsidRDefault="00957311" w:rsidP="00957311">
      <w:pPr>
        <w:rPr>
          <w:rFonts w:cstheme="minorHAnsi"/>
        </w:rPr>
      </w:pPr>
      <w:r w:rsidRPr="000E62A1">
        <w:rPr>
          <w:rFonts w:cstheme="minorHAnsi"/>
        </w:rPr>
        <w:t>Par ailleurs, pour lutter contre la surproduction de déchets, la distribution d’échantillons de produits sans consentement clairement exprimé du consommateur sera interdite.</w:t>
      </w:r>
    </w:p>
    <w:p w14:paraId="65878167" w14:textId="77777777" w:rsidR="00957311" w:rsidRPr="000E62A1" w:rsidRDefault="00957311" w:rsidP="00957311">
      <w:pPr>
        <w:rPr>
          <w:rFonts w:cstheme="minorHAnsi"/>
        </w:rPr>
      </w:pPr>
      <w:r w:rsidRPr="000E62A1">
        <w:rPr>
          <w:rFonts w:cstheme="minorHAnsi"/>
        </w:rPr>
        <w:t>Pour respecter ce même objectif, le Gouvernement souhaite favoriser le développement du vrac pour les grandes et moyennes surfaces.</w:t>
      </w:r>
    </w:p>
    <w:p w14:paraId="1A7C2B0E" w14:textId="150ED7EF" w:rsidR="00957311" w:rsidRPr="000E62A1" w:rsidRDefault="00957311" w:rsidP="00957311">
      <w:pPr>
        <w:rPr>
          <w:rFonts w:cstheme="minorHAnsi"/>
        </w:rPr>
      </w:pPr>
      <w:r w:rsidRPr="000E62A1">
        <w:rPr>
          <w:rFonts w:cstheme="minorHAnsi"/>
        </w:rPr>
        <w:t>Enfin, un dispositif de consigne pour les emballages en verre sera mis en place pour les producteurs.</w:t>
      </w:r>
    </w:p>
    <w:p w14:paraId="288C7B60" w14:textId="77777777" w:rsidR="00957311" w:rsidRPr="000E62A1" w:rsidRDefault="00957311" w:rsidP="00957311">
      <w:pPr>
        <w:rPr>
          <w:rFonts w:cstheme="minorHAnsi"/>
        </w:rPr>
      </w:pPr>
    </w:p>
    <w:p w14:paraId="3065C9B3" w14:textId="77777777" w:rsidR="00957311" w:rsidRPr="000E62A1" w:rsidRDefault="00957311" w:rsidP="00EA763A">
      <w:pPr>
        <w:pStyle w:val="Paragraphedeliste"/>
        <w:numPr>
          <w:ilvl w:val="0"/>
          <w:numId w:val="167"/>
        </w:numPr>
        <w:rPr>
          <w:rFonts w:cstheme="minorHAnsi"/>
        </w:rPr>
      </w:pPr>
      <w:r w:rsidRPr="000E62A1">
        <w:rPr>
          <w:rFonts w:cstheme="minorHAnsi"/>
          <w:b/>
          <w:bCs/>
          <w:i/>
          <w:iCs/>
          <w:u w:val="single"/>
        </w:rPr>
        <w:t>Les mesures pour les commerçants et distributeurs</w:t>
      </w:r>
    </w:p>
    <w:p w14:paraId="4BF797DE" w14:textId="77777777" w:rsidR="00957311" w:rsidRPr="000E62A1" w:rsidRDefault="00957311" w:rsidP="00957311">
      <w:pPr>
        <w:rPr>
          <w:rFonts w:cstheme="minorHAnsi"/>
        </w:rPr>
      </w:pPr>
      <w:r w:rsidRPr="000E62A1">
        <w:rPr>
          <w:rFonts w:cstheme="minorHAnsi"/>
        </w:rPr>
        <w:t>Les outils de bricolage et de jardinage motorisés, les bicyclettes, y compris à assistance électrique, et les engins de déplacement personnel motorisés auront une durée minimale de disponibilité de pièces détachées qui sera définie par Décret.</w:t>
      </w:r>
    </w:p>
    <w:p w14:paraId="7489F032" w14:textId="77777777" w:rsidR="00957311" w:rsidRPr="000E62A1" w:rsidRDefault="00957311" w:rsidP="00957311">
      <w:pPr>
        <w:rPr>
          <w:rFonts w:cstheme="minorHAnsi"/>
        </w:rPr>
      </w:pPr>
      <w:r w:rsidRPr="000E62A1">
        <w:rPr>
          <w:rFonts w:cstheme="minorHAnsi"/>
        </w:rPr>
        <w:t xml:space="preserve">L’obligation d’installation de systèmes de production d’énergies renouvelables ou de toitures végétalisées sera étendue aux surfaces commerciales et aux entrepôts de 500 m² (au lieu de 1 000 m²), ainsi qu’aux extensions </w:t>
      </w:r>
      <w:r w:rsidRPr="000E62A1">
        <w:rPr>
          <w:rFonts w:cstheme="minorHAnsi"/>
        </w:rPr>
        <w:lastRenderedPageBreak/>
        <w:t>de bâtiments et aux constructions destinées au commerce de gros. Cette mesure sera applicable à compter du 1</w:t>
      </w:r>
      <w:r w:rsidRPr="00597192">
        <w:rPr>
          <w:rFonts w:cstheme="minorHAnsi"/>
          <w:vertAlign w:val="superscript"/>
        </w:rPr>
        <w:t>er</w:t>
      </w:r>
      <w:r w:rsidRPr="000E62A1">
        <w:rPr>
          <w:rFonts w:cstheme="minorHAnsi"/>
        </w:rPr>
        <w:t xml:space="preserve"> janvier 2024.</w:t>
      </w:r>
    </w:p>
    <w:p w14:paraId="6AD0921E" w14:textId="77777777" w:rsidR="00957311" w:rsidRPr="000E62A1" w:rsidRDefault="00957311" w:rsidP="00957311">
      <w:pPr>
        <w:rPr>
          <w:rFonts w:cstheme="minorHAnsi"/>
        </w:rPr>
      </w:pPr>
      <w:r w:rsidRPr="000E62A1">
        <w:rPr>
          <w:rFonts w:cstheme="minorHAnsi"/>
        </w:rPr>
        <w:t>Enfin, le recours à un label deviendra obligatoire pour les entreprises se revendiquant du commerce équitable.</w:t>
      </w:r>
    </w:p>
    <w:p w14:paraId="5E826EB9" w14:textId="77777777" w:rsidR="00957311" w:rsidRPr="000E62A1" w:rsidRDefault="00957311" w:rsidP="00957311">
      <w:pPr>
        <w:rPr>
          <w:rFonts w:cstheme="minorHAnsi"/>
        </w:rPr>
      </w:pPr>
    </w:p>
    <w:p w14:paraId="4CDEA9B7" w14:textId="77777777" w:rsidR="00957311" w:rsidRPr="000E62A1" w:rsidRDefault="00957311" w:rsidP="00EA763A">
      <w:pPr>
        <w:pStyle w:val="Paragraphedeliste"/>
        <w:numPr>
          <w:ilvl w:val="0"/>
          <w:numId w:val="167"/>
        </w:numPr>
        <w:rPr>
          <w:rFonts w:cstheme="minorHAnsi"/>
          <w:b/>
          <w:bCs/>
          <w:i/>
          <w:iCs/>
          <w:u w:val="single"/>
        </w:rPr>
      </w:pPr>
      <w:r w:rsidRPr="000E62A1">
        <w:rPr>
          <w:rFonts w:cstheme="minorHAnsi"/>
          <w:b/>
          <w:bCs/>
          <w:i/>
          <w:iCs/>
          <w:u w:val="single"/>
        </w:rPr>
        <w:t>Les mesures pour les publicités en vitrine</w:t>
      </w:r>
    </w:p>
    <w:p w14:paraId="1521AAA6" w14:textId="77777777" w:rsidR="00957311" w:rsidRPr="000E62A1" w:rsidRDefault="00957311" w:rsidP="00957311">
      <w:pPr>
        <w:rPr>
          <w:rFonts w:cstheme="minorHAnsi"/>
        </w:rPr>
      </w:pPr>
      <w:r w:rsidRPr="000E62A1">
        <w:rPr>
          <w:rFonts w:cstheme="minorHAnsi"/>
        </w:rPr>
        <w:t>Le projet de loi prévoit que les collectivités pourront réglementer, via un règlement local de publicité, les publicités et les enseignes situées à l’intérieur des vitrines des commerces lorsqu’elles sont destinées à être visibles depuis la voie publique.</w:t>
      </w:r>
    </w:p>
    <w:p w14:paraId="479C5BA0" w14:textId="77777777" w:rsidR="00957311" w:rsidRPr="000E62A1" w:rsidRDefault="00957311" w:rsidP="00957311">
      <w:pPr>
        <w:rPr>
          <w:rFonts w:cstheme="minorHAnsi"/>
        </w:rPr>
      </w:pPr>
    </w:p>
    <w:p w14:paraId="5473E13D" w14:textId="77777777" w:rsidR="00957311" w:rsidRPr="001A099D" w:rsidRDefault="00957311" w:rsidP="00EA763A">
      <w:pPr>
        <w:pStyle w:val="Paragraphedeliste"/>
        <w:numPr>
          <w:ilvl w:val="0"/>
          <w:numId w:val="167"/>
        </w:numPr>
        <w:rPr>
          <w:rFonts w:cstheme="minorHAnsi"/>
          <w:b/>
          <w:bCs/>
          <w:i/>
          <w:iCs/>
          <w:u w:val="single"/>
        </w:rPr>
      </w:pPr>
      <w:r w:rsidRPr="001A099D">
        <w:rPr>
          <w:rFonts w:cstheme="minorHAnsi"/>
          <w:b/>
          <w:bCs/>
          <w:i/>
          <w:iCs/>
          <w:u w:val="single"/>
        </w:rPr>
        <w:t>Les mesures pour les marchés publics</w:t>
      </w:r>
    </w:p>
    <w:p w14:paraId="7C94D260" w14:textId="77777777" w:rsidR="00957311" w:rsidRPr="000E62A1" w:rsidRDefault="00957311" w:rsidP="00957311">
      <w:pPr>
        <w:rPr>
          <w:rFonts w:cstheme="minorHAnsi"/>
        </w:rPr>
      </w:pPr>
      <w:r w:rsidRPr="000E62A1">
        <w:rPr>
          <w:rFonts w:cstheme="minorHAnsi"/>
        </w:rPr>
        <w:t>Une mesure du projet de loi prévoit d’imposer :</w:t>
      </w:r>
    </w:p>
    <w:p w14:paraId="74579852" w14:textId="77777777" w:rsidR="00957311" w:rsidRPr="00597192" w:rsidRDefault="00957311" w:rsidP="00EA763A">
      <w:pPr>
        <w:pStyle w:val="Paragraphedeliste"/>
        <w:numPr>
          <w:ilvl w:val="0"/>
          <w:numId w:val="168"/>
        </w:numPr>
        <w:rPr>
          <w:rFonts w:cstheme="minorHAnsi"/>
        </w:rPr>
      </w:pPr>
      <w:r w:rsidRPr="00597192">
        <w:rPr>
          <w:rFonts w:cstheme="minorHAnsi"/>
        </w:rPr>
        <w:t>aux acheteurs publics de prévoir, dans les clauses de leurs marchés publics, des conditions d’exécution prenant en compte des considérations relatives à l’environnement ;</w:t>
      </w:r>
    </w:p>
    <w:p w14:paraId="5F7B6DE9" w14:textId="77777777" w:rsidR="00957311" w:rsidRPr="00597192" w:rsidRDefault="00957311" w:rsidP="00EA763A">
      <w:pPr>
        <w:pStyle w:val="Paragraphedeliste"/>
        <w:numPr>
          <w:ilvl w:val="0"/>
          <w:numId w:val="168"/>
        </w:numPr>
        <w:rPr>
          <w:rFonts w:cstheme="minorHAnsi"/>
        </w:rPr>
      </w:pPr>
      <w:r w:rsidRPr="00597192">
        <w:rPr>
          <w:rFonts w:cstheme="minorHAnsi"/>
        </w:rPr>
        <w:t>aux acheteurs publics de prévoir un critère lié aux caractéristiques environnementales des offres.</w:t>
      </w:r>
    </w:p>
    <w:p w14:paraId="1D3461AF" w14:textId="77777777" w:rsidR="00957311" w:rsidRPr="000E62A1" w:rsidRDefault="00957311" w:rsidP="00957311">
      <w:pPr>
        <w:rPr>
          <w:rFonts w:cstheme="minorHAnsi"/>
        </w:rPr>
      </w:pPr>
    </w:p>
    <w:p w14:paraId="7D942879" w14:textId="77777777" w:rsidR="00957311" w:rsidRPr="00597192" w:rsidRDefault="00957311" w:rsidP="00EA763A">
      <w:pPr>
        <w:pStyle w:val="Paragraphedeliste"/>
        <w:numPr>
          <w:ilvl w:val="0"/>
          <w:numId w:val="167"/>
        </w:numPr>
        <w:rPr>
          <w:rFonts w:cstheme="minorHAnsi"/>
          <w:b/>
          <w:bCs/>
          <w:i/>
          <w:iCs/>
          <w:u w:val="single"/>
        </w:rPr>
      </w:pPr>
      <w:r w:rsidRPr="00597192">
        <w:rPr>
          <w:rFonts w:cstheme="minorHAnsi"/>
          <w:b/>
          <w:bCs/>
          <w:i/>
          <w:iCs/>
          <w:u w:val="single"/>
        </w:rPr>
        <w:t xml:space="preserve">Les mesures pour les entreprises </w:t>
      </w:r>
    </w:p>
    <w:p w14:paraId="37E1A91C" w14:textId="77777777" w:rsidR="00957311" w:rsidRPr="000E62A1" w:rsidRDefault="00957311" w:rsidP="00957311">
      <w:pPr>
        <w:rPr>
          <w:rFonts w:cstheme="minorHAnsi"/>
        </w:rPr>
      </w:pPr>
      <w:r w:rsidRPr="000E62A1">
        <w:rPr>
          <w:rFonts w:cstheme="minorHAnsi"/>
        </w:rPr>
        <w:t>Les comités sociaux économiques (CSE) devront prendre en charge les questions relatives à la transition écologique. Les thématiques faisant l’objet d’une procédure d’information-consultation de CSE devront donc prendre en compte les conséquences environnementales des activités de l’entreprise.</w:t>
      </w:r>
    </w:p>
    <w:p w14:paraId="67217A73" w14:textId="77777777" w:rsidR="00957311" w:rsidRPr="000E62A1" w:rsidRDefault="00957311" w:rsidP="00957311">
      <w:pPr>
        <w:rPr>
          <w:rFonts w:cstheme="minorHAnsi"/>
        </w:rPr>
      </w:pPr>
      <w:r w:rsidRPr="000E62A1">
        <w:rPr>
          <w:rFonts w:cstheme="minorHAnsi"/>
        </w:rPr>
        <w:t>Les petites et moyennes entreprises ainsi que les branches professionnelles pourront se tourner vers les opérateurs de compétences pour obtenir des informations sur les enjeux liés à l’environnement et au développement durable. Ces derniers pourront ainsi les accompagner dans leurs projets d’adaptation à la transition écologique.</w:t>
      </w:r>
    </w:p>
    <w:p w14:paraId="0A638178" w14:textId="77777777" w:rsidR="00957311" w:rsidRPr="000E62A1" w:rsidRDefault="00957311" w:rsidP="00957311">
      <w:pPr>
        <w:rPr>
          <w:rFonts w:cstheme="minorHAnsi"/>
        </w:rPr>
      </w:pPr>
      <w:r w:rsidRPr="000E62A1">
        <w:rPr>
          <w:rFonts w:cstheme="minorHAnsi"/>
        </w:rPr>
        <w:t>Un mécanisme d’alerte à destination des entreprises sera mis en place pour les informer lorsqu’elles importent des produits provenant de zones déforestées.</w:t>
      </w:r>
    </w:p>
    <w:p w14:paraId="266A9D74" w14:textId="77777777" w:rsidR="00957311" w:rsidRPr="000E62A1" w:rsidRDefault="00957311" w:rsidP="00957311">
      <w:pPr>
        <w:rPr>
          <w:rFonts w:cstheme="minorHAnsi"/>
        </w:rPr>
      </w:pPr>
    </w:p>
    <w:p w14:paraId="63274235" w14:textId="77777777" w:rsidR="00957311" w:rsidRPr="00597192" w:rsidRDefault="00957311" w:rsidP="00EA763A">
      <w:pPr>
        <w:pStyle w:val="Paragraphedeliste"/>
        <w:numPr>
          <w:ilvl w:val="0"/>
          <w:numId w:val="167"/>
        </w:numPr>
        <w:rPr>
          <w:rFonts w:cstheme="minorHAnsi"/>
          <w:b/>
          <w:bCs/>
          <w:i/>
          <w:iCs/>
          <w:u w:val="single"/>
        </w:rPr>
      </w:pPr>
      <w:r w:rsidRPr="00597192">
        <w:rPr>
          <w:rFonts w:cstheme="minorHAnsi"/>
          <w:b/>
          <w:bCs/>
          <w:i/>
          <w:iCs/>
          <w:u w:val="single"/>
        </w:rPr>
        <w:t>Transition vers des déplacements plus « propres » pour les particuliers</w:t>
      </w:r>
    </w:p>
    <w:p w14:paraId="7423C7A3" w14:textId="77777777" w:rsidR="00957311" w:rsidRPr="000E62A1" w:rsidRDefault="00957311" w:rsidP="00957311">
      <w:pPr>
        <w:rPr>
          <w:rFonts w:cstheme="minorHAnsi"/>
        </w:rPr>
      </w:pPr>
      <w:r w:rsidRPr="000E62A1">
        <w:rPr>
          <w:rFonts w:cstheme="minorHAnsi"/>
        </w:rPr>
        <w:t>Le Gouvernement souhaite favoriser l’augmentation des ventes de voitures dites « propres » pour qu’elles représentent 95 % des ventes de voitures particulières d'ici 2030, et prévoit un développement des parkings-relais.</w:t>
      </w:r>
    </w:p>
    <w:p w14:paraId="1BAEB6FF" w14:textId="77777777" w:rsidR="00957311" w:rsidRPr="000E62A1" w:rsidRDefault="00957311" w:rsidP="00957311">
      <w:pPr>
        <w:rPr>
          <w:rFonts w:cstheme="minorHAnsi"/>
        </w:rPr>
      </w:pPr>
      <w:r w:rsidRPr="000E62A1">
        <w:rPr>
          <w:rFonts w:cstheme="minorHAnsi"/>
        </w:rPr>
        <w:t>En outre, les zones à faibles émissions mobilité seront étendues aux agglomérations de plus de 150 000 habitants d’ici le 31 décembre 2024 afin de réduire le nombre de personnes exposées à la pollution.</w:t>
      </w:r>
    </w:p>
    <w:p w14:paraId="18AF1501" w14:textId="77777777" w:rsidR="00957311" w:rsidRPr="000E62A1" w:rsidRDefault="00957311" w:rsidP="00957311">
      <w:pPr>
        <w:rPr>
          <w:rFonts w:cstheme="minorHAnsi"/>
        </w:rPr>
      </w:pPr>
      <w:r w:rsidRPr="000E62A1">
        <w:rPr>
          <w:rFonts w:cstheme="minorHAnsi"/>
        </w:rPr>
        <w:t>Une expérimentation prévoit la mise en place de voies réservées à certaines catégories de véhicules (transports collectifs, véhicules utilisés pour le covoiturage ou véhicules à très faibles émissions), sur les autoroutes et routes express du réseau routier national et départemental desservant les zones à faibles émissions mobilité.</w:t>
      </w:r>
    </w:p>
    <w:p w14:paraId="0FC57BF7" w14:textId="77777777" w:rsidR="00957311" w:rsidRPr="000E62A1" w:rsidRDefault="00957311" w:rsidP="00957311">
      <w:pPr>
        <w:rPr>
          <w:rFonts w:cstheme="minorHAnsi"/>
        </w:rPr>
      </w:pPr>
      <w:r w:rsidRPr="000E62A1">
        <w:rPr>
          <w:rFonts w:cstheme="minorHAnsi"/>
        </w:rPr>
        <w:lastRenderedPageBreak/>
        <w:t>Enfin, les tarifs des services de TER devront favoriser l’usage des transports collectifs par rapport aux transports individuels.</w:t>
      </w:r>
    </w:p>
    <w:p w14:paraId="263179D7" w14:textId="77777777" w:rsidR="00957311" w:rsidRPr="000E62A1" w:rsidRDefault="00957311" w:rsidP="00957311">
      <w:pPr>
        <w:rPr>
          <w:rFonts w:cstheme="minorHAnsi"/>
        </w:rPr>
      </w:pPr>
    </w:p>
    <w:p w14:paraId="531BEF0B" w14:textId="77777777" w:rsidR="00957311" w:rsidRPr="00597192" w:rsidRDefault="00957311" w:rsidP="00EA763A">
      <w:pPr>
        <w:pStyle w:val="Paragraphedeliste"/>
        <w:numPr>
          <w:ilvl w:val="0"/>
          <w:numId w:val="167"/>
        </w:numPr>
        <w:rPr>
          <w:rFonts w:cstheme="minorHAnsi"/>
          <w:b/>
          <w:bCs/>
          <w:i/>
          <w:iCs/>
          <w:u w:val="single"/>
        </w:rPr>
      </w:pPr>
      <w:r w:rsidRPr="00597192">
        <w:rPr>
          <w:rFonts w:cstheme="minorHAnsi"/>
          <w:b/>
          <w:bCs/>
          <w:i/>
          <w:iCs/>
          <w:u w:val="single"/>
        </w:rPr>
        <w:t>Les mesures spécifiques pour le secteur du transport routier de marchandises</w:t>
      </w:r>
    </w:p>
    <w:p w14:paraId="71AE4CD7" w14:textId="77777777" w:rsidR="00957311" w:rsidRPr="000E62A1" w:rsidRDefault="00957311" w:rsidP="00957311">
      <w:pPr>
        <w:rPr>
          <w:rFonts w:cstheme="minorHAnsi"/>
        </w:rPr>
      </w:pPr>
      <w:r w:rsidRPr="000E62A1">
        <w:rPr>
          <w:rFonts w:cstheme="minorHAnsi"/>
        </w:rPr>
        <w:t>L’avantage fiscal sur le gazole consommé par les poids lourds transportant des marchandises sera progressivement supprimé et un enseignement à l’éco-conduite sera ajouté à la formation professionnelle initiale et continue des conducteurs de transport routier.</w:t>
      </w:r>
    </w:p>
    <w:p w14:paraId="46C6B7C3" w14:textId="77777777" w:rsidR="00957311" w:rsidRPr="000E62A1" w:rsidRDefault="00957311" w:rsidP="00957311">
      <w:pPr>
        <w:rPr>
          <w:rFonts w:cstheme="minorHAnsi"/>
        </w:rPr>
      </w:pPr>
      <w:r w:rsidRPr="000E62A1">
        <w:rPr>
          <w:rFonts w:cstheme="minorHAnsi"/>
        </w:rPr>
        <w:t>La déclaration de performance extra-financière (DPEF) annuelle faite par les entreprises chargeurs et jointe au rapport de gestion devra tenir compte des émissions indirectes. Cette mesure sera applicable aux exercices ouverts à compter du 1</w:t>
      </w:r>
      <w:r w:rsidRPr="00597192">
        <w:rPr>
          <w:rFonts w:cstheme="minorHAnsi"/>
          <w:vertAlign w:val="superscript"/>
        </w:rPr>
        <w:t xml:space="preserve">er </w:t>
      </w:r>
      <w:r w:rsidRPr="000E62A1">
        <w:rPr>
          <w:rFonts w:cstheme="minorHAnsi"/>
        </w:rPr>
        <w:t>juillet 2022.</w:t>
      </w:r>
    </w:p>
    <w:p w14:paraId="50847DCB" w14:textId="77777777" w:rsidR="00957311" w:rsidRPr="000E62A1" w:rsidRDefault="00957311" w:rsidP="00957311">
      <w:pPr>
        <w:rPr>
          <w:rFonts w:cstheme="minorHAnsi"/>
        </w:rPr>
      </w:pPr>
    </w:p>
    <w:p w14:paraId="05DAB94E" w14:textId="77777777" w:rsidR="00957311" w:rsidRPr="00597192" w:rsidRDefault="00957311" w:rsidP="00EA763A">
      <w:pPr>
        <w:pStyle w:val="Paragraphedeliste"/>
        <w:numPr>
          <w:ilvl w:val="0"/>
          <w:numId w:val="167"/>
        </w:numPr>
        <w:rPr>
          <w:rFonts w:cstheme="minorHAnsi"/>
          <w:b/>
          <w:bCs/>
          <w:i/>
          <w:iCs/>
          <w:u w:val="single"/>
        </w:rPr>
      </w:pPr>
      <w:r w:rsidRPr="00597192">
        <w:rPr>
          <w:rFonts w:cstheme="minorHAnsi"/>
          <w:b/>
          <w:bCs/>
          <w:i/>
          <w:iCs/>
          <w:u w:val="single"/>
        </w:rPr>
        <w:t>Les mesures spécifiques pour le secteur du transport aérien</w:t>
      </w:r>
    </w:p>
    <w:p w14:paraId="33038FAC" w14:textId="77777777" w:rsidR="00957311" w:rsidRPr="000E62A1" w:rsidRDefault="00957311" w:rsidP="00957311">
      <w:pPr>
        <w:rPr>
          <w:rFonts w:cstheme="minorHAnsi"/>
        </w:rPr>
      </w:pPr>
      <w:r w:rsidRPr="000E62A1">
        <w:rPr>
          <w:rFonts w:cstheme="minorHAnsi"/>
        </w:rPr>
        <w:t>Il va être mis en place un principe d’interdiction des avions publicitaires.</w:t>
      </w:r>
    </w:p>
    <w:p w14:paraId="2AAB8504" w14:textId="77777777" w:rsidR="00957311" w:rsidRPr="000E62A1" w:rsidRDefault="00957311" w:rsidP="00957311">
      <w:pPr>
        <w:rPr>
          <w:rFonts w:cstheme="minorHAnsi"/>
        </w:rPr>
      </w:pPr>
      <w:r w:rsidRPr="000E62A1">
        <w:rPr>
          <w:rFonts w:cstheme="minorHAnsi"/>
        </w:rPr>
        <w:t>Le projet de loi prévoit que son non-respect sera sanctionné par une sanction administrative de 1 500 € prononcée par le préfet.</w:t>
      </w:r>
    </w:p>
    <w:p w14:paraId="111AA187" w14:textId="77777777" w:rsidR="00957311" w:rsidRPr="000E62A1" w:rsidRDefault="00957311" w:rsidP="00957311">
      <w:pPr>
        <w:rPr>
          <w:rFonts w:cstheme="minorHAnsi"/>
        </w:rPr>
      </w:pPr>
      <w:r w:rsidRPr="000E62A1">
        <w:rPr>
          <w:rFonts w:cstheme="minorHAnsi"/>
        </w:rPr>
        <w:t>Une taxe carbone sera allouée aux transports aériens, et les transports collectifs moins émetteur de C0</w:t>
      </w:r>
      <w:r>
        <w:rPr>
          <w:rFonts w:cstheme="minorHAnsi"/>
        </w:rPr>
        <w:t>²</w:t>
      </w:r>
      <w:r w:rsidRPr="000E62A1">
        <w:rPr>
          <w:rFonts w:cstheme="minorHAnsi"/>
        </w:rPr>
        <w:t xml:space="preserve"> pouvant effectuer un trajet intérieur au territoire national en moins de 2h30 devront se substituer aux services aériens.</w:t>
      </w:r>
    </w:p>
    <w:p w14:paraId="45B37EED" w14:textId="77777777" w:rsidR="00957311" w:rsidRPr="000E62A1" w:rsidRDefault="00957311" w:rsidP="00957311">
      <w:pPr>
        <w:rPr>
          <w:rFonts w:cstheme="minorHAnsi"/>
        </w:rPr>
      </w:pPr>
      <w:r w:rsidRPr="000E62A1">
        <w:rPr>
          <w:rFonts w:cstheme="minorHAnsi"/>
        </w:rPr>
        <w:t>Le développement des infrastructures aéroportuaires devra limiter au maximum la consommation de nouvelles surfaces et l’artificialisation des sols.</w:t>
      </w:r>
    </w:p>
    <w:p w14:paraId="12191D7F" w14:textId="77777777" w:rsidR="00957311" w:rsidRPr="000E62A1" w:rsidRDefault="00957311" w:rsidP="00957311">
      <w:pPr>
        <w:rPr>
          <w:rFonts w:cstheme="minorHAnsi"/>
        </w:rPr>
      </w:pPr>
      <w:r w:rsidRPr="000E62A1">
        <w:rPr>
          <w:rFonts w:cstheme="minorHAnsi"/>
        </w:rPr>
        <w:t>Par ailleurs, le projet de loi prévoit de créer une obligation de compensation des émissions du transport aérien sur le périmètre des vols domestiques métropolitains.</w:t>
      </w:r>
    </w:p>
    <w:p w14:paraId="688D4AFB" w14:textId="77777777" w:rsidR="00957311" w:rsidRPr="000E62A1" w:rsidRDefault="00957311" w:rsidP="00957311">
      <w:pPr>
        <w:rPr>
          <w:rFonts w:cstheme="minorHAnsi"/>
        </w:rPr>
      </w:pPr>
      <w:r w:rsidRPr="000E62A1">
        <w:rPr>
          <w:rFonts w:cstheme="minorHAnsi"/>
        </w:rPr>
        <w:t>Enfin, par principe, il sera interdit de construire de nouveaux aéroports et d’étendre les aéroports existants. Des exceptions seront prévues, notamment pour l’aéroport de Nantes-Atlantique, par exemple, jusqu’au 31 décembre 2036.</w:t>
      </w:r>
    </w:p>
    <w:p w14:paraId="0F8261B8" w14:textId="77777777" w:rsidR="00957311" w:rsidRPr="000E62A1" w:rsidRDefault="00957311" w:rsidP="00957311">
      <w:pPr>
        <w:rPr>
          <w:rFonts w:cstheme="minorHAnsi"/>
        </w:rPr>
      </w:pPr>
    </w:p>
    <w:p w14:paraId="17EB7DDA" w14:textId="77777777" w:rsidR="00957311" w:rsidRPr="006D3FD9" w:rsidRDefault="00957311" w:rsidP="00EA763A">
      <w:pPr>
        <w:pStyle w:val="Paragraphedeliste"/>
        <w:numPr>
          <w:ilvl w:val="0"/>
          <w:numId w:val="167"/>
        </w:numPr>
        <w:rPr>
          <w:rFonts w:cstheme="minorHAnsi"/>
          <w:b/>
          <w:bCs/>
          <w:i/>
          <w:iCs/>
          <w:u w:val="single"/>
        </w:rPr>
      </w:pPr>
      <w:r w:rsidRPr="006D3FD9">
        <w:rPr>
          <w:rFonts w:cstheme="minorHAnsi"/>
          <w:b/>
          <w:bCs/>
          <w:i/>
          <w:iCs/>
          <w:u w:val="single"/>
        </w:rPr>
        <w:t>Les mesures pour le secteur industriel</w:t>
      </w:r>
    </w:p>
    <w:p w14:paraId="4047DBE7" w14:textId="77777777" w:rsidR="00957311" w:rsidRPr="000E62A1" w:rsidRDefault="00957311" w:rsidP="00957311">
      <w:pPr>
        <w:rPr>
          <w:rFonts w:cstheme="minorHAnsi"/>
        </w:rPr>
      </w:pPr>
      <w:r w:rsidRPr="000E62A1">
        <w:rPr>
          <w:rFonts w:cstheme="minorHAnsi"/>
        </w:rPr>
        <w:t>Le projet de loi entend renforcer la prise en compte des enjeux environnementaux et sanitaires pour les travaux miniers et leur arrêt.</w:t>
      </w:r>
    </w:p>
    <w:p w14:paraId="1FCC003E" w14:textId="77777777" w:rsidR="00957311" w:rsidRPr="000E62A1" w:rsidRDefault="00957311" w:rsidP="00957311">
      <w:pPr>
        <w:rPr>
          <w:rFonts w:cstheme="minorHAnsi"/>
        </w:rPr>
      </w:pPr>
      <w:r w:rsidRPr="000E62A1">
        <w:rPr>
          <w:rFonts w:cstheme="minorHAnsi"/>
        </w:rPr>
        <w:t>Les infractions et les sanctions pénales liées aux activités minières légales et illégales seront également modernisées. Les mesures spécifiques à l’Outre-</w:t>
      </w:r>
      <w:r>
        <w:rPr>
          <w:rFonts w:cstheme="minorHAnsi"/>
        </w:rPr>
        <w:t>m</w:t>
      </w:r>
      <w:r w:rsidRPr="000E62A1">
        <w:rPr>
          <w:rFonts w:cstheme="minorHAnsi"/>
        </w:rPr>
        <w:t>er seront aussi modernisées, en vue notamment de prendre en compte la réglementation européenne.</w:t>
      </w:r>
    </w:p>
    <w:p w14:paraId="7031FD66" w14:textId="77777777" w:rsidR="00957311" w:rsidRPr="000E62A1" w:rsidRDefault="00957311" w:rsidP="00957311">
      <w:pPr>
        <w:rPr>
          <w:rFonts w:cstheme="minorHAnsi"/>
        </w:rPr>
      </w:pPr>
    </w:p>
    <w:p w14:paraId="48D318B5" w14:textId="77777777" w:rsidR="00957311" w:rsidRPr="006D3FD9" w:rsidRDefault="00957311" w:rsidP="00EA763A">
      <w:pPr>
        <w:pStyle w:val="Paragraphedeliste"/>
        <w:numPr>
          <w:ilvl w:val="0"/>
          <w:numId w:val="167"/>
        </w:numPr>
        <w:rPr>
          <w:rFonts w:cstheme="minorHAnsi"/>
          <w:b/>
          <w:bCs/>
          <w:i/>
          <w:iCs/>
          <w:u w:val="single"/>
        </w:rPr>
      </w:pPr>
      <w:r w:rsidRPr="006D3FD9">
        <w:rPr>
          <w:rFonts w:cstheme="minorHAnsi"/>
          <w:b/>
          <w:bCs/>
          <w:i/>
          <w:iCs/>
          <w:u w:val="single"/>
        </w:rPr>
        <w:t>Les mesures pour le secteur immobilier</w:t>
      </w:r>
    </w:p>
    <w:p w14:paraId="6567ABE5" w14:textId="77777777" w:rsidR="00957311" w:rsidRPr="000E62A1" w:rsidRDefault="00957311" w:rsidP="00957311">
      <w:pPr>
        <w:rPr>
          <w:rFonts w:cstheme="minorHAnsi"/>
        </w:rPr>
      </w:pPr>
      <w:r w:rsidRPr="000E62A1">
        <w:rPr>
          <w:rFonts w:cstheme="minorHAnsi"/>
        </w:rPr>
        <w:lastRenderedPageBreak/>
        <w:t>L’augmentation du loyer des logements classés F et G sur le diagnostic de performances énergétiques (DPE) sera interdite lors du renouvellement d’un bail ou de la remise en location. Cette mesure permettra d’atténuer l’incidence de la hausse de la facture d’énergie pour le locataire.</w:t>
      </w:r>
    </w:p>
    <w:p w14:paraId="553A6FB8" w14:textId="77777777" w:rsidR="00957311" w:rsidRPr="000E62A1" w:rsidRDefault="00957311" w:rsidP="00957311">
      <w:pPr>
        <w:rPr>
          <w:rFonts w:cstheme="minorHAnsi"/>
        </w:rPr>
      </w:pPr>
      <w:r w:rsidRPr="000E62A1">
        <w:rPr>
          <w:rFonts w:cstheme="minorHAnsi"/>
        </w:rPr>
        <w:t>Le projet de loi prévoit également de faciliter la réalisation de travaux de rénovation énergétique dans les immeubles en copropriété et de favoriser l’entretien de ce parc d’immeubles vieillissant et nécessitant de lourds investissements, grâce à l’adoption d’un plan pluriannuel de travaux et aux provisions correspondantes dans le fonds de travaux de la copropriété.</w:t>
      </w:r>
    </w:p>
    <w:p w14:paraId="3DDCC587" w14:textId="77777777" w:rsidR="00957311" w:rsidRPr="000E62A1" w:rsidRDefault="00957311" w:rsidP="00957311">
      <w:pPr>
        <w:rPr>
          <w:rFonts w:cstheme="minorHAnsi"/>
        </w:rPr>
      </w:pPr>
      <w:r w:rsidRPr="000E62A1">
        <w:rPr>
          <w:rFonts w:cstheme="minorHAnsi"/>
        </w:rPr>
        <w:t>Les collectivités devront délivrer les autorisations d’occupation en prenant en compte les considérations environnementales, afin de renforcer la sécurité juridique de l’interdiction des terrasses chauffées.</w:t>
      </w:r>
    </w:p>
    <w:p w14:paraId="5992A428" w14:textId="77777777" w:rsidR="00957311" w:rsidRPr="000E62A1" w:rsidRDefault="00957311" w:rsidP="00957311">
      <w:pPr>
        <w:rPr>
          <w:rFonts w:cstheme="minorHAnsi"/>
        </w:rPr>
      </w:pPr>
      <w:r w:rsidRPr="000E62A1">
        <w:rPr>
          <w:rFonts w:cstheme="minorHAnsi"/>
        </w:rPr>
        <w:t>Le droit de préemption dans les espaces naturels sensibles supprimé en 2016 sera rétabli. L’objectif est de permettre aux gestionnaires de protéger la biodiversité et atteindre les objectifs concernant l’artificialisation des sols</w:t>
      </w:r>
      <w:r>
        <w:rPr>
          <w:rFonts w:cstheme="minorHAnsi"/>
        </w:rPr>
        <w:t>.</w:t>
      </w:r>
    </w:p>
    <w:p w14:paraId="69B083BF" w14:textId="77777777" w:rsidR="00957311" w:rsidRPr="000E62A1" w:rsidRDefault="00957311" w:rsidP="00957311">
      <w:pPr>
        <w:rPr>
          <w:rFonts w:cstheme="minorHAnsi"/>
        </w:rPr>
      </w:pPr>
      <w:r w:rsidRPr="000E62A1">
        <w:rPr>
          <w:rFonts w:cstheme="minorHAnsi"/>
        </w:rPr>
        <w:t xml:space="preserve">Par ailleurs, les copropriétés auront l’obligation d’élaborer un projet de plan pluriannuel de travaux : l’objectif est d’assurer une bonne information des copropriétaires sur l’état de l’immeuble, au regard de sa sauvegarde, de la sécurité et de la santé des occupants et des possibilités d’amélioration énergétique. Enfin, il est prévu de créer </w:t>
      </w:r>
      <w:r>
        <w:rPr>
          <w:rFonts w:cstheme="minorHAnsi"/>
        </w:rPr>
        <w:t xml:space="preserve">un </w:t>
      </w:r>
      <w:r w:rsidRPr="000E62A1">
        <w:rPr>
          <w:rFonts w:cstheme="minorHAnsi"/>
        </w:rPr>
        <w:t>nouveau régime de bail réel de longue durée.</w:t>
      </w:r>
    </w:p>
    <w:p w14:paraId="33BB21D6" w14:textId="77777777" w:rsidR="00957311" w:rsidRPr="000E62A1" w:rsidRDefault="00957311" w:rsidP="00957311">
      <w:pPr>
        <w:rPr>
          <w:rFonts w:cstheme="minorHAnsi"/>
        </w:rPr>
      </w:pPr>
    </w:p>
    <w:p w14:paraId="2D0DD45A" w14:textId="77777777" w:rsidR="00957311" w:rsidRPr="006D3FD9" w:rsidRDefault="00957311" w:rsidP="00EA763A">
      <w:pPr>
        <w:pStyle w:val="Paragraphedeliste"/>
        <w:numPr>
          <w:ilvl w:val="0"/>
          <w:numId w:val="167"/>
        </w:numPr>
        <w:rPr>
          <w:rFonts w:cstheme="minorHAnsi"/>
          <w:b/>
          <w:bCs/>
          <w:i/>
          <w:iCs/>
          <w:u w:val="single"/>
        </w:rPr>
      </w:pPr>
      <w:r w:rsidRPr="006D3FD9">
        <w:rPr>
          <w:rFonts w:cstheme="minorHAnsi"/>
          <w:b/>
          <w:bCs/>
          <w:i/>
          <w:iCs/>
          <w:u w:val="single"/>
        </w:rPr>
        <w:t>Les mesures pour limiter l’artificialisation des sols</w:t>
      </w:r>
    </w:p>
    <w:p w14:paraId="069850B9" w14:textId="77777777" w:rsidR="00957311" w:rsidRPr="000E62A1" w:rsidRDefault="00957311" w:rsidP="00957311">
      <w:pPr>
        <w:rPr>
          <w:rFonts w:cstheme="minorHAnsi"/>
        </w:rPr>
      </w:pPr>
      <w:r w:rsidRPr="000E62A1">
        <w:rPr>
          <w:rFonts w:cstheme="minorHAnsi"/>
        </w:rPr>
        <w:t>Pour pouvoir ouvrir de nouveaux espaces à l’urbanisation, les collectivités locales devront démontrer qu’il n’existe pas de parcelle disponible pour leur projet dans l’enveloppe urbaine existante.</w:t>
      </w:r>
    </w:p>
    <w:p w14:paraId="1C5D7C63" w14:textId="77777777" w:rsidR="00957311" w:rsidRPr="000E62A1" w:rsidRDefault="00957311" w:rsidP="00957311">
      <w:pPr>
        <w:rPr>
          <w:rFonts w:cstheme="minorHAnsi"/>
        </w:rPr>
      </w:pPr>
      <w:r w:rsidRPr="000E62A1">
        <w:rPr>
          <w:rFonts w:cstheme="minorHAnsi"/>
        </w:rPr>
        <w:t>Un principe général d’interdiction de création de nouvelles surfaces commerciales est fixé pour limiter au maximum l’artificialisation des sols. Une dérogation pourra être obtenue pour la construction d’une nouvelle surface de vente inférieur</w:t>
      </w:r>
      <w:r>
        <w:rPr>
          <w:rFonts w:cstheme="minorHAnsi"/>
        </w:rPr>
        <w:t>e</w:t>
      </w:r>
      <w:r w:rsidRPr="000E62A1">
        <w:rPr>
          <w:rFonts w:cstheme="minorHAnsi"/>
        </w:rPr>
        <w:t xml:space="preserve"> à 10 000 m² à titre exceptionnel si :</w:t>
      </w:r>
    </w:p>
    <w:p w14:paraId="497997C3" w14:textId="77777777" w:rsidR="00957311" w:rsidRPr="006D3FD9" w:rsidRDefault="00957311" w:rsidP="00EA763A">
      <w:pPr>
        <w:pStyle w:val="Paragraphedeliste"/>
        <w:numPr>
          <w:ilvl w:val="0"/>
          <w:numId w:val="169"/>
        </w:numPr>
        <w:rPr>
          <w:rFonts w:cstheme="minorHAnsi"/>
        </w:rPr>
      </w:pPr>
      <w:r w:rsidRPr="006D3FD9">
        <w:rPr>
          <w:rFonts w:cstheme="minorHAnsi"/>
        </w:rPr>
        <w:t>aucun foncier déjà artificialisé n’est disponible ;</w:t>
      </w:r>
    </w:p>
    <w:p w14:paraId="58BFFDB6" w14:textId="77777777" w:rsidR="00957311" w:rsidRPr="006D3FD9" w:rsidRDefault="00957311" w:rsidP="00EA763A">
      <w:pPr>
        <w:pStyle w:val="Paragraphedeliste"/>
        <w:numPr>
          <w:ilvl w:val="0"/>
          <w:numId w:val="169"/>
        </w:numPr>
        <w:rPr>
          <w:rFonts w:cstheme="minorHAnsi"/>
        </w:rPr>
      </w:pPr>
      <w:r w:rsidRPr="006D3FD9">
        <w:rPr>
          <w:rFonts w:cstheme="minorHAnsi"/>
        </w:rPr>
        <w:t>la dérogation est justifiée au regard des caractéristiques du territoire et en particulier de la vacance commerciale constatée.</w:t>
      </w:r>
    </w:p>
    <w:p w14:paraId="58752235" w14:textId="77777777" w:rsidR="00957311" w:rsidRPr="000E62A1" w:rsidRDefault="00957311" w:rsidP="00957311">
      <w:pPr>
        <w:rPr>
          <w:rFonts w:cstheme="minorHAnsi"/>
        </w:rPr>
      </w:pPr>
      <w:r w:rsidRPr="000E62A1">
        <w:rPr>
          <w:rFonts w:cstheme="minorHAnsi"/>
        </w:rPr>
        <w:t>Lors d’un projet de démolition, une étude de potentiel de changement de destination du bâtiment devra être obligatoirement réalisée pour réduire la consommation de matières premières et les émissions de gaz à effet de serre, en limitant les démolitions suivies de constructions et en favorisant l’utilisation de ressources existantes.</w:t>
      </w:r>
    </w:p>
    <w:p w14:paraId="20AE2518" w14:textId="77777777" w:rsidR="00957311" w:rsidRPr="000E62A1" w:rsidRDefault="00957311" w:rsidP="00957311">
      <w:pPr>
        <w:rPr>
          <w:rFonts w:cstheme="minorHAnsi"/>
        </w:rPr>
      </w:pPr>
    </w:p>
    <w:p w14:paraId="53D1DB64" w14:textId="77777777" w:rsidR="00957311" w:rsidRPr="006D3FD9" w:rsidRDefault="00957311" w:rsidP="00EA763A">
      <w:pPr>
        <w:pStyle w:val="Paragraphedeliste"/>
        <w:numPr>
          <w:ilvl w:val="0"/>
          <w:numId w:val="167"/>
        </w:numPr>
        <w:rPr>
          <w:rFonts w:cstheme="minorHAnsi"/>
          <w:b/>
          <w:bCs/>
          <w:i/>
          <w:iCs/>
          <w:u w:val="single"/>
        </w:rPr>
      </w:pPr>
      <w:r w:rsidRPr="006D3FD9">
        <w:rPr>
          <w:rFonts w:cstheme="minorHAnsi"/>
          <w:b/>
          <w:bCs/>
          <w:i/>
          <w:iCs/>
          <w:u w:val="single"/>
        </w:rPr>
        <w:t>Les mesures pour le CHR</w:t>
      </w:r>
    </w:p>
    <w:p w14:paraId="34DA64B8" w14:textId="77777777" w:rsidR="00957311" w:rsidRPr="000E62A1" w:rsidRDefault="00957311" w:rsidP="00957311">
      <w:pPr>
        <w:rPr>
          <w:rFonts w:cstheme="minorHAnsi"/>
        </w:rPr>
      </w:pPr>
      <w:r w:rsidRPr="000E62A1">
        <w:rPr>
          <w:rFonts w:cstheme="minorHAnsi"/>
        </w:rPr>
        <w:t>Une expérimentation sera menée pour inciter les collectivités locales à proposer quotidiennement des menus végétariens dans les services de restauration collective.</w:t>
      </w:r>
    </w:p>
    <w:p w14:paraId="3956B512" w14:textId="77777777" w:rsidR="00957311" w:rsidRPr="000E62A1" w:rsidRDefault="00957311" w:rsidP="00957311">
      <w:pPr>
        <w:rPr>
          <w:rFonts w:cstheme="minorHAnsi"/>
        </w:rPr>
      </w:pPr>
      <w:r w:rsidRPr="000E62A1">
        <w:rPr>
          <w:rFonts w:cstheme="minorHAnsi"/>
        </w:rPr>
        <w:t>Les produits acquis par les collectivités territoriales dans le cadre des services de restauration des personnes publiques devront être des produits durables et de qualité (au moins 50 %) et issus de l’agriculture biologique (au moins 20 %).</w:t>
      </w:r>
    </w:p>
    <w:p w14:paraId="4E6D3F4A" w14:textId="77777777" w:rsidR="00957311" w:rsidRPr="000E62A1" w:rsidRDefault="00957311" w:rsidP="00957311">
      <w:pPr>
        <w:rPr>
          <w:rFonts w:cstheme="minorHAnsi"/>
        </w:rPr>
      </w:pPr>
      <w:r w:rsidRPr="000E62A1">
        <w:rPr>
          <w:rFonts w:cstheme="minorHAnsi"/>
        </w:rPr>
        <w:t>En outre, l’obligation concernant la composition des repas en produits durables et de qualité sera étendue à l’ensemble de la restauration collective privée.</w:t>
      </w:r>
    </w:p>
    <w:p w14:paraId="5021EC39" w14:textId="77777777" w:rsidR="00957311" w:rsidRPr="000E62A1" w:rsidRDefault="00957311" w:rsidP="00957311">
      <w:pPr>
        <w:rPr>
          <w:rFonts w:cstheme="minorHAnsi"/>
        </w:rPr>
      </w:pPr>
    </w:p>
    <w:p w14:paraId="40702797" w14:textId="77777777" w:rsidR="00957311" w:rsidRPr="006D3FD9" w:rsidRDefault="00957311" w:rsidP="00EA763A">
      <w:pPr>
        <w:pStyle w:val="Paragraphedeliste"/>
        <w:numPr>
          <w:ilvl w:val="0"/>
          <w:numId w:val="167"/>
        </w:numPr>
        <w:rPr>
          <w:rFonts w:cstheme="minorHAnsi"/>
          <w:b/>
          <w:bCs/>
          <w:i/>
          <w:iCs/>
          <w:u w:val="single"/>
        </w:rPr>
      </w:pPr>
      <w:r w:rsidRPr="006D3FD9">
        <w:rPr>
          <w:rFonts w:cstheme="minorHAnsi"/>
          <w:b/>
          <w:bCs/>
          <w:i/>
          <w:iCs/>
          <w:u w:val="single"/>
        </w:rPr>
        <w:t>Mesures pour les agriculteurs</w:t>
      </w:r>
    </w:p>
    <w:p w14:paraId="29ABA060" w14:textId="77777777" w:rsidR="00957311" w:rsidRPr="000E62A1" w:rsidRDefault="00957311" w:rsidP="00957311">
      <w:pPr>
        <w:rPr>
          <w:rFonts w:cstheme="minorHAnsi"/>
        </w:rPr>
      </w:pPr>
      <w:r w:rsidRPr="000E62A1">
        <w:rPr>
          <w:rFonts w:cstheme="minorHAnsi"/>
        </w:rPr>
        <w:t>Une redevance sur les engrais azotés minéraux sera allouée aux agriculteurs qui n’atteignent pas les objectifs annuels de réduction de ces émissions pendant 2 années consécutives</w:t>
      </w:r>
      <w:r>
        <w:rPr>
          <w:rFonts w:cstheme="minorHAnsi"/>
        </w:rPr>
        <w:t>.</w:t>
      </w:r>
    </w:p>
    <w:p w14:paraId="38345885" w14:textId="77777777" w:rsidR="00957311" w:rsidRPr="000E62A1" w:rsidRDefault="00957311" w:rsidP="00957311">
      <w:pPr>
        <w:rPr>
          <w:rFonts w:cstheme="minorHAnsi"/>
        </w:rPr>
      </w:pPr>
    </w:p>
    <w:p w14:paraId="4B34B165" w14:textId="77777777" w:rsidR="00957311" w:rsidRPr="006D3FD9" w:rsidRDefault="00957311" w:rsidP="00EA763A">
      <w:pPr>
        <w:pStyle w:val="Paragraphedeliste"/>
        <w:numPr>
          <w:ilvl w:val="0"/>
          <w:numId w:val="167"/>
        </w:numPr>
        <w:rPr>
          <w:rFonts w:cstheme="minorHAnsi"/>
          <w:b/>
          <w:bCs/>
          <w:i/>
          <w:iCs/>
          <w:u w:val="single"/>
        </w:rPr>
      </w:pPr>
      <w:r w:rsidRPr="006D3FD9">
        <w:rPr>
          <w:rFonts w:cstheme="minorHAnsi"/>
          <w:b/>
          <w:bCs/>
          <w:i/>
          <w:iCs/>
          <w:u w:val="single"/>
        </w:rPr>
        <w:t>Mesures diverses</w:t>
      </w:r>
    </w:p>
    <w:p w14:paraId="3F8649AE" w14:textId="77777777" w:rsidR="00957311" w:rsidRPr="000E62A1" w:rsidRDefault="00957311" w:rsidP="00957311">
      <w:pPr>
        <w:rPr>
          <w:rFonts w:cstheme="minorHAnsi"/>
        </w:rPr>
      </w:pPr>
      <w:r w:rsidRPr="000E62A1">
        <w:rPr>
          <w:rFonts w:cstheme="minorHAnsi"/>
        </w:rPr>
        <w:t>Une peine maximale de 3 ans de prison et de 300 000 € d’amende sera prévue en cas de comportements illicites qui exposent la faune, la flore ou la qualité de l’eau à un risque immédiat de dégradation grave et durable, c’est-à-dire susceptible de durer au moins 10 ans.</w:t>
      </w:r>
    </w:p>
    <w:p w14:paraId="1DC577D2" w14:textId="77777777" w:rsidR="00957311" w:rsidRPr="000E62A1" w:rsidRDefault="00957311" w:rsidP="00957311">
      <w:pPr>
        <w:rPr>
          <w:rFonts w:cstheme="minorHAnsi"/>
        </w:rPr>
      </w:pPr>
      <w:r w:rsidRPr="000E62A1">
        <w:rPr>
          <w:rFonts w:cstheme="minorHAnsi"/>
        </w:rPr>
        <w:t>De plus, la pollution des sols est sanctionnée avec la même sévérité lorsque que cette pollution est issue d’une mauvaise gestion des déchets ou de l’exploitation d’une activité en contravention avec les prescriptions d’une mise en demeure, sans autorisation préalable ou malgré une demande de fermeture par l’autorité administrative.</w:t>
      </w:r>
    </w:p>
    <w:p w14:paraId="6B518644" w14:textId="3B928470" w:rsidR="00163F28" w:rsidRDefault="00957311" w:rsidP="00957311">
      <w:r w:rsidRPr="000E62A1">
        <w:rPr>
          <w:rFonts w:cstheme="minorHAnsi"/>
        </w:rPr>
        <w:t>Enfin, le délit de pollution pourra faire l’objet d’une condamnation, par le tribunal, de procéder à la restauration du milieu natur</w:t>
      </w:r>
      <w:r>
        <w:rPr>
          <w:rFonts w:cstheme="minorHAnsi"/>
        </w:rPr>
        <w:t>el.</w:t>
      </w:r>
    </w:p>
    <w:sectPr w:rsidR="00163F28" w:rsidSect="00FA283A">
      <w:footerReference w:type="default" r:id="rId12"/>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B8B9B" w14:textId="77777777" w:rsidR="00510666" w:rsidRDefault="00510666" w:rsidP="00EA076F">
      <w:pPr>
        <w:spacing w:after="0" w:line="240" w:lineRule="auto"/>
      </w:pPr>
      <w:r>
        <w:separator/>
      </w:r>
    </w:p>
  </w:endnote>
  <w:endnote w:type="continuationSeparator" w:id="0">
    <w:p w14:paraId="6CF91A1F" w14:textId="77777777" w:rsidR="00510666" w:rsidRDefault="00510666" w:rsidP="00EA076F">
      <w:pPr>
        <w:spacing w:after="0" w:line="240" w:lineRule="auto"/>
      </w:pPr>
      <w:r>
        <w:continuationSeparator/>
      </w:r>
    </w:p>
  </w:endnote>
  <w:endnote w:type="continuationNotice" w:id="1">
    <w:p w14:paraId="6CB8E2CE" w14:textId="77777777" w:rsidR="00510666" w:rsidRDefault="0051066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ZSongTi">
    <w:charset w:val="00"/>
    <w:family w:val="auto"/>
    <w:pitch w:val="variable"/>
  </w:font>
  <w:font w:name="F">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7042083"/>
      <w:docPartObj>
        <w:docPartGallery w:val="Page Numbers (Bottom of Page)"/>
        <w:docPartUnique/>
      </w:docPartObj>
    </w:sdtPr>
    <w:sdtEndPr/>
    <w:sdtContent>
      <w:p w14:paraId="2C0B60C3" w14:textId="439E93D0" w:rsidR="00C80BFD" w:rsidRDefault="00C80BFD">
        <w:pPr>
          <w:pStyle w:val="Pieddepage"/>
          <w:jc w:val="right"/>
        </w:pPr>
        <w:r>
          <w:rPr>
            <w:noProof/>
          </w:rPr>
          <w:fldChar w:fldCharType="begin"/>
        </w:r>
        <w:r>
          <w:rPr>
            <w:noProof/>
          </w:rPr>
          <w:instrText>PAGE   \* MERGEFORMAT</w:instrText>
        </w:r>
        <w:r>
          <w:rPr>
            <w:noProof/>
          </w:rPr>
          <w:fldChar w:fldCharType="separate"/>
        </w:r>
        <w:r>
          <w:rPr>
            <w:noProof/>
          </w:rPr>
          <w:t>2</w:t>
        </w:r>
        <w:r>
          <w:rPr>
            <w:noProof/>
          </w:rPr>
          <w:fldChar w:fldCharType="end"/>
        </w:r>
      </w:p>
    </w:sdtContent>
  </w:sdt>
  <w:p w14:paraId="4B8BF05B" w14:textId="77777777" w:rsidR="00C80BFD" w:rsidRDefault="00C80BF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4D015" w14:textId="77777777" w:rsidR="00510666" w:rsidRDefault="00510666" w:rsidP="00EA076F">
      <w:pPr>
        <w:spacing w:after="0" w:line="240" w:lineRule="auto"/>
      </w:pPr>
      <w:r>
        <w:separator/>
      </w:r>
    </w:p>
  </w:footnote>
  <w:footnote w:type="continuationSeparator" w:id="0">
    <w:p w14:paraId="39C259AC" w14:textId="77777777" w:rsidR="00510666" w:rsidRDefault="00510666" w:rsidP="00EA076F">
      <w:pPr>
        <w:spacing w:after="0" w:line="240" w:lineRule="auto"/>
      </w:pPr>
      <w:r>
        <w:continuationSeparator/>
      </w:r>
    </w:p>
  </w:footnote>
  <w:footnote w:type="continuationNotice" w:id="1">
    <w:p w14:paraId="6D5FA327" w14:textId="77777777" w:rsidR="00510666" w:rsidRDefault="00510666">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9"/>
    <w:lvl w:ilvl="0">
      <w:start w:val="1"/>
      <w:numFmt w:val="bullet"/>
      <w:lvlText w:val="-"/>
      <w:lvlJc w:val="left"/>
      <w:pPr>
        <w:tabs>
          <w:tab w:val="num" w:pos="0"/>
        </w:tabs>
        <w:ind w:left="720" w:hanging="360"/>
      </w:pPr>
      <w:rPr>
        <w:rFonts w:ascii="Calibri" w:hAnsi="Calibri" w:cs="Times New Roman"/>
      </w:rPr>
    </w:lvl>
  </w:abstractNum>
  <w:abstractNum w:abstractNumId="1" w15:restartNumberingAfterBreak="0">
    <w:nsid w:val="001C6A0B"/>
    <w:multiLevelType w:val="hybridMultilevel"/>
    <w:tmpl w:val="FD84531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02D5F6B"/>
    <w:multiLevelType w:val="hybridMultilevel"/>
    <w:tmpl w:val="D068E55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058515E"/>
    <w:multiLevelType w:val="hybridMultilevel"/>
    <w:tmpl w:val="95E28A2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0B55A2F"/>
    <w:multiLevelType w:val="hybridMultilevel"/>
    <w:tmpl w:val="2E1EA37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11B17CE"/>
    <w:multiLevelType w:val="hybridMultilevel"/>
    <w:tmpl w:val="C046C40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13909AA"/>
    <w:multiLevelType w:val="hybridMultilevel"/>
    <w:tmpl w:val="ECF296F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2BA50D2"/>
    <w:multiLevelType w:val="hybridMultilevel"/>
    <w:tmpl w:val="7C74D96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2F050AD"/>
    <w:multiLevelType w:val="hybridMultilevel"/>
    <w:tmpl w:val="804A1F2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3422C29"/>
    <w:multiLevelType w:val="hybridMultilevel"/>
    <w:tmpl w:val="9D7ADFD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34F1D9E"/>
    <w:multiLevelType w:val="hybridMultilevel"/>
    <w:tmpl w:val="BD94893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3841121"/>
    <w:multiLevelType w:val="hybridMultilevel"/>
    <w:tmpl w:val="C7B0516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71C654F"/>
    <w:multiLevelType w:val="hybridMultilevel"/>
    <w:tmpl w:val="939089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80B3E72"/>
    <w:multiLevelType w:val="hybridMultilevel"/>
    <w:tmpl w:val="AB38EFD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0857305C"/>
    <w:multiLevelType w:val="hybridMultilevel"/>
    <w:tmpl w:val="F78088F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099840CB"/>
    <w:multiLevelType w:val="hybridMultilevel"/>
    <w:tmpl w:val="0FAEDCF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09A94616"/>
    <w:multiLevelType w:val="hybridMultilevel"/>
    <w:tmpl w:val="0DD4FAA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0ABD14D8"/>
    <w:multiLevelType w:val="hybridMultilevel"/>
    <w:tmpl w:val="7DC464EA"/>
    <w:lvl w:ilvl="0" w:tplc="040C000B">
      <w:start w:val="1"/>
      <w:numFmt w:val="bullet"/>
      <w:lvlText w:val=""/>
      <w:lvlJc w:val="left"/>
      <w:pPr>
        <w:ind w:left="720" w:hanging="360"/>
      </w:pPr>
      <w:rPr>
        <w:rFonts w:ascii="Wingdings" w:hAnsi="Wingdings" w:hint="default"/>
      </w:rPr>
    </w:lvl>
    <w:lvl w:ilvl="1" w:tplc="BFEC5B80">
      <w:numFmt w:val="bullet"/>
      <w:lvlText w:val="-"/>
      <w:lvlJc w:val="left"/>
      <w:pPr>
        <w:ind w:left="1790" w:hanging="710"/>
      </w:pPr>
      <w:rPr>
        <w:rFonts w:ascii="Calibri" w:eastAsiaTheme="minorEastAsia"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0B1B3E12"/>
    <w:multiLevelType w:val="hybridMultilevel"/>
    <w:tmpl w:val="D96C9B4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790" w:hanging="710"/>
      </w:pPr>
      <w:rPr>
        <w:rFonts w:ascii="Courier New" w:hAnsi="Courier New" w:cs="Courier New" w:hint="default"/>
      </w:rPr>
    </w:lvl>
    <w:lvl w:ilvl="2" w:tplc="6E761E3A">
      <w:numFmt w:val="bullet"/>
      <w:lvlText w:val="-"/>
      <w:lvlJc w:val="left"/>
      <w:pPr>
        <w:ind w:left="2510" w:hanging="710"/>
      </w:pPr>
      <w:rPr>
        <w:rFonts w:ascii="Calibri" w:eastAsiaTheme="minorEastAsia" w:hAnsi="Calibri" w:cs="Calibri" w:hint="default"/>
      </w:rPr>
    </w:lvl>
    <w:lvl w:ilvl="3" w:tplc="FF00518A">
      <w:numFmt w:val="bullet"/>
      <w:lvlText w:val=""/>
      <w:lvlJc w:val="left"/>
      <w:pPr>
        <w:ind w:left="3230" w:hanging="710"/>
      </w:pPr>
      <w:rPr>
        <w:rFonts w:ascii="Symbol" w:eastAsiaTheme="minorEastAsia" w:hAnsi="Symbol" w:cstheme="minorHAns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0B601386"/>
    <w:multiLevelType w:val="hybridMultilevel"/>
    <w:tmpl w:val="477494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0C472F3E"/>
    <w:multiLevelType w:val="hybridMultilevel"/>
    <w:tmpl w:val="42D65ED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0CA30528"/>
    <w:multiLevelType w:val="hybridMultilevel"/>
    <w:tmpl w:val="F7983B5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0E4B7D66"/>
    <w:multiLevelType w:val="hybridMultilevel"/>
    <w:tmpl w:val="FB80F36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7FE27BF8">
      <w:numFmt w:val="bullet"/>
      <w:lvlText w:val="•"/>
      <w:lvlJc w:val="left"/>
      <w:pPr>
        <w:ind w:left="2510" w:hanging="710"/>
      </w:pPr>
      <w:rPr>
        <w:rFonts w:ascii="Calibri" w:eastAsiaTheme="minorEastAsia"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0F8641C3"/>
    <w:multiLevelType w:val="hybridMultilevel"/>
    <w:tmpl w:val="0E24DBF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0F9C10DD"/>
    <w:multiLevelType w:val="hybridMultilevel"/>
    <w:tmpl w:val="A380FAC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101770E9"/>
    <w:multiLevelType w:val="hybridMultilevel"/>
    <w:tmpl w:val="B7E0856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1196619E"/>
    <w:multiLevelType w:val="hybridMultilevel"/>
    <w:tmpl w:val="575CB56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11A17AB6"/>
    <w:multiLevelType w:val="hybridMultilevel"/>
    <w:tmpl w:val="4064CB9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D84FA4E">
      <w:numFmt w:val="bullet"/>
      <w:lvlText w:val="-"/>
      <w:lvlJc w:val="left"/>
      <w:pPr>
        <w:ind w:left="2510" w:hanging="710"/>
      </w:pPr>
      <w:rPr>
        <w:rFonts w:ascii="Calibri" w:eastAsiaTheme="minorEastAsia"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11A63776"/>
    <w:multiLevelType w:val="hybridMultilevel"/>
    <w:tmpl w:val="8602936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151046C2"/>
    <w:multiLevelType w:val="hybridMultilevel"/>
    <w:tmpl w:val="8180912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153C43D0"/>
    <w:multiLevelType w:val="hybridMultilevel"/>
    <w:tmpl w:val="6412972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157E2520"/>
    <w:multiLevelType w:val="hybridMultilevel"/>
    <w:tmpl w:val="B34851BE"/>
    <w:lvl w:ilvl="0" w:tplc="040C0005">
      <w:start w:val="1"/>
      <w:numFmt w:val="bullet"/>
      <w:lvlText w:val=""/>
      <w:lvlJc w:val="left"/>
      <w:pPr>
        <w:ind w:left="720" w:hanging="360"/>
      </w:pPr>
      <w:rPr>
        <w:rFonts w:ascii="Wingdings" w:hAnsi="Wingdings" w:hint="default"/>
      </w:rPr>
    </w:lvl>
    <w:lvl w:ilvl="1" w:tplc="00643942">
      <w:numFmt w:val="bullet"/>
      <w:lvlText w:val="•"/>
      <w:lvlJc w:val="left"/>
      <w:pPr>
        <w:ind w:left="1790" w:hanging="710"/>
      </w:pPr>
      <w:rPr>
        <w:rFonts w:ascii="Calibri" w:eastAsiaTheme="minorEastAsia" w:hAnsi="Calibri" w:cs="Calibri" w:hint="default"/>
      </w:rPr>
    </w:lvl>
    <w:lvl w:ilvl="2" w:tplc="6E761E3A">
      <w:numFmt w:val="bullet"/>
      <w:lvlText w:val="-"/>
      <w:lvlJc w:val="left"/>
      <w:pPr>
        <w:ind w:left="2510" w:hanging="710"/>
      </w:pPr>
      <w:rPr>
        <w:rFonts w:ascii="Calibri" w:eastAsiaTheme="minorEastAsia" w:hAnsi="Calibri" w:cs="Calibri" w:hint="default"/>
      </w:rPr>
    </w:lvl>
    <w:lvl w:ilvl="3" w:tplc="FF00518A">
      <w:numFmt w:val="bullet"/>
      <w:lvlText w:val=""/>
      <w:lvlJc w:val="left"/>
      <w:pPr>
        <w:ind w:left="3230" w:hanging="710"/>
      </w:pPr>
      <w:rPr>
        <w:rFonts w:ascii="Symbol" w:eastAsiaTheme="minorEastAsia" w:hAnsi="Symbol" w:cstheme="minorHAns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16457EF6"/>
    <w:multiLevelType w:val="hybridMultilevel"/>
    <w:tmpl w:val="F328FBA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172E630A"/>
    <w:multiLevelType w:val="hybridMultilevel"/>
    <w:tmpl w:val="40D80C9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17AD01D9"/>
    <w:multiLevelType w:val="hybridMultilevel"/>
    <w:tmpl w:val="CC2093C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D1F0A0BC">
      <w:numFmt w:val="bullet"/>
      <w:lvlText w:val="-"/>
      <w:lvlJc w:val="left"/>
      <w:pPr>
        <w:ind w:left="3230" w:hanging="710"/>
      </w:pPr>
      <w:rPr>
        <w:rFonts w:ascii="Calibri" w:eastAsiaTheme="minorEastAsia" w:hAnsi="Calibri" w:cs="Calibr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187B4A6A"/>
    <w:multiLevelType w:val="hybridMultilevel"/>
    <w:tmpl w:val="20C698F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18D13DC8"/>
    <w:multiLevelType w:val="hybridMultilevel"/>
    <w:tmpl w:val="CDA027A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18EA7207"/>
    <w:multiLevelType w:val="hybridMultilevel"/>
    <w:tmpl w:val="AA08680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196315B1"/>
    <w:multiLevelType w:val="hybridMultilevel"/>
    <w:tmpl w:val="53288F06"/>
    <w:lvl w:ilvl="0" w:tplc="040C000B">
      <w:start w:val="1"/>
      <w:numFmt w:val="bullet"/>
      <w:lvlText w:val=""/>
      <w:lvlJc w:val="left"/>
      <w:pPr>
        <w:ind w:left="720" w:hanging="360"/>
      </w:pPr>
      <w:rPr>
        <w:rFonts w:ascii="Wingdings" w:hAnsi="Wingdings"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1B0007EB"/>
    <w:multiLevelType w:val="hybridMultilevel"/>
    <w:tmpl w:val="C246A91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1B36267E"/>
    <w:multiLevelType w:val="hybridMultilevel"/>
    <w:tmpl w:val="D2467D5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1BE01922"/>
    <w:multiLevelType w:val="hybridMultilevel"/>
    <w:tmpl w:val="DA58E5D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1BF41F42"/>
    <w:multiLevelType w:val="hybridMultilevel"/>
    <w:tmpl w:val="9AD68E7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CCEC347E">
      <w:numFmt w:val="bullet"/>
      <w:lvlText w:val="-"/>
      <w:lvlJc w:val="left"/>
      <w:pPr>
        <w:ind w:left="2510" w:hanging="710"/>
      </w:pPr>
      <w:rPr>
        <w:rFonts w:ascii="Calibri" w:eastAsiaTheme="minorEastAsia"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1D0C1787"/>
    <w:multiLevelType w:val="hybridMultilevel"/>
    <w:tmpl w:val="ADD44A9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1DCC627B"/>
    <w:multiLevelType w:val="hybridMultilevel"/>
    <w:tmpl w:val="9352516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1F8D20A2"/>
    <w:multiLevelType w:val="hybridMultilevel"/>
    <w:tmpl w:val="287CA2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1FEC634C"/>
    <w:multiLevelType w:val="hybridMultilevel"/>
    <w:tmpl w:val="73FE63E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4B1C0454">
      <w:numFmt w:val="bullet"/>
      <w:lvlText w:val="-"/>
      <w:lvlJc w:val="left"/>
      <w:pPr>
        <w:ind w:left="3230" w:hanging="710"/>
      </w:pPr>
      <w:rPr>
        <w:rFonts w:ascii="Calibri" w:eastAsiaTheme="minorEastAsia" w:hAnsi="Calibri" w:cs="Calibr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1FF53CEF"/>
    <w:multiLevelType w:val="hybridMultilevel"/>
    <w:tmpl w:val="9474A71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20016EF1"/>
    <w:multiLevelType w:val="hybridMultilevel"/>
    <w:tmpl w:val="A65A54D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20F33CB3"/>
    <w:multiLevelType w:val="hybridMultilevel"/>
    <w:tmpl w:val="AE66F25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212B2211"/>
    <w:multiLevelType w:val="hybridMultilevel"/>
    <w:tmpl w:val="271006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2152715B"/>
    <w:multiLevelType w:val="hybridMultilevel"/>
    <w:tmpl w:val="10E0CD3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22497161"/>
    <w:multiLevelType w:val="hybridMultilevel"/>
    <w:tmpl w:val="CC4ADFF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24C559F0"/>
    <w:multiLevelType w:val="hybridMultilevel"/>
    <w:tmpl w:val="13C0145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25F43D23"/>
    <w:multiLevelType w:val="hybridMultilevel"/>
    <w:tmpl w:val="3A88C0C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25F7416F"/>
    <w:multiLevelType w:val="hybridMultilevel"/>
    <w:tmpl w:val="4308DB8E"/>
    <w:lvl w:ilvl="0" w:tplc="040C000B">
      <w:start w:val="1"/>
      <w:numFmt w:val="bullet"/>
      <w:lvlText w:val=""/>
      <w:lvlJc w:val="left"/>
      <w:pPr>
        <w:ind w:left="720" w:hanging="360"/>
      </w:pPr>
      <w:rPr>
        <w:rFonts w:ascii="Wingdings" w:hAnsi="Wingdings" w:hint="default"/>
      </w:rPr>
    </w:lvl>
    <w:lvl w:ilvl="1" w:tplc="7C16D104">
      <w:numFmt w:val="bullet"/>
      <w:lvlText w:val="-"/>
      <w:lvlJc w:val="left"/>
      <w:pPr>
        <w:ind w:left="1790" w:hanging="710"/>
      </w:pPr>
      <w:rPr>
        <w:rFonts w:ascii="Calibri" w:eastAsiaTheme="minorEastAsia"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26442ABC"/>
    <w:multiLevelType w:val="hybridMultilevel"/>
    <w:tmpl w:val="51CA420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790" w:hanging="710"/>
      </w:pPr>
      <w:rPr>
        <w:rFonts w:ascii="Courier New" w:hAnsi="Courier New" w:cs="Courier New" w:hint="default"/>
      </w:rPr>
    </w:lvl>
    <w:lvl w:ilvl="2" w:tplc="6E761E3A">
      <w:numFmt w:val="bullet"/>
      <w:lvlText w:val="-"/>
      <w:lvlJc w:val="left"/>
      <w:pPr>
        <w:ind w:left="2510" w:hanging="710"/>
      </w:pPr>
      <w:rPr>
        <w:rFonts w:ascii="Calibri" w:eastAsiaTheme="minorEastAsia" w:hAnsi="Calibri" w:cs="Calibri" w:hint="default"/>
      </w:rPr>
    </w:lvl>
    <w:lvl w:ilvl="3" w:tplc="FF00518A">
      <w:numFmt w:val="bullet"/>
      <w:lvlText w:val=""/>
      <w:lvlJc w:val="left"/>
      <w:pPr>
        <w:ind w:left="3230" w:hanging="710"/>
      </w:pPr>
      <w:rPr>
        <w:rFonts w:ascii="Symbol" w:eastAsiaTheme="minorEastAsia" w:hAnsi="Symbol" w:cstheme="minorHAns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2797751C"/>
    <w:multiLevelType w:val="hybridMultilevel"/>
    <w:tmpl w:val="E79E2AC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27E23473"/>
    <w:multiLevelType w:val="hybridMultilevel"/>
    <w:tmpl w:val="C00C1F6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2B70281F"/>
    <w:multiLevelType w:val="hybridMultilevel"/>
    <w:tmpl w:val="C78E13A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2BBF7119"/>
    <w:multiLevelType w:val="hybridMultilevel"/>
    <w:tmpl w:val="2B8872D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2D1B12A4"/>
    <w:multiLevelType w:val="hybridMultilevel"/>
    <w:tmpl w:val="89C23BB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CCEC347E">
      <w:numFmt w:val="bullet"/>
      <w:lvlText w:val="-"/>
      <w:lvlJc w:val="left"/>
      <w:pPr>
        <w:ind w:left="2510" w:hanging="710"/>
      </w:pPr>
      <w:rPr>
        <w:rFonts w:ascii="Calibri" w:eastAsiaTheme="minorEastAsia" w:hAnsi="Calibri" w:cs="Calibri" w:hint="default"/>
      </w:rPr>
    </w:lvl>
    <w:lvl w:ilvl="3" w:tplc="C7DA74B4">
      <w:numFmt w:val="bullet"/>
      <w:lvlText w:val="•"/>
      <w:lvlJc w:val="left"/>
      <w:pPr>
        <w:ind w:left="3230" w:hanging="710"/>
      </w:pPr>
      <w:rPr>
        <w:rFonts w:ascii="Calibri" w:eastAsiaTheme="minorEastAsia" w:hAnsi="Calibri" w:cs="Calibr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2DAF487D"/>
    <w:multiLevelType w:val="hybridMultilevel"/>
    <w:tmpl w:val="B18848E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62F822B2">
      <w:numFmt w:val="bullet"/>
      <w:lvlText w:val="•"/>
      <w:lvlJc w:val="left"/>
      <w:pPr>
        <w:ind w:left="3950" w:hanging="710"/>
      </w:pPr>
      <w:rPr>
        <w:rFonts w:ascii="Calibri" w:eastAsiaTheme="minorEastAsia" w:hAnsi="Calibri" w:cs="Calibri"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2FAE5C44"/>
    <w:multiLevelType w:val="hybridMultilevel"/>
    <w:tmpl w:val="304EAF2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CCEC347E">
      <w:numFmt w:val="bullet"/>
      <w:lvlText w:val="-"/>
      <w:lvlJc w:val="left"/>
      <w:pPr>
        <w:ind w:left="2510" w:hanging="710"/>
      </w:pPr>
      <w:rPr>
        <w:rFonts w:ascii="Calibri" w:eastAsiaTheme="minorEastAsia" w:hAnsi="Calibri" w:cs="Calibri" w:hint="default"/>
      </w:rPr>
    </w:lvl>
    <w:lvl w:ilvl="3" w:tplc="C7DA74B4">
      <w:numFmt w:val="bullet"/>
      <w:lvlText w:val="•"/>
      <w:lvlJc w:val="left"/>
      <w:pPr>
        <w:ind w:left="3230" w:hanging="710"/>
      </w:pPr>
      <w:rPr>
        <w:rFonts w:ascii="Calibri" w:eastAsiaTheme="minorEastAsia" w:hAnsi="Calibri" w:cs="Calibr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31780AF9"/>
    <w:multiLevelType w:val="hybridMultilevel"/>
    <w:tmpl w:val="56D807F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332F5518"/>
    <w:multiLevelType w:val="hybridMultilevel"/>
    <w:tmpl w:val="A636E29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33E921D7"/>
    <w:multiLevelType w:val="hybridMultilevel"/>
    <w:tmpl w:val="2932BD6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34904343"/>
    <w:multiLevelType w:val="hybridMultilevel"/>
    <w:tmpl w:val="47447A2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34CA642A"/>
    <w:multiLevelType w:val="hybridMultilevel"/>
    <w:tmpl w:val="B1FC9AD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35D91183"/>
    <w:multiLevelType w:val="hybridMultilevel"/>
    <w:tmpl w:val="15A843B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38D33AA7"/>
    <w:multiLevelType w:val="hybridMultilevel"/>
    <w:tmpl w:val="F70E7080"/>
    <w:lvl w:ilvl="0" w:tplc="040C0005">
      <w:start w:val="1"/>
      <w:numFmt w:val="bullet"/>
      <w:lvlText w:val=""/>
      <w:lvlJc w:val="left"/>
      <w:pPr>
        <w:ind w:left="720" w:hanging="360"/>
      </w:pPr>
      <w:rPr>
        <w:rFonts w:ascii="Wingdings" w:hAnsi="Wingdings" w:hint="default"/>
      </w:rPr>
    </w:lvl>
    <w:lvl w:ilvl="1" w:tplc="2E2A6D70">
      <w:numFmt w:val="bullet"/>
      <w:lvlText w:val="•"/>
      <w:lvlJc w:val="left"/>
      <w:pPr>
        <w:ind w:left="1790" w:hanging="710"/>
      </w:pPr>
      <w:rPr>
        <w:rFonts w:ascii="Calibri" w:eastAsiaTheme="minorEastAsia" w:hAnsi="Calibri" w:cs="Calibri" w:hint="default"/>
      </w:rPr>
    </w:lvl>
    <w:lvl w:ilvl="2" w:tplc="5F40B404">
      <w:numFmt w:val="bullet"/>
      <w:lvlText w:val="-"/>
      <w:lvlJc w:val="left"/>
      <w:pPr>
        <w:ind w:left="2510" w:hanging="710"/>
      </w:pPr>
      <w:rPr>
        <w:rFonts w:ascii="Calibri" w:eastAsiaTheme="minorEastAsia"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3900797D"/>
    <w:multiLevelType w:val="hybridMultilevel"/>
    <w:tmpl w:val="0E88B26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3A1877F1"/>
    <w:multiLevelType w:val="hybridMultilevel"/>
    <w:tmpl w:val="3F62F4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3DDE2A96"/>
    <w:multiLevelType w:val="hybridMultilevel"/>
    <w:tmpl w:val="E228BE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3DF516B8"/>
    <w:multiLevelType w:val="hybridMultilevel"/>
    <w:tmpl w:val="84B801D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790" w:hanging="710"/>
      </w:pPr>
      <w:rPr>
        <w:rFonts w:ascii="Courier New" w:hAnsi="Courier New" w:cs="Courier New" w:hint="default"/>
      </w:rPr>
    </w:lvl>
    <w:lvl w:ilvl="2" w:tplc="6E761E3A">
      <w:numFmt w:val="bullet"/>
      <w:lvlText w:val="-"/>
      <w:lvlJc w:val="left"/>
      <w:pPr>
        <w:ind w:left="2510" w:hanging="710"/>
      </w:pPr>
      <w:rPr>
        <w:rFonts w:ascii="Calibri" w:eastAsiaTheme="minorEastAsia" w:hAnsi="Calibri" w:cs="Calibri" w:hint="default"/>
      </w:rPr>
    </w:lvl>
    <w:lvl w:ilvl="3" w:tplc="FF00518A">
      <w:numFmt w:val="bullet"/>
      <w:lvlText w:val=""/>
      <w:lvlJc w:val="left"/>
      <w:pPr>
        <w:ind w:left="3230" w:hanging="710"/>
      </w:pPr>
      <w:rPr>
        <w:rFonts w:ascii="Symbol" w:eastAsiaTheme="minorEastAsia" w:hAnsi="Symbol" w:cstheme="minorHAns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3E881D5D"/>
    <w:multiLevelType w:val="hybridMultilevel"/>
    <w:tmpl w:val="3356C28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D08E4FA2">
      <w:numFmt w:val="bullet"/>
      <w:lvlText w:val="•"/>
      <w:lvlJc w:val="left"/>
      <w:pPr>
        <w:ind w:left="2510" w:hanging="710"/>
      </w:pPr>
      <w:rPr>
        <w:rFonts w:ascii="Calibri" w:eastAsiaTheme="minorEastAsia"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40C92F64"/>
    <w:multiLevelType w:val="hybridMultilevel"/>
    <w:tmpl w:val="D7765F7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41301C9D"/>
    <w:multiLevelType w:val="hybridMultilevel"/>
    <w:tmpl w:val="515A4594"/>
    <w:lvl w:ilvl="0" w:tplc="040C0005">
      <w:start w:val="1"/>
      <w:numFmt w:val="bullet"/>
      <w:lvlText w:val=""/>
      <w:lvlJc w:val="left"/>
      <w:pPr>
        <w:ind w:left="720" w:hanging="360"/>
      </w:pPr>
      <w:rPr>
        <w:rFonts w:ascii="Wingdings" w:hAnsi="Wingdings" w:hint="default"/>
      </w:rPr>
    </w:lvl>
    <w:lvl w:ilvl="1" w:tplc="99142370">
      <w:numFmt w:val="bullet"/>
      <w:lvlText w:val="-"/>
      <w:lvlJc w:val="left"/>
      <w:pPr>
        <w:ind w:left="1790" w:hanging="710"/>
      </w:pPr>
      <w:rPr>
        <w:rFonts w:ascii="Calibri" w:eastAsiaTheme="minorEastAsia"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41371C7E"/>
    <w:multiLevelType w:val="hybridMultilevel"/>
    <w:tmpl w:val="88E669A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4197052F"/>
    <w:multiLevelType w:val="hybridMultilevel"/>
    <w:tmpl w:val="3D0A1CC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42156C29"/>
    <w:multiLevelType w:val="hybridMultilevel"/>
    <w:tmpl w:val="4670C60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427F41C2"/>
    <w:multiLevelType w:val="hybridMultilevel"/>
    <w:tmpl w:val="06F64AD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42E9384C"/>
    <w:multiLevelType w:val="hybridMultilevel"/>
    <w:tmpl w:val="E18412A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3" w15:restartNumberingAfterBreak="0">
    <w:nsid w:val="4301473B"/>
    <w:multiLevelType w:val="hybridMultilevel"/>
    <w:tmpl w:val="B0CC32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15:restartNumberingAfterBreak="0">
    <w:nsid w:val="430A0E6E"/>
    <w:multiLevelType w:val="hybridMultilevel"/>
    <w:tmpl w:val="7380608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15:restartNumberingAfterBreak="0">
    <w:nsid w:val="430D1CD3"/>
    <w:multiLevelType w:val="hybridMultilevel"/>
    <w:tmpl w:val="16423E3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6" w15:restartNumberingAfterBreak="0">
    <w:nsid w:val="431418DF"/>
    <w:multiLevelType w:val="hybridMultilevel"/>
    <w:tmpl w:val="A22CF13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7" w15:restartNumberingAfterBreak="0">
    <w:nsid w:val="438B71E4"/>
    <w:multiLevelType w:val="hybridMultilevel"/>
    <w:tmpl w:val="2EF8504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8" w15:restartNumberingAfterBreak="0">
    <w:nsid w:val="43EC7EE7"/>
    <w:multiLevelType w:val="hybridMultilevel"/>
    <w:tmpl w:val="6194E71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9" w15:restartNumberingAfterBreak="0">
    <w:nsid w:val="44232CEE"/>
    <w:multiLevelType w:val="hybridMultilevel"/>
    <w:tmpl w:val="CF24571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0" w15:restartNumberingAfterBreak="0">
    <w:nsid w:val="451A4BFD"/>
    <w:multiLevelType w:val="hybridMultilevel"/>
    <w:tmpl w:val="C09E05F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1" w15:restartNumberingAfterBreak="0">
    <w:nsid w:val="462A7D1B"/>
    <w:multiLevelType w:val="hybridMultilevel"/>
    <w:tmpl w:val="8302636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2" w15:restartNumberingAfterBreak="0">
    <w:nsid w:val="48012358"/>
    <w:multiLevelType w:val="hybridMultilevel"/>
    <w:tmpl w:val="43D831E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3" w15:restartNumberingAfterBreak="0">
    <w:nsid w:val="49C305B7"/>
    <w:multiLevelType w:val="hybridMultilevel"/>
    <w:tmpl w:val="861EA4E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610C96EA">
      <w:numFmt w:val="bullet"/>
      <w:lvlText w:val="•"/>
      <w:lvlJc w:val="left"/>
      <w:pPr>
        <w:ind w:left="2505" w:hanging="705"/>
      </w:pPr>
      <w:rPr>
        <w:rFonts w:ascii="Calibri" w:eastAsiaTheme="minorEastAsia"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4" w15:restartNumberingAfterBreak="0">
    <w:nsid w:val="4AA135A4"/>
    <w:multiLevelType w:val="hybridMultilevel"/>
    <w:tmpl w:val="19B23D5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5" w15:restartNumberingAfterBreak="0">
    <w:nsid w:val="4AF1324C"/>
    <w:multiLevelType w:val="hybridMultilevel"/>
    <w:tmpl w:val="73002E0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6" w15:restartNumberingAfterBreak="0">
    <w:nsid w:val="4B350747"/>
    <w:multiLevelType w:val="hybridMultilevel"/>
    <w:tmpl w:val="DAB299C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A7DEA018">
      <w:numFmt w:val="bullet"/>
      <w:lvlText w:val=""/>
      <w:lvlJc w:val="left"/>
      <w:pPr>
        <w:ind w:left="3230" w:hanging="710"/>
      </w:pPr>
      <w:rPr>
        <w:rFonts w:ascii="Symbol" w:eastAsiaTheme="minorEastAsia" w:hAnsi="Symbol" w:cstheme="minorHAns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7" w15:restartNumberingAfterBreak="0">
    <w:nsid w:val="4B554B65"/>
    <w:multiLevelType w:val="hybridMultilevel"/>
    <w:tmpl w:val="FA60E7C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8" w15:restartNumberingAfterBreak="0">
    <w:nsid w:val="4CC85859"/>
    <w:multiLevelType w:val="hybridMultilevel"/>
    <w:tmpl w:val="23A4C6B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9" w15:restartNumberingAfterBreak="0">
    <w:nsid w:val="4D3B18FB"/>
    <w:multiLevelType w:val="hybridMultilevel"/>
    <w:tmpl w:val="17DA71F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0" w15:restartNumberingAfterBreak="0">
    <w:nsid w:val="4D5866B7"/>
    <w:multiLevelType w:val="hybridMultilevel"/>
    <w:tmpl w:val="7B5E5C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1" w15:restartNumberingAfterBreak="0">
    <w:nsid w:val="4D700546"/>
    <w:multiLevelType w:val="hybridMultilevel"/>
    <w:tmpl w:val="DE1C6AF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2" w15:restartNumberingAfterBreak="0">
    <w:nsid w:val="4DEC1F46"/>
    <w:multiLevelType w:val="hybridMultilevel"/>
    <w:tmpl w:val="1384106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3" w15:restartNumberingAfterBreak="0">
    <w:nsid w:val="4DFE5A3B"/>
    <w:multiLevelType w:val="hybridMultilevel"/>
    <w:tmpl w:val="9966661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4" w15:restartNumberingAfterBreak="0">
    <w:nsid w:val="4E2E0988"/>
    <w:multiLevelType w:val="hybridMultilevel"/>
    <w:tmpl w:val="A518F7A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5" w15:restartNumberingAfterBreak="0">
    <w:nsid w:val="4E654070"/>
    <w:multiLevelType w:val="hybridMultilevel"/>
    <w:tmpl w:val="B66AA24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6" w15:restartNumberingAfterBreak="0">
    <w:nsid w:val="4E8E6AE7"/>
    <w:multiLevelType w:val="hybridMultilevel"/>
    <w:tmpl w:val="C36A46D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7" w15:restartNumberingAfterBreak="0">
    <w:nsid w:val="4F262D0F"/>
    <w:multiLevelType w:val="hybridMultilevel"/>
    <w:tmpl w:val="88C2E15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8" w15:restartNumberingAfterBreak="0">
    <w:nsid w:val="4F2A46C2"/>
    <w:multiLevelType w:val="hybridMultilevel"/>
    <w:tmpl w:val="9D4E578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9" w15:restartNumberingAfterBreak="0">
    <w:nsid w:val="50A4599C"/>
    <w:multiLevelType w:val="hybridMultilevel"/>
    <w:tmpl w:val="EBE8A52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CCEC347E">
      <w:numFmt w:val="bullet"/>
      <w:lvlText w:val="-"/>
      <w:lvlJc w:val="left"/>
      <w:pPr>
        <w:ind w:left="2510" w:hanging="710"/>
      </w:pPr>
      <w:rPr>
        <w:rFonts w:ascii="Calibri" w:eastAsiaTheme="minorEastAsia"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0" w15:restartNumberingAfterBreak="0">
    <w:nsid w:val="51487499"/>
    <w:multiLevelType w:val="hybridMultilevel"/>
    <w:tmpl w:val="CBA2A59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1" w15:restartNumberingAfterBreak="0">
    <w:nsid w:val="51781F78"/>
    <w:multiLevelType w:val="hybridMultilevel"/>
    <w:tmpl w:val="EC48346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2" w15:restartNumberingAfterBreak="0">
    <w:nsid w:val="517A0D13"/>
    <w:multiLevelType w:val="hybridMultilevel"/>
    <w:tmpl w:val="74ECF44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3" w15:restartNumberingAfterBreak="0">
    <w:nsid w:val="52321B35"/>
    <w:multiLevelType w:val="hybridMultilevel"/>
    <w:tmpl w:val="D79887D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4" w15:restartNumberingAfterBreak="0">
    <w:nsid w:val="54214549"/>
    <w:multiLevelType w:val="hybridMultilevel"/>
    <w:tmpl w:val="7ED2A30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5" w15:restartNumberingAfterBreak="0">
    <w:nsid w:val="54C26CDA"/>
    <w:multiLevelType w:val="hybridMultilevel"/>
    <w:tmpl w:val="5306758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6" w15:restartNumberingAfterBreak="0">
    <w:nsid w:val="55346ED9"/>
    <w:multiLevelType w:val="hybridMultilevel"/>
    <w:tmpl w:val="9C5876BA"/>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7" w15:restartNumberingAfterBreak="0">
    <w:nsid w:val="55590E12"/>
    <w:multiLevelType w:val="hybridMultilevel"/>
    <w:tmpl w:val="EC74D5F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8" w15:restartNumberingAfterBreak="0">
    <w:nsid w:val="56012744"/>
    <w:multiLevelType w:val="hybridMultilevel"/>
    <w:tmpl w:val="BF188B1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9" w15:restartNumberingAfterBreak="0">
    <w:nsid w:val="564E34BA"/>
    <w:multiLevelType w:val="hybridMultilevel"/>
    <w:tmpl w:val="1A9C366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0" w15:restartNumberingAfterBreak="0">
    <w:nsid w:val="56677761"/>
    <w:multiLevelType w:val="hybridMultilevel"/>
    <w:tmpl w:val="4614ED2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1" w15:restartNumberingAfterBreak="0">
    <w:nsid w:val="56D20F13"/>
    <w:multiLevelType w:val="hybridMultilevel"/>
    <w:tmpl w:val="F01E387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2" w15:restartNumberingAfterBreak="0">
    <w:nsid w:val="56F1314E"/>
    <w:multiLevelType w:val="hybridMultilevel"/>
    <w:tmpl w:val="7BB8C80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3" w15:restartNumberingAfterBreak="0">
    <w:nsid w:val="58B55766"/>
    <w:multiLevelType w:val="hybridMultilevel"/>
    <w:tmpl w:val="32E83BA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4" w15:restartNumberingAfterBreak="0">
    <w:nsid w:val="59BE281C"/>
    <w:multiLevelType w:val="hybridMultilevel"/>
    <w:tmpl w:val="E0AA837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5" w15:restartNumberingAfterBreak="0">
    <w:nsid w:val="59C51535"/>
    <w:multiLevelType w:val="hybridMultilevel"/>
    <w:tmpl w:val="B524C79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6" w15:restartNumberingAfterBreak="0">
    <w:nsid w:val="5A1946F1"/>
    <w:multiLevelType w:val="hybridMultilevel"/>
    <w:tmpl w:val="81B6984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7" w15:restartNumberingAfterBreak="0">
    <w:nsid w:val="5A2206ED"/>
    <w:multiLevelType w:val="hybridMultilevel"/>
    <w:tmpl w:val="B9DA65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8" w15:restartNumberingAfterBreak="0">
    <w:nsid w:val="5BE412C0"/>
    <w:multiLevelType w:val="hybridMultilevel"/>
    <w:tmpl w:val="EBAE346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9" w15:restartNumberingAfterBreak="0">
    <w:nsid w:val="5C59025F"/>
    <w:multiLevelType w:val="hybridMultilevel"/>
    <w:tmpl w:val="6BBEDD1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0" w15:restartNumberingAfterBreak="0">
    <w:nsid w:val="5C8C2C49"/>
    <w:multiLevelType w:val="hybridMultilevel"/>
    <w:tmpl w:val="3A24F40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1" w15:restartNumberingAfterBreak="0">
    <w:nsid w:val="5C916315"/>
    <w:multiLevelType w:val="hybridMultilevel"/>
    <w:tmpl w:val="F0FA4A1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2" w15:restartNumberingAfterBreak="0">
    <w:nsid w:val="5E052CC6"/>
    <w:multiLevelType w:val="hybridMultilevel"/>
    <w:tmpl w:val="B67AEF9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3" w15:restartNumberingAfterBreak="0">
    <w:nsid w:val="5E3554D8"/>
    <w:multiLevelType w:val="hybridMultilevel"/>
    <w:tmpl w:val="66624F9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4" w15:restartNumberingAfterBreak="0">
    <w:nsid w:val="5EF113D6"/>
    <w:multiLevelType w:val="hybridMultilevel"/>
    <w:tmpl w:val="74BA7A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5" w15:restartNumberingAfterBreak="0">
    <w:nsid w:val="5F1150A6"/>
    <w:multiLevelType w:val="hybridMultilevel"/>
    <w:tmpl w:val="734CA9C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6" w15:restartNumberingAfterBreak="0">
    <w:nsid w:val="5FCD0D9D"/>
    <w:multiLevelType w:val="hybridMultilevel"/>
    <w:tmpl w:val="F87AF8F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7" w15:restartNumberingAfterBreak="0">
    <w:nsid w:val="612B783E"/>
    <w:multiLevelType w:val="hybridMultilevel"/>
    <w:tmpl w:val="5D4A399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8" w15:restartNumberingAfterBreak="0">
    <w:nsid w:val="617644EB"/>
    <w:multiLevelType w:val="hybridMultilevel"/>
    <w:tmpl w:val="394EB7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9" w15:restartNumberingAfterBreak="0">
    <w:nsid w:val="642063F9"/>
    <w:multiLevelType w:val="hybridMultilevel"/>
    <w:tmpl w:val="4998A19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0" w15:restartNumberingAfterBreak="0">
    <w:nsid w:val="65BE685B"/>
    <w:multiLevelType w:val="hybridMultilevel"/>
    <w:tmpl w:val="5B5C3FD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790" w:hanging="710"/>
      </w:pPr>
      <w:rPr>
        <w:rFonts w:ascii="Courier New" w:hAnsi="Courier New" w:cs="Courier New" w:hint="default"/>
      </w:rPr>
    </w:lvl>
    <w:lvl w:ilvl="2" w:tplc="6E761E3A">
      <w:numFmt w:val="bullet"/>
      <w:lvlText w:val="-"/>
      <w:lvlJc w:val="left"/>
      <w:pPr>
        <w:ind w:left="2510" w:hanging="710"/>
      </w:pPr>
      <w:rPr>
        <w:rFonts w:ascii="Calibri" w:eastAsiaTheme="minorEastAsia" w:hAnsi="Calibri" w:cs="Calibri" w:hint="default"/>
      </w:rPr>
    </w:lvl>
    <w:lvl w:ilvl="3" w:tplc="FF00518A">
      <w:numFmt w:val="bullet"/>
      <w:lvlText w:val=""/>
      <w:lvlJc w:val="left"/>
      <w:pPr>
        <w:ind w:left="3230" w:hanging="710"/>
      </w:pPr>
      <w:rPr>
        <w:rFonts w:ascii="Symbol" w:eastAsiaTheme="minorEastAsia" w:hAnsi="Symbol" w:cstheme="minorHAns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1" w15:restartNumberingAfterBreak="0">
    <w:nsid w:val="661D3EE8"/>
    <w:multiLevelType w:val="hybridMultilevel"/>
    <w:tmpl w:val="08D0732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C903C36">
      <w:numFmt w:val="bullet"/>
      <w:lvlText w:val="•"/>
      <w:lvlJc w:val="left"/>
      <w:pPr>
        <w:ind w:left="3230" w:hanging="710"/>
      </w:pPr>
      <w:rPr>
        <w:rFonts w:ascii="Calibri" w:eastAsiaTheme="minorEastAsia" w:hAnsi="Calibri" w:cs="Calibri" w:hint="default"/>
      </w:rPr>
    </w:lvl>
    <w:lvl w:ilvl="4" w:tplc="D274306E">
      <w:numFmt w:val="bullet"/>
      <w:lvlText w:val="-"/>
      <w:lvlJc w:val="left"/>
      <w:pPr>
        <w:ind w:left="3950" w:hanging="710"/>
      </w:pPr>
      <w:rPr>
        <w:rFonts w:ascii="Calibri" w:eastAsiaTheme="minorEastAsia" w:hAnsi="Calibri" w:cs="Calibri"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2" w15:restartNumberingAfterBreak="0">
    <w:nsid w:val="663434DD"/>
    <w:multiLevelType w:val="hybridMultilevel"/>
    <w:tmpl w:val="9084924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3" w15:restartNumberingAfterBreak="0">
    <w:nsid w:val="66F17CF2"/>
    <w:multiLevelType w:val="hybridMultilevel"/>
    <w:tmpl w:val="C25020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4" w15:restartNumberingAfterBreak="0">
    <w:nsid w:val="67AA2CE0"/>
    <w:multiLevelType w:val="hybridMultilevel"/>
    <w:tmpl w:val="97DC78D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5" w15:restartNumberingAfterBreak="0">
    <w:nsid w:val="67BA0FF3"/>
    <w:multiLevelType w:val="hybridMultilevel"/>
    <w:tmpl w:val="374E2F2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6" w15:restartNumberingAfterBreak="0">
    <w:nsid w:val="67F74C12"/>
    <w:multiLevelType w:val="hybridMultilevel"/>
    <w:tmpl w:val="0BECA1D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7" w15:restartNumberingAfterBreak="0">
    <w:nsid w:val="68666AB2"/>
    <w:multiLevelType w:val="hybridMultilevel"/>
    <w:tmpl w:val="F12A5B8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8" w15:restartNumberingAfterBreak="0">
    <w:nsid w:val="68931AC3"/>
    <w:multiLevelType w:val="hybridMultilevel"/>
    <w:tmpl w:val="AB0A103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9" w15:restartNumberingAfterBreak="0">
    <w:nsid w:val="68E43F22"/>
    <w:multiLevelType w:val="hybridMultilevel"/>
    <w:tmpl w:val="B434B4E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62DA9BB2">
      <w:numFmt w:val="bullet"/>
      <w:lvlText w:val="-"/>
      <w:lvlJc w:val="left"/>
      <w:pPr>
        <w:ind w:left="2510" w:hanging="710"/>
      </w:pPr>
      <w:rPr>
        <w:rFonts w:ascii="Calibri" w:eastAsiaTheme="minorEastAsia"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0" w15:restartNumberingAfterBreak="0">
    <w:nsid w:val="68EC6573"/>
    <w:multiLevelType w:val="hybridMultilevel"/>
    <w:tmpl w:val="8968D86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1" w15:restartNumberingAfterBreak="0">
    <w:nsid w:val="69A35551"/>
    <w:multiLevelType w:val="hybridMultilevel"/>
    <w:tmpl w:val="79ECEB2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790" w:hanging="710"/>
      </w:pPr>
      <w:rPr>
        <w:rFonts w:ascii="Courier New" w:hAnsi="Courier New" w:cs="Courier New" w:hint="default"/>
      </w:rPr>
    </w:lvl>
    <w:lvl w:ilvl="2" w:tplc="6E761E3A">
      <w:numFmt w:val="bullet"/>
      <w:lvlText w:val="-"/>
      <w:lvlJc w:val="left"/>
      <w:pPr>
        <w:ind w:left="2510" w:hanging="710"/>
      </w:pPr>
      <w:rPr>
        <w:rFonts w:ascii="Calibri" w:eastAsiaTheme="minorEastAsia" w:hAnsi="Calibri" w:cs="Calibri" w:hint="default"/>
      </w:rPr>
    </w:lvl>
    <w:lvl w:ilvl="3" w:tplc="FF00518A">
      <w:numFmt w:val="bullet"/>
      <w:lvlText w:val=""/>
      <w:lvlJc w:val="left"/>
      <w:pPr>
        <w:ind w:left="3230" w:hanging="710"/>
      </w:pPr>
      <w:rPr>
        <w:rFonts w:ascii="Symbol" w:eastAsiaTheme="minorEastAsia" w:hAnsi="Symbol" w:cstheme="minorHAns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2" w15:restartNumberingAfterBreak="0">
    <w:nsid w:val="6A825662"/>
    <w:multiLevelType w:val="hybridMultilevel"/>
    <w:tmpl w:val="56FA29E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3" w15:restartNumberingAfterBreak="0">
    <w:nsid w:val="6C1A60AA"/>
    <w:multiLevelType w:val="hybridMultilevel"/>
    <w:tmpl w:val="5CD60C8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4" w15:restartNumberingAfterBreak="0">
    <w:nsid w:val="6DA52C45"/>
    <w:multiLevelType w:val="hybridMultilevel"/>
    <w:tmpl w:val="4128189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5" w15:restartNumberingAfterBreak="0">
    <w:nsid w:val="6E2A0406"/>
    <w:multiLevelType w:val="hybridMultilevel"/>
    <w:tmpl w:val="0584FA0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6" w15:restartNumberingAfterBreak="0">
    <w:nsid w:val="70153152"/>
    <w:multiLevelType w:val="hybridMultilevel"/>
    <w:tmpl w:val="CCF42D7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7" w15:restartNumberingAfterBreak="0">
    <w:nsid w:val="74315BBB"/>
    <w:multiLevelType w:val="hybridMultilevel"/>
    <w:tmpl w:val="CC788CC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8" w15:restartNumberingAfterBreak="0">
    <w:nsid w:val="751461D2"/>
    <w:multiLevelType w:val="hybridMultilevel"/>
    <w:tmpl w:val="DEA05AF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790" w:hanging="710"/>
      </w:pPr>
      <w:rPr>
        <w:rFonts w:ascii="Courier New" w:hAnsi="Courier New" w:cs="Courier New" w:hint="default"/>
      </w:rPr>
    </w:lvl>
    <w:lvl w:ilvl="2" w:tplc="6E761E3A">
      <w:numFmt w:val="bullet"/>
      <w:lvlText w:val="-"/>
      <w:lvlJc w:val="left"/>
      <w:pPr>
        <w:ind w:left="2510" w:hanging="710"/>
      </w:pPr>
      <w:rPr>
        <w:rFonts w:ascii="Calibri" w:eastAsiaTheme="minorEastAsia" w:hAnsi="Calibri" w:cs="Calibri" w:hint="default"/>
      </w:rPr>
    </w:lvl>
    <w:lvl w:ilvl="3" w:tplc="FF00518A">
      <w:numFmt w:val="bullet"/>
      <w:lvlText w:val=""/>
      <w:lvlJc w:val="left"/>
      <w:pPr>
        <w:ind w:left="3230" w:hanging="710"/>
      </w:pPr>
      <w:rPr>
        <w:rFonts w:ascii="Symbol" w:eastAsiaTheme="minorEastAsia" w:hAnsi="Symbol" w:cstheme="minorHAns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9" w15:restartNumberingAfterBreak="0">
    <w:nsid w:val="754A5957"/>
    <w:multiLevelType w:val="hybridMultilevel"/>
    <w:tmpl w:val="656EC78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0" w15:restartNumberingAfterBreak="0">
    <w:nsid w:val="762B1C23"/>
    <w:multiLevelType w:val="hybridMultilevel"/>
    <w:tmpl w:val="52C0E14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1" w15:restartNumberingAfterBreak="0">
    <w:nsid w:val="765A1C63"/>
    <w:multiLevelType w:val="hybridMultilevel"/>
    <w:tmpl w:val="49A0D6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2" w15:restartNumberingAfterBreak="0">
    <w:nsid w:val="767D5EED"/>
    <w:multiLevelType w:val="hybridMultilevel"/>
    <w:tmpl w:val="DD2223C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3" w15:restartNumberingAfterBreak="0">
    <w:nsid w:val="78C20261"/>
    <w:multiLevelType w:val="hybridMultilevel"/>
    <w:tmpl w:val="CC3C8FA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4" w15:restartNumberingAfterBreak="0">
    <w:nsid w:val="7A72354C"/>
    <w:multiLevelType w:val="hybridMultilevel"/>
    <w:tmpl w:val="A506859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BBF41152">
      <w:numFmt w:val="bullet"/>
      <w:lvlText w:val="-"/>
      <w:lvlJc w:val="left"/>
      <w:pPr>
        <w:ind w:left="3230" w:hanging="710"/>
      </w:pPr>
      <w:rPr>
        <w:rFonts w:ascii="Calibri" w:eastAsiaTheme="minorEastAsia" w:hAnsi="Calibri" w:cs="Calibr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5" w15:restartNumberingAfterBreak="0">
    <w:nsid w:val="7B2336A7"/>
    <w:multiLevelType w:val="hybridMultilevel"/>
    <w:tmpl w:val="0026FCE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6" w15:restartNumberingAfterBreak="0">
    <w:nsid w:val="7B7C04DD"/>
    <w:multiLevelType w:val="hybridMultilevel"/>
    <w:tmpl w:val="9652522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7" w15:restartNumberingAfterBreak="0">
    <w:nsid w:val="7D9E75C6"/>
    <w:multiLevelType w:val="hybridMultilevel"/>
    <w:tmpl w:val="D7F8ED0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8" w15:restartNumberingAfterBreak="0">
    <w:nsid w:val="7DA873F8"/>
    <w:multiLevelType w:val="hybridMultilevel"/>
    <w:tmpl w:val="62D0592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9" w15:restartNumberingAfterBreak="0">
    <w:nsid w:val="7F205569"/>
    <w:multiLevelType w:val="hybridMultilevel"/>
    <w:tmpl w:val="A8CAC6B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EBB4DCAC">
      <w:numFmt w:val="bullet"/>
      <w:lvlText w:val="•"/>
      <w:lvlJc w:val="left"/>
      <w:pPr>
        <w:ind w:left="2510" w:hanging="710"/>
      </w:pPr>
      <w:rPr>
        <w:rFonts w:ascii="Calibri" w:eastAsiaTheme="minorEastAsia"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7"/>
  </w:num>
  <w:num w:numId="2">
    <w:abstractNumId w:val="33"/>
  </w:num>
  <w:num w:numId="3">
    <w:abstractNumId w:val="17"/>
  </w:num>
  <w:num w:numId="4">
    <w:abstractNumId w:val="101"/>
  </w:num>
  <w:num w:numId="5">
    <w:abstractNumId w:val="77"/>
  </w:num>
  <w:num w:numId="6">
    <w:abstractNumId w:val="27"/>
  </w:num>
  <w:num w:numId="7">
    <w:abstractNumId w:val="11"/>
  </w:num>
  <w:num w:numId="8">
    <w:abstractNumId w:val="46"/>
  </w:num>
  <w:num w:numId="9">
    <w:abstractNumId w:val="127"/>
  </w:num>
  <w:num w:numId="10">
    <w:abstractNumId w:val="70"/>
  </w:num>
  <w:num w:numId="11">
    <w:abstractNumId w:val="54"/>
  </w:num>
  <w:num w:numId="12">
    <w:abstractNumId w:val="115"/>
  </w:num>
  <w:num w:numId="13">
    <w:abstractNumId w:val="148"/>
  </w:num>
  <w:num w:numId="14">
    <w:abstractNumId w:val="1"/>
  </w:num>
  <w:num w:numId="15">
    <w:abstractNumId w:val="142"/>
  </w:num>
  <w:num w:numId="16">
    <w:abstractNumId w:val="150"/>
  </w:num>
  <w:num w:numId="17">
    <w:abstractNumId w:val="52"/>
  </w:num>
  <w:num w:numId="18">
    <w:abstractNumId w:val="12"/>
  </w:num>
  <w:num w:numId="19">
    <w:abstractNumId w:val="164"/>
  </w:num>
  <w:num w:numId="20">
    <w:abstractNumId w:val="128"/>
  </w:num>
  <w:num w:numId="21">
    <w:abstractNumId w:val="119"/>
  </w:num>
  <w:num w:numId="22">
    <w:abstractNumId w:val="71"/>
  </w:num>
  <w:num w:numId="23">
    <w:abstractNumId w:val="149"/>
  </w:num>
  <w:num w:numId="24">
    <w:abstractNumId w:val="45"/>
  </w:num>
  <w:num w:numId="25">
    <w:abstractNumId w:val="34"/>
  </w:num>
  <w:num w:numId="26">
    <w:abstractNumId w:val="2"/>
  </w:num>
  <w:num w:numId="27">
    <w:abstractNumId w:val="55"/>
  </w:num>
  <w:num w:numId="28">
    <w:abstractNumId w:val="75"/>
  </w:num>
  <w:num w:numId="29">
    <w:abstractNumId w:val="31"/>
  </w:num>
  <w:num w:numId="30">
    <w:abstractNumId w:val="15"/>
  </w:num>
  <w:num w:numId="31">
    <w:abstractNumId w:val="151"/>
  </w:num>
  <w:num w:numId="32">
    <w:abstractNumId w:val="18"/>
  </w:num>
  <w:num w:numId="33">
    <w:abstractNumId w:val="57"/>
  </w:num>
  <w:num w:numId="34">
    <w:abstractNumId w:val="143"/>
  </w:num>
  <w:num w:numId="35">
    <w:abstractNumId w:val="158"/>
  </w:num>
  <w:num w:numId="36">
    <w:abstractNumId w:val="136"/>
  </w:num>
  <w:num w:numId="37">
    <w:abstractNumId w:val="91"/>
  </w:num>
  <w:num w:numId="38">
    <w:abstractNumId w:val="63"/>
  </w:num>
  <w:num w:numId="39">
    <w:abstractNumId w:val="120"/>
  </w:num>
  <w:num w:numId="40">
    <w:abstractNumId w:val="154"/>
  </w:num>
  <w:num w:numId="41">
    <w:abstractNumId w:val="64"/>
  </w:num>
  <w:num w:numId="42">
    <w:abstractNumId w:val="169"/>
  </w:num>
  <w:num w:numId="43">
    <w:abstractNumId w:val="102"/>
  </w:num>
  <w:num w:numId="44">
    <w:abstractNumId w:val="93"/>
  </w:num>
  <w:num w:numId="45">
    <w:abstractNumId w:val="133"/>
  </w:num>
  <w:num w:numId="46">
    <w:abstractNumId w:val="67"/>
  </w:num>
  <w:num w:numId="47">
    <w:abstractNumId w:val="141"/>
  </w:num>
  <w:num w:numId="48">
    <w:abstractNumId w:val="56"/>
  </w:num>
  <w:num w:numId="49">
    <w:abstractNumId w:val="65"/>
  </w:num>
  <w:num w:numId="50">
    <w:abstractNumId w:val="51"/>
  </w:num>
  <w:num w:numId="51">
    <w:abstractNumId w:val="62"/>
  </w:num>
  <w:num w:numId="52">
    <w:abstractNumId w:val="137"/>
  </w:num>
  <w:num w:numId="53">
    <w:abstractNumId w:val="144"/>
  </w:num>
  <w:num w:numId="54">
    <w:abstractNumId w:val="36"/>
  </w:num>
  <w:num w:numId="55">
    <w:abstractNumId w:val="26"/>
  </w:num>
  <w:num w:numId="56">
    <w:abstractNumId w:val="98"/>
  </w:num>
  <w:num w:numId="57">
    <w:abstractNumId w:val="104"/>
  </w:num>
  <w:num w:numId="58">
    <w:abstractNumId w:val="21"/>
  </w:num>
  <w:num w:numId="59">
    <w:abstractNumId w:val="156"/>
  </w:num>
  <w:num w:numId="60">
    <w:abstractNumId w:val="42"/>
  </w:num>
  <w:num w:numId="61">
    <w:abstractNumId w:val="111"/>
  </w:num>
  <w:num w:numId="62">
    <w:abstractNumId w:val="3"/>
  </w:num>
  <w:num w:numId="63">
    <w:abstractNumId w:val="25"/>
  </w:num>
  <w:num w:numId="64">
    <w:abstractNumId w:val="4"/>
  </w:num>
  <w:num w:numId="65">
    <w:abstractNumId w:val="22"/>
  </w:num>
  <w:num w:numId="66">
    <w:abstractNumId w:val="20"/>
  </w:num>
  <w:num w:numId="67">
    <w:abstractNumId w:val="106"/>
  </w:num>
  <w:num w:numId="68">
    <w:abstractNumId w:val="30"/>
  </w:num>
  <w:num w:numId="69">
    <w:abstractNumId w:val="123"/>
  </w:num>
  <w:num w:numId="70">
    <w:abstractNumId w:val="73"/>
  </w:num>
  <w:num w:numId="71">
    <w:abstractNumId w:val="122"/>
  </w:num>
  <w:num w:numId="72">
    <w:abstractNumId w:val="32"/>
  </w:num>
  <w:num w:numId="73">
    <w:abstractNumId w:val="47"/>
  </w:num>
  <w:num w:numId="74">
    <w:abstractNumId w:val="16"/>
  </w:num>
  <w:num w:numId="75">
    <w:abstractNumId w:val="7"/>
  </w:num>
  <w:num w:numId="76">
    <w:abstractNumId w:val="160"/>
  </w:num>
  <w:num w:numId="77">
    <w:abstractNumId w:val="92"/>
  </w:num>
  <w:num w:numId="78">
    <w:abstractNumId w:val="146"/>
  </w:num>
  <w:num w:numId="79">
    <w:abstractNumId w:val="126"/>
  </w:num>
  <w:num w:numId="80">
    <w:abstractNumId w:val="100"/>
  </w:num>
  <w:num w:numId="81">
    <w:abstractNumId w:val="69"/>
  </w:num>
  <w:num w:numId="82">
    <w:abstractNumId w:val="121"/>
  </w:num>
  <w:num w:numId="83">
    <w:abstractNumId w:val="94"/>
  </w:num>
  <w:num w:numId="84">
    <w:abstractNumId w:val="109"/>
  </w:num>
  <w:num w:numId="85">
    <w:abstractNumId w:val="59"/>
  </w:num>
  <w:num w:numId="86">
    <w:abstractNumId w:val="114"/>
  </w:num>
  <w:num w:numId="87">
    <w:abstractNumId w:val="39"/>
  </w:num>
  <w:num w:numId="88">
    <w:abstractNumId w:val="89"/>
  </w:num>
  <w:num w:numId="89">
    <w:abstractNumId w:val="166"/>
  </w:num>
  <w:num w:numId="90">
    <w:abstractNumId w:val="53"/>
  </w:num>
  <w:num w:numId="91">
    <w:abstractNumId w:val="78"/>
  </w:num>
  <w:num w:numId="92">
    <w:abstractNumId w:val="40"/>
  </w:num>
  <w:num w:numId="93">
    <w:abstractNumId w:val="80"/>
  </w:num>
  <w:num w:numId="94">
    <w:abstractNumId w:val="37"/>
  </w:num>
  <w:num w:numId="95">
    <w:abstractNumId w:val="85"/>
  </w:num>
  <w:num w:numId="96">
    <w:abstractNumId w:val="49"/>
  </w:num>
  <w:num w:numId="97">
    <w:abstractNumId w:val="82"/>
  </w:num>
  <w:num w:numId="98">
    <w:abstractNumId w:val="68"/>
  </w:num>
  <w:num w:numId="99">
    <w:abstractNumId w:val="72"/>
  </w:num>
  <w:num w:numId="100">
    <w:abstractNumId w:val="105"/>
  </w:num>
  <w:num w:numId="101">
    <w:abstractNumId w:val="117"/>
  </w:num>
  <w:num w:numId="102">
    <w:abstractNumId w:val="5"/>
  </w:num>
  <w:num w:numId="103">
    <w:abstractNumId w:val="153"/>
  </w:num>
  <w:num w:numId="104">
    <w:abstractNumId w:val="60"/>
  </w:num>
  <w:num w:numId="105">
    <w:abstractNumId w:val="8"/>
  </w:num>
  <w:num w:numId="106">
    <w:abstractNumId w:val="44"/>
  </w:num>
  <w:num w:numId="107">
    <w:abstractNumId w:val="48"/>
  </w:num>
  <w:num w:numId="108">
    <w:abstractNumId w:val="131"/>
  </w:num>
  <w:num w:numId="109">
    <w:abstractNumId w:val="76"/>
  </w:num>
  <w:num w:numId="110">
    <w:abstractNumId w:val="58"/>
  </w:num>
  <w:num w:numId="111">
    <w:abstractNumId w:val="6"/>
  </w:num>
  <w:num w:numId="112">
    <w:abstractNumId w:val="19"/>
  </w:num>
  <w:num w:numId="113">
    <w:abstractNumId w:val="90"/>
  </w:num>
  <w:num w:numId="114">
    <w:abstractNumId w:val="84"/>
  </w:num>
  <w:num w:numId="115">
    <w:abstractNumId w:val="145"/>
  </w:num>
  <w:num w:numId="116">
    <w:abstractNumId w:val="74"/>
  </w:num>
  <w:num w:numId="117">
    <w:abstractNumId w:val="86"/>
  </w:num>
  <w:num w:numId="118">
    <w:abstractNumId w:val="50"/>
  </w:num>
  <w:num w:numId="119">
    <w:abstractNumId w:val="107"/>
  </w:num>
  <w:num w:numId="120">
    <w:abstractNumId w:val="14"/>
  </w:num>
  <w:num w:numId="121">
    <w:abstractNumId w:val="13"/>
  </w:num>
  <w:num w:numId="122">
    <w:abstractNumId w:val="118"/>
  </w:num>
  <w:num w:numId="123">
    <w:abstractNumId w:val="112"/>
  </w:num>
  <w:num w:numId="124">
    <w:abstractNumId w:val="95"/>
  </w:num>
  <w:num w:numId="125">
    <w:abstractNumId w:val="132"/>
  </w:num>
  <w:num w:numId="126">
    <w:abstractNumId w:val="163"/>
  </w:num>
  <w:num w:numId="127">
    <w:abstractNumId w:val="147"/>
  </w:num>
  <w:num w:numId="128">
    <w:abstractNumId w:val="87"/>
  </w:num>
  <w:num w:numId="129">
    <w:abstractNumId w:val="155"/>
  </w:num>
  <w:num w:numId="130">
    <w:abstractNumId w:val="161"/>
  </w:num>
  <w:num w:numId="131">
    <w:abstractNumId w:val="35"/>
  </w:num>
  <w:num w:numId="132">
    <w:abstractNumId w:val="96"/>
  </w:num>
  <w:num w:numId="133">
    <w:abstractNumId w:val="83"/>
  </w:num>
  <w:num w:numId="134">
    <w:abstractNumId w:val="159"/>
  </w:num>
  <w:num w:numId="135">
    <w:abstractNumId w:val="130"/>
  </w:num>
  <w:num w:numId="136">
    <w:abstractNumId w:val="168"/>
  </w:num>
  <w:num w:numId="137">
    <w:abstractNumId w:val="61"/>
  </w:num>
  <w:num w:numId="138">
    <w:abstractNumId w:val="138"/>
  </w:num>
  <w:num w:numId="139">
    <w:abstractNumId w:val="140"/>
  </w:num>
  <w:num w:numId="140">
    <w:abstractNumId w:val="139"/>
  </w:num>
  <w:num w:numId="141">
    <w:abstractNumId w:val="81"/>
  </w:num>
  <w:num w:numId="142">
    <w:abstractNumId w:val="116"/>
  </w:num>
  <w:num w:numId="143">
    <w:abstractNumId w:val="41"/>
  </w:num>
  <w:num w:numId="144">
    <w:abstractNumId w:val="88"/>
  </w:num>
  <w:num w:numId="145">
    <w:abstractNumId w:val="134"/>
  </w:num>
  <w:num w:numId="146">
    <w:abstractNumId w:val="10"/>
  </w:num>
  <w:num w:numId="147">
    <w:abstractNumId w:val="24"/>
  </w:num>
  <w:num w:numId="148">
    <w:abstractNumId w:val="124"/>
  </w:num>
  <w:num w:numId="149">
    <w:abstractNumId w:val="28"/>
  </w:num>
  <w:num w:numId="150">
    <w:abstractNumId w:val="108"/>
  </w:num>
  <w:num w:numId="151">
    <w:abstractNumId w:val="99"/>
  </w:num>
  <w:num w:numId="152">
    <w:abstractNumId w:val="29"/>
  </w:num>
  <w:num w:numId="153">
    <w:abstractNumId w:val="23"/>
  </w:num>
  <w:num w:numId="154">
    <w:abstractNumId w:val="129"/>
  </w:num>
  <w:num w:numId="155">
    <w:abstractNumId w:val="103"/>
  </w:num>
  <w:num w:numId="156">
    <w:abstractNumId w:val="152"/>
  </w:num>
  <w:num w:numId="157">
    <w:abstractNumId w:val="9"/>
  </w:num>
  <w:num w:numId="158">
    <w:abstractNumId w:val="165"/>
  </w:num>
  <w:num w:numId="159">
    <w:abstractNumId w:val="162"/>
  </w:num>
  <w:num w:numId="160">
    <w:abstractNumId w:val="66"/>
  </w:num>
  <w:num w:numId="161">
    <w:abstractNumId w:val="167"/>
  </w:num>
  <w:num w:numId="162">
    <w:abstractNumId w:val="43"/>
  </w:num>
  <w:num w:numId="163">
    <w:abstractNumId w:val="79"/>
  </w:num>
  <w:num w:numId="164">
    <w:abstractNumId w:val="97"/>
  </w:num>
  <w:num w:numId="165">
    <w:abstractNumId w:val="113"/>
  </w:num>
  <w:num w:numId="166">
    <w:abstractNumId w:val="125"/>
  </w:num>
  <w:num w:numId="167">
    <w:abstractNumId w:val="38"/>
  </w:num>
  <w:num w:numId="168">
    <w:abstractNumId w:val="135"/>
  </w:num>
  <w:num w:numId="169">
    <w:abstractNumId w:val="110"/>
  </w:num>
  <w:numIdMacAtCleanup w:val="1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B86"/>
    <w:rsid w:val="0000210D"/>
    <w:rsid w:val="000031BD"/>
    <w:rsid w:val="000040E2"/>
    <w:rsid w:val="00004104"/>
    <w:rsid w:val="0000496C"/>
    <w:rsid w:val="000057F1"/>
    <w:rsid w:val="00006F44"/>
    <w:rsid w:val="00007E7F"/>
    <w:rsid w:val="0001016A"/>
    <w:rsid w:val="00011306"/>
    <w:rsid w:val="000127CB"/>
    <w:rsid w:val="00012C76"/>
    <w:rsid w:val="00013975"/>
    <w:rsid w:val="000140C4"/>
    <w:rsid w:val="0001426E"/>
    <w:rsid w:val="000146AE"/>
    <w:rsid w:val="00014C15"/>
    <w:rsid w:val="000154DB"/>
    <w:rsid w:val="00015EAC"/>
    <w:rsid w:val="00021116"/>
    <w:rsid w:val="00021AFF"/>
    <w:rsid w:val="00022BB2"/>
    <w:rsid w:val="00026FE5"/>
    <w:rsid w:val="00027095"/>
    <w:rsid w:val="00027F8D"/>
    <w:rsid w:val="00032C66"/>
    <w:rsid w:val="00032E5D"/>
    <w:rsid w:val="00034DC9"/>
    <w:rsid w:val="00034FD3"/>
    <w:rsid w:val="000358E1"/>
    <w:rsid w:val="00036CC3"/>
    <w:rsid w:val="0004168D"/>
    <w:rsid w:val="00041D7E"/>
    <w:rsid w:val="00042B8A"/>
    <w:rsid w:val="00042E1A"/>
    <w:rsid w:val="00042EFA"/>
    <w:rsid w:val="0004367C"/>
    <w:rsid w:val="00045653"/>
    <w:rsid w:val="00045AD9"/>
    <w:rsid w:val="00045E78"/>
    <w:rsid w:val="0004601C"/>
    <w:rsid w:val="0004615E"/>
    <w:rsid w:val="00047529"/>
    <w:rsid w:val="000475F6"/>
    <w:rsid w:val="000476AC"/>
    <w:rsid w:val="00047D4E"/>
    <w:rsid w:val="00047EA7"/>
    <w:rsid w:val="00047FF7"/>
    <w:rsid w:val="0005079A"/>
    <w:rsid w:val="00051747"/>
    <w:rsid w:val="000523E6"/>
    <w:rsid w:val="00052A4F"/>
    <w:rsid w:val="00053D1F"/>
    <w:rsid w:val="00054137"/>
    <w:rsid w:val="0005438E"/>
    <w:rsid w:val="0005598A"/>
    <w:rsid w:val="00056B66"/>
    <w:rsid w:val="00056E74"/>
    <w:rsid w:val="000577FB"/>
    <w:rsid w:val="0006129A"/>
    <w:rsid w:val="00062101"/>
    <w:rsid w:val="0006264D"/>
    <w:rsid w:val="00062A16"/>
    <w:rsid w:val="00064A4A"/>
    <w:rsid w:val="000651FD"/>
    <w:rsid w:val="00066812"/>
    <w:rsid w:val="000700A9"/>
    <w:rsid w:val="000704C0"/>
    <w:rsid w:val="00070AE4"/>
    <w:rsid w:val="00071E21"/>
    <w:rsid w:val="00072779"/>
    <w:rsid w:val="00072CAE"/>
    <w:rsid w:val="00073C46"/>
    <w:rsid w:val="00073CC3"/>
    <w:rsid w:val="00073F90"/>
    <w:rsid w:val="00075C21"/>
    <w:rsid w:val="00075FC8"/>
    <w:rsid w:val="0007627B"/>
    <w:rsid w:val="0008096D"/>
    <w:rsid w:val="00080B53"/>
    <w:rsid w:val="0008279B"/>
    <w:rsid w:val="00082BF6"/>
    <w:rsid w:val="00082DC2"/>
    <w:rsid w:val="00082F4E"/>
    <w:rsid w:val="00082FEC"/>
    <w:rsid w:val="0008302B"/>
    <w:rsid w:val="00084B83"/>
    <w:rsid w:val="00084EEF"/>
    <w:rsid w:val="00084F64"/>
    <w:rsid w:val="00090B8A"/>
    <w:rsid w:val="00092C4E"/>
    <w:rsid w:val="00092C5F"/>
    <w:rsid w:val="00093453"/>
    <w:rsid w:val="0009417A"/>
    <w:rsid w:val="0009450D"/>
    <w:rsid w:val="00094DD3"/>
    <w:rsid w:val="00097029"/>
    <w:rsid w:val="00097BE4"/>
    <w:rsid w:val="000A0771"/>
    <w:rsid w:val="000A07A8"/>
    <w:rsid w:val="000A1139"/>
    <w:rsid w:val="000A1148"/>
    <w:rsid w:val="000A2BD9"/>
    <w:rsid w:val="000A4E4D"/>
    <w:rsid w:val="000A5F9F"/>
    <w:rsid w:val="000A605F"/>
    <w:rsid w:val="000A689F"/>
    <w:rsid w:val="000A6A4D"/>
    <w:rsid w:val="000A737E"/>
    <w:rsid w:val="000B082D"/>
    <w:rsid w:val="000B09FB"/>
    <w:rsid w:val="000B0C45"/>
    <w:rsid w:val="000B1AA8"/>
    <w:rsid w:val="000B21DB"/>
    <w:rsid w:val="000B220F"/>
    <w:rsid w:val="000B32A9"/>
    <w:rsid w:val="000B3F3D"/>
    <w:rsid w:val="000B47AE"/>
    <w:rsid w:val="000B4E23"/>
    <w:rsid w:val="000B60B0"/>
    <w:rsid w:val="000B6BA6"/>
    <w:rsid w:val="000B6D78"/>
    <w:rsid w:val="000B7035"/>
    <w:rsid w:val="000B7A01"/>
    <w:rsid w:val="000B7B65"/>
    <w:rsid w:val="000C025C"/>
    <w:rsid w:val="000C04F5"/>
    <w:rsid w:val="000C07B2"/>
    <w:rsid w:val="000C1366"/>
    <w:rsid w:val="000C1988"/>
    <w:rsid w:val="000C2E98"/>
    <w:rsid w:val="000C31C0"/>
    <w:rsid w:val="000C534C"/>
    <w:rsid w:val="000C5780"/>
    <w:rsid w:val="000C6DFB"/>
    <w:rsid w:val="000C7272"/>
    <w:rsid w:val="000C7381"/>
    <w:rsid w:val="000C7795"/>
    <w:rsid w:val="000D10ED"/>
    <w:rsid w:val="000D132D"/>
    <w:rsid w:val="000D1D45"/>
    <w:rsid w:val="000D1EA5"/>
    <w:rsid w:val="000D3642"/>
    <w:rsid w:val="000D5C32"/>
    <w:rsid w:val="000D6E96"/>
    <w:rsid w:val="000E01AC"/>
    <w:rsid w:val="000E150C"/>
    <w:rsid w:val="000E1C99"/>
    <w:rsid w:val="000E1F61"/>
    <w:rsid w:val="000E347E"/>
    <w:rsid w:val="000E4C74"/>
    <w:rsid w:val="000E4CE3"/>
    <w:rsid w:val="000E524B"/>
    <w:rsid w:val="000E5AE9"/>
    <w:rsid w:val="000E5BB9"/>
    <w:rsid w:val="000E6A53"/>
    <w:rsid w:val="000E7513"/>
    <w:rsid w:val="000E76F1"/>
    <w:rsid w:val="000F0049"/>
    <w:rsid w:val="000F2123"/>
    <w:rsid w:val="000F22E8"/>
    <w:rsid w:val="000F252D"/>
    <w:rsid w:val="000F4E94"/>
    <w:rsid w:val="000F5101"/>
    <w:rsid w:val="000F5F31"/>
    <w:rsid w:val="000F65BC"/>
    <w:rsid w:val="000F7215"/>
    <w:rsid w:val="000F78F0"/>
    <w:rsid w:val="000F7F67"/>
    <w:rsid w:val="001010B9"/>
    <w:rsid w:val="001018BC"/>
    <w:rsid w:val="00101D2C"/>
    <w:rsid w:val="00102678"/>
    <w:rsid w:val="00104B6E"/>
    <w:rsid w:val="00105E4D"/>
    <w:rsid w:val="00106448"/>
    <w:rsid w:val="00106E2C"/>
    <w:rsid w:val="00107046"/>
    <w:rsid w:val="001072E2"/>
    <w:rsid w:val="00107BFC"/>
    <w:rsid w:val="00110A86"/>
    <w:rsid w:val="001118AC"/>
    <w:rsid w:val="0011197D"/>
    <w:rsid w:val="00111D1E"/>
    <w:rsid w:val="00112804"/>
    <w:rsid w:val="00112D10"/>
    <w:rsid w:val="001135D7"/>
    <w:rsid w:val="001148C9"/>
    <w:rsid w:val="00114E06"/>
    <w:rsid w:val="00115120"/>
    <w:rsid w:val="00116069"/>
    <w:rsid w:val="00116176"/>
    <w:rsid w:val="001162BA"/>
    <w:rsid w:val="00116AC4"/>
    <w:rsid w:val="00116E17"/>
    <w:rsid w:val="00117695"/>
    <w:rsid w:val="00120463"/>
    <w:rsid w:val="001212A9"/>
    <w:rsid w:val="00123654"/>
    <w:rsid w:val="00124BC1"/>
    <w:rsid w:val="00124F6F"/>
    <w:rsid w:val="001250C5"/>
    <w:rsid w:val="001258D3"/>
    <w:rsid w:val="0012631F"/>
    <w:rsid w:val="0012647B"/>
    <w:rsid w:val="00126A54"/>
    <w:rsid w:val="0012780F"/>
    <w:rsid w:val="00130423"/>
    <w:rsid w:val="001304F3"/>
    <w:rsid w:val="0013051A"/>
    <w:rsid w:val="00130A8A"/>
    <w:rsid w:val="00130AD7"/>
    <w:rsid w:val="00132712"/>
    <w:rsid w:val="00132EF6"/>
    <w:rsid w:val="00132FBA"/>
    <w:rsid w:val="00133B46"/>
    <w:rsid w:val="00133D23"/>
    <w:rsid w:val="00134864"/>
    <w:rsid w:val="00136935"/>
    <w:rsid w:val="00137659"/>
    <w:rsid w:val="0014101D"/>
    <w:rsid w:val="001411FB"/>
    <w:rsid w:val="0014196E"/>
    <w:rsid w:val="00141DC8"/>
    <w:rsid w:val="001435AE"/>
    <w:rsid w:val="00143775"/>
    <w:rsid w:val="001443DF"/>
    <w:rsid w:val="0014457E"/>
    <w:rsid w:val="001451A4"/>
    <w:rsid w:val="0014522B"/>
    <w:rsid w:val="00145848"/>
    <w:rsid w:val="00145FE9"/>
    <w:rsid w:val="00146486"/>
    <w:rsid w:val="001468F6"/>
    <w:rsid w:val="00147263"/>
    <w:rsid w:val="00150B6F"/>
    <w:rsid w:val="00151513"/>
    <w:rsid w:val="001526DD"/>
    <w:rsid w:val="00153193"/>
    <w:rsid w:val="0015384C"/>
    <w:rsid w:val="00155307"/>
    <w:rsid w:val="00155901"/>
    <w:rsid w:val="001559BA"/>
    <w:rsid w:val="00155FD1"/>
    <w:rsid w:val="00157403"/>
    <w:rsid w:val="001610B4"/>
    <w:rsid w:val="00161F5B"/>
    <w:rsid w:val="00162414"/>
    <w:rsid w:val="00162CCC"/>
    <w:rsid w:val="00163A36"/>
    <w:rsid w:val="00163F28"/>
    <w:rsid w:val="00164175"/>
    <w:rsid w:val="001641CE"/>
    <w:rsid w:val="001653C5"/>
    <w:rsid w:val="00165D0C"/>
    <w:rsid w:val="001664FC"/>
    <w:rsid w:val="00166AC6"/>
    <w:rsid w:val="001670C1"/>
    <w:rsid w:val="001678E1"/>
    <w:rsid w:val="001704EA"/>
    <w:rsid w:val="00170956"/>
    <w:rsid w:val="00174394"/>
    <w:rsid w:val="001753A4"/>
    <w:rsid w:val="00176582"/>
    <w:rsid w:val="0017774A"/>
    <w:rsid w:val="00177BA6"/>
    <w:rsid w:val="00180A2C"/>
    <w:rsid w:val="00180ED2"/>
    <w:rsid w:val="0018383F"/>
    <w:rsid w:val="00183DA0"/>
    <w:rsid w:val="001862CA"/>
    <w:rsid w:val="00187D4E"/>
    <w:rsid w:val="00191B93"/>
    <w:rsid w:val="0019225D"/>
    <w:rsid w:val="0019405F"/>
    <w:rsid w:val="0019414E"/>
    <w:rsid w:val="00196932"/>
    <w:rsid w:val="00196DF7"/>
    <w:rsid w:val="001A0339"/>
    <w:rsid w:val="001A04AC"/>
    <w:rsid w:val="001A0E87"/>
    <w:rsid w:val="001A0FB9"/>
    <w:rsid w:val="001A1D51"/>
    <w:rsid w:val="001A2841"/>
    <w:rsid w:val="001A2F42"/>
    <w:rsid w:val="001A312D"/>
    <w:rsid w:val="001A3FDD"/>
    <w:rsid w:val="001A4790"/>
    <w:rsid w:val="001A4CE9"/>
    <w:rsid w:val="001A7E8A"/>
    <w:rsid w:val="001B0283"/>
    <w:rsid w:val="001B0D8B"/>
    <w:rsid w:val="001B106B"/>
    <w:rsid w:val="001B16C1"/>
    <w:rsid w:val="001B26DE"/>
    <w:rsid w:val="001B35B8"/>
    <w:rsid w:val="001B3D7A"/>
    <w:rsid w:val="001B409A"/>
    <w:rsid w:val="001B4237"/>
    <w:rsid w:val="001B4432"/>
    <w:rsid w:val="001B49D0"/>
    <w:rsid w:val="001B4FF7"/>
    <w:rsid w:val="001B53F4"/>
    <w:rsid w:val="001B65E4"/>
    <w:rsid w:val="001B6B86"/>
    <w:rsid w:val="001C0009"/>
    <w:rsid w:val="001C062D"/>
    <w:rsid w:val="001C06D4"/>
    <w:rsid w:val="001C0E1A"/>
    <w:rsid w:val="001C1001"/>
    <w:rsid w:val="001C1652"/>
    <w:rsid w:val="001C1653"/>
    <w:rsid w:val="001C1B58"/>
    <w:rsid w:val="001C218F"/>
    <w:rsid w:val="001C2BDA"/>
    <w:rsid w:val="001C2EB3"/>
    <w:rsid w:val="001C4802"/>
    <w:rsid w:val="001C5AB2"/>
    <w:rsid w:val="001C64E2"/>
    <w:rsid w:val="001C66DB"/>
    <w:rsid w:val="001D099B"/>
    <w:rsid w:val="001D181D"/>
    <w:rsid w:val="001D2BEB"/>
    <w:rsid w:val="001D4476"/>
    <w:rsid w:val="001D4984"/>
    <w:rsid w:val="001D4B07"/>
    <w:rsid w:val="001D4FB2"/>
    <w:rsid w:val="001D610B"/>
    <w:rsid w:val="001E04FC"/>
    <w:rsid w:val="001E33B0"/>
    <w:rsid w:val="001E4723"/>
    <w:rsid w:val="001E56C9"/>
    <w:rsid w:val="001E6429"/>
    <w:rsid w:val="001E79E2"/>
    <w:rsid w:val="001F069C"/>
    <w:rsid w:val="001F1C01"/>
    <w:rsid w:val="001F346E"/>
    <w:rsid w:val="001F3871"/>
    <w:rsid w:val="001F3DC2"/>
    <w:rsid w:val="001F4BF1"/>
    <w:rsid w:val="001F6675"/>
    <w:rsid w:val="001F6966"/>
    <w:rsid w:val="001F6BBD"/>
    <w:rsid w:val="001F762A"/>
    <w:rsid w:val="002009F4"/>
    <w:rsid w:val="00202C4B"/>
    <w:rsid w:val="002030A3"/>
    <w:rsid w:val="00203B18"/>
    <w:rsid w:val="0020516B"/>
    <w:rsid w:val="00206B0F"/>
    <w:rsid w:val="00206D14"/>
    <w:rsid w:val="0020700F"/>
    <w:rsid w:val="002075CC"/>
    <w:rsid w:val="00210348"/>
    <w:rsid w:val="002108D4"/>
    <w:rsid w:val="00210955"/>
    <w:rsid w:val="00211290"/>
    <w:rsid w:val="00211797"/>
    <w:rsid w:val="00211B42"/>
    <w:rsid w:val="002127E2"/>
    <w:rsid w:val="00212D16"/>
    <w:rsid w:val="00213DAE"/>
    <w:rsid w:val="002143BF"/>
    <w:rsid w:val="002143E7"/>
    <w:rsid w:val="00215997"/>
    <w:rsid w:val="00215B73"/>
    <w:rsid w:val="00216980"/>
    <w:rsid w:val="00216B44"/>
    <w:rsid w:val="00217C39"/>
    <w:rsid w:val="00220B2A"/>
    <w:rsid w:val="0022239A"/>
    <w:rsid w:val="00222FA3"/>
    <w:rsid w:val="002239EF"/>
    <w:rsid w:val="002248C0"/>
    <w:rsid w:val="00224BF6"/>
    <w:rsid w:val="00224C0F"/>
    <w:rsid w:val="00224DD6"/>
    <w:rsid w:val="00225B63"/>
    <w:rsid w:val="00225EAB"/>
    <w:rsid w:val="00225EE7"/>
    <w:rsid w:val="002304E6"/>
    <w:rsid w:val="0023076A"/>
    <w:rsid w:val="00230CDD"/>
    <w:rsid w:val="00231221"/>
    <w:rsid w:val="002312A5"/>
    <w:rsid w:val="00231BC0"/>
    <w:rsid w:val="00231DE0"/>
    <w:rsid w:val="00232600"/>
    <w:rsid w:val="00233F0B"/>
    <w:rsid w:val="002346E5"/>
    <w:rsid w:val="0023532C"/>
    <w:rsid w:val="002354CA"/>
    <w:rsid w:val="00235A92"/>
    <w:rsid w:val="00235B0A"/>
    <w:rsid w:val="00237140"/>
    <w:rsid w:val="0023736A"/>
    <w:rsid w:val="002405BD"/>
    <w:rsid w:val="00241A3C"/>
    <w:rsid w:val="00241CEC"/>
    <w:rsid w:val="0024270C"/>
    <w:rsid w:val="002429CD"/>
    <w:rsid w:val="002429F8"/>
    <w:rsid w:val="00242D7E"/>
    <w:rsid w:val="002447FA"/>
    <w:rsid w:val="00244AD9"/>
    <w:rsid w:val="00246914"/>
    <w:rsid w:val="00246941"/>
    <w:rsid w:val="00246A23"/>
    <w:rsid w:val="00247D9B"/>
    <w:rsid w:val="0025024A"/>
    <w:rsid w:val="00250FAF"/>
    <w:rsid w:val="00252701"/>
    <w:rsid w:val="002545F5"/>
    <w:rsid w:val="0025465F"/>
    <w:rsid w:val="0025785A"/>
    <w:rsid w:val="00257968"/>
    <w:rsid w:val="0026032F"/>
    <w:rsid w:val="002606DE"/>
    <w:rsid w:val="002621CF"/>
    <w:rsid w:val="002639A6"/>
    <w:rsid w:val="00263DAB"/>
    <w:rsid w:val="00264737"/>
    <w:rsid w:val="002651FA"/>
    <w:rsid w:val="002658E0"/>
    <w:rsid w:val="00266429"/>
    <w:rsid w:val="00266482"/>
    <w:rsid w:val="0026695C"/>
    <w:rsid w:val="00266988"/>
    <w:rsid w:val="002675B8"/>
    <w:rsid w:val="00270135"/>
    <w:rsid w:val="0027040A"/>
    <w:rsid w:val="00270A18"/>
    <w:rsid w:val="002712D6"/>
    <w:rsid w:val="00271495"/>
    <w:rsid w:val="00271826"/>
    <w:rsid w:val="00272B6A"/>
    <w:rsid w:val="00273341"/>
    <w:rsid w:val="002736A6"/>
    <w:rsid w:val="00275CA0"/>
    <w:rsid w:val="00275FE4"/>
    <w:rsid w:val="00276838"/>
    <w:rsid w:val="002771A1"/>
    <w:rsid w:val="002776CC"/>
    <w:rsid w:val="00277E90"/>
    <w:rsid w:val="002820C5"/>
    <w:rsid w:val="00282A68"/>
    <w:rsid w:val="0028322D"/>
    <w:rsid w:val="00283C01"/>
    <w:rsid w:val="002856E5"/>
    <w:rsid w:val="00285F4E"/>
    <w:rsid w:val="00286B11"/>
    <w:rsid w:val="00286F6C"/>
    <w:rsid w:val="00287893"/>
    <w:rsid w:val="00287FA3"/>
    <w:rsid w:val="00290183"/>
    <w:rsid w:val="0029108E"/>
    <w:rsid w:val="0029473B"/>
    <w:rsid w:val="00294762"/>
    <w:rsid w:val="00294ABB"/>
    <w:rsid w:val="00295368"/>
    <w:rsid w:val="00295D62"/>
    <w:rsid w:val="00296090"/>
    <w:rsid w:val="002971CA"/>
    <w:rsid w:val="00297695"/>
    <w:rsid w:val="002A112E"/>
    <w:rsid w:val="002A1E1F"/>
    <w:rsid w:val="002A2B19"/>
    <w:rsid w:val="002A3203"/>
    <w:rsid w:val="002A49ED"/>
    <w:rsid w:val="002A6616"/>
    <w:rsid w:val="002B1445"/>
    <w:rsid w:val="002B1855"/>
    <w:rsid w:val="002B18A6"/>
    <w:rsid w:val="002B26D2"/>
    <w:rsid w:val="002B282E"/>
    <w:rsid w:val="002B40DD"/>
    <w:rsid w:val="002B4DF5"/>
    <w:rsid w:val="002B5AC3"/>
    <w:rsid w:val="002B673F"/>
    <w:rsid w:val="002B6767"/>
    <w:rsid w:val="002B7245"/>
    <w:rsid w:val="002B7A56"/>
    <w:rsid w:val="002C030A"/>
    <w:rsid w:val="002C07C9"/>
    <w:rsid w:val="002C0BC2"/>
    <w:rsid w:val="002C0DB0"/>
    <w:rsid w:val="002C413E"/>
    <w:rsid w:val="002C43C6"/>
    <w:rsid w:val="002C50EB"/>
    <w:rsid w:val="002C531B"/>
    <w:rsid w:val="002C5ED4"/>
    <w:rsid w:val="002C6F2E"/>
    <w:rsid w:val="002C7C79"/>
    <w:rsid w:val="002D07A7"/>
    <w:rsid w:val="002D11BD"/>
    <w:rsid w:val="002D196C"/>
    <w:rsid w:val="002D1F36"/>
    <w:rsid w:val="002D2F03"/>
    <w:rsid w:val="002D3408"/>
    <w:rsid w:val="002D34CB"/>
    <w:rsid w:val="002D3ABC"/>
    <w:rsid w:val="002D3E10"/>
    <w:rsid w:val="002D422E"/>
    <w:rsid w:val="002D4665"/>
    <w:rsid w:val="002D5A01"/>
    <w:rsid w:val="002D62A2"/>
    <w:rsid w:val="002D7500"/>
    <w:rsid w:val="002E02B3"/>
    <w:rsid w:val="002E0A8A"/>
    <w:rsid w:val="002E158D"/>
    <w:rsid w:val="002E16B1"/>
    <w:rsid w:val="002E2D47"/>
    <w:rsid w:val="002E40E3"/>
    <w:rsid w:val="002E46FB"/>
    <w:rsid w:val="002E4CF7"/>
    <w:rsid w:val="002E53CE"/>
    <w:rsid w:val="002E5958"/>
    <w:rsid w:val="002E5B33"/>
    <w:rsid w:val="002E6437"/>
    <w:rsid w:val="002E68EF"/>
    <w:rsid w:val="002F0A11"/>
    <w:rsid w:val="002F10E1"/>
    <w:rsid w:val="002F12B1"/>
    <w:rsid w:val="002F19CA"/>
    <w:rsid w:val="002F1B34"/>
    <w:rsid w:val="002F1D6F"/>
    <w:rsid w:val="002F214E"/>
    <w:rsid w:val="002F3C67"/>
    <w:rsid w:val="002F3DF3"/>
    <w:rsid w:val="002F4B59"/>
    <w:rsid w:val="002F5A01"/>
    <w:rsid w:val="002F6754"/>
    <w:rsid w:val="002F731F"/>
    <w:rsid w:val="002F7B8F"/>
    <w:rsid w:val="00302312"/>
    <w:rsid w:val="00304233"/>
    <w:rsid w:val="00305D0D"/>
    <w:rsid w:val="003065A7"/>
    <w:rsid w:val="00310933"/>
    <w:rsid w:val="0031101D"/>
    <w:rsid w:val="00311AEF"/>
    <w:rsid w:val="00311F27"/>
    <w:rsid w:val="0031279F"/>
    <w:rsid w:val="00312EEF"/>
    <w:rsid w:val="003132FA"/>
    <w:rsid w:val="00314026"/>
    <w:rsid w:val="0031430C"/>
    <w:rsid w:val="003149FF"/>
    <w:rsid w:val="00314AA0"/>
    <w:rsid w:val="00314F39"/>
    <w:rsid w:val="003155E1"/>
    <w:rsid w:val="00316524"/>
    <w:rsid w:val="0031683E"/>
    <w:rsid w:val="00317854"/>
    <w:rsid w:val="00322105"/>
    <w:rsid w:val="003230CA"/>
    <w:rsid w:val="0032484B"/>
    <w:rsid w:val="00324EE6"/>
    <w:rsid w:val="00325023"/>
    <w:rsid w:val="00325C0E"/>
    <w:rsid w:val="00325F4E"/>
    <w:rsid w:val="00327714"/>
    <w:rsid w:val="003277BF"/>
    <w:rsid w:val="00331043"/>
    <w:rsid w:val="0033104C"/>
    <w:rsid w:val="00332744"/>
    <w:rsid w:val="00333535"/>
    <w:rsid w:val="00333B13"/>
    <w:rsid w:val="00334EA2"/>
    <w:rsid w:val="00335645"/>
    <w:rsid w:val="00336552"/>
    <w:rsid w:val="00336E4A"/>
    <w:rsid w:val="00337F9B"/>
    <w:rsid w:val="0034099D"/>
    <w:rsid w:val="003409AF"/>
    <w:rsid w:val="0034203E"/>
    <w:rsid w:val="00343BE3"/>
    <w:rsid w:val="00344FFD"/>
    <w:rsid w:val="00345865"/>
    <w:rsid w:val="0034604F"/>
    <w:rsid w:val="00346577"/>
    <w:rsid w:val="00347149"/>
    <w:rsid w:val="00347D1B"/>
    <w:rsid w:val="00350319"/>
    <w:rsid w:val="00350ADD"/>
    <w:rsid w:val="0035155C"/>
    <w:rsid w:val="003520B2"/>
    <w:rsid w:val="003521A9"/>
    <w:rsid w:val="003529AB"/>
    <w:rsid w:val="0035306E"/>
    <w:rsid w:val="003531AF"/>
    <w:rsid w:val="003539B2"/>
    <w:rsid w:val="00354E13"/>
    <w:rsid w:val="00354E77"/>
    <w:rsid w:val="00354FE6"/>
    <w:rsid w:val="003554EE"/>
    <w:rsid w:val="00357856"/>
    <w:rsid w:val="00357BF9"/>
    <w:rsid w:val="00360CD0"/>
    <w:rsid w:val="003631FB"/>
    <w:rsid w:val="003638AA"/>
    <w:rsid w:val="003638EA"/>
    <w:rsid w:val="00363B25"/>
    <w:rsid w:val="00363DC1"/>
    <w:rsid w:val="00364F2C"/>
    <w:rsid w:val="00365BFE"/>
    <w:rsid w:val="00366DE8"/>
    <w:rsid w:val="003670C9"/>
    <w:rsid w:val="00367794"/>
    <w:rsid w:val="003678C0"/>
    <w:rsid w:val="00367AB1"/>
    <w:rsid w:val="00370298"/>
    <w:rsid w:val="00371BC6"/>
    <w:rsid w:val="00371ED8"/>
    <w:rsid w:val="00373366"/>
    <w:rsid w:val="003739F5"/>
    <w:rsid w:val="00377E71"/>
    <w:rsid w:val="00380895"/>
    <w:rsid w:val="00382815"/>
    <w:rsid w:val="00383447"/>
    <w:rsid w:val="003838DB"/>
    <w:rsid w:val="00384C66"/>
    <w:rsid w:val="00386750"/>
    <w:rsid w:val="00386B8A"/>
    <w:rsid w:val="00386BFC"/>
    <w:rsid w:val="00387771"/>
    <w:rsid w:val="00390906"/>
    <w:rsid w:val="0039098B"/>
    <w:rsid w:val="00390BC3"/>
    <w:rsid w:val="003914ED"/>
    <w:rsid w:val="00391B20"/>
    <w:rsid w:val="00391D55"/>
    <w:rsid w:val="0039234C"/>
    <w:rsid w:val="00392EBE"/>
    <w:rsid w:val="003936D0"/>
    <w:rsid w:val="0039594A"/>
    <w:rsid w:val="00396751"/>
    <w:rsid w:val="00396BAC"/>
    <w:rsid w:val="00396FBC"/>
    <w:rsid w:val="00397EAD"/>
    <w:rsid w:val="003A1575"/>
    <w:rsid w:val="003A1873"/>
    <w:rsid w:val="003A1C8A"/>
    <w:rsid w:val="003A1DEE"/>
    <w:rsid w:val="003A3116"/>
    <w:rsid w:val="003A42B8"/>
    <w:rsid w:val="003A4742"/>
    <w:rsid w:val="003A4795"/>
    <w:rsid w:val="003A59C2"/>
    <w:rsid w:val="003A7205"/>
    <w:rsid w:val="003B029A"/>
    <w:rsid w:val="003B0922"/>
    <w:rsid w:val="003B121D"/>
    <w:rsid w:val="003B1602"/>
    <w:rsid w:val="003B202C"/>
    <w:rsid w:val="003B48CD"/>
    <w:rsid w:val="003B4EBD"/>
    <w:rsid w:val="003B5A81"/>
    <w:rsid w:val="003B736D"/>
    <w:rsid w:val="003C10CF"/>
    <w:rsid w:val="003C18AE"/>
    <w:rsid w:val="003C1C33"/>
    <w:rsid w:val="003C227C"/>
    <w:rsid w:val="003C3FA3"/>
    <w:rsid w:val="003C5D72"/>
    <w:rsid w:val="003C5E24"/>
    <w:rsid w:val="003C6964"/>
    <w:rsid w:val="003C7250"/>
    <w:rsid w:val="003D05F7"/>
    <w:rsid w:val="003D09B8"/>
    <w:rsid w:val="003D146B"/>
    <w:rsid w:val="003D1A6D"/>
    <w:rsid w:val="003D2702"/>
    <w:rsid w:val="003D2B43"/>
    <w:rsid w:val="003D3DC3"/>
    <w:rsid w:val="003D56DE"/>
    <w:rsid w:val="003D628C"/>
    <w:rsid w:val="003D6E87"/>
    <w:rsid w:val="003D7C42"/>
    <w:rsid w:val="003D7CB4"/>
    <w:rsid w:val="003E0B20"/>
    <w:rsid w:val="003E0F12"/>
    <w:rsid w:val="003E1B35"/>
    <w:rsid w:val="003E1FA8"/>
    <w:rsid w:val="003E1FD3"/>
    <w:rsid w:val="003E24BF"/>
    <w:rsid w:val="003E40BB"/>
    <w:rsid w:val="003E6F0E"/>
    <w:rsid w:val="003E78BF"/>
    <w:rsid w:val="003F021D"/>
    <w:rsid w:val="003F0F8E"/>
    <w:rsid w:val="003F20D2"/>
    <w:rsid w:val="003F2446"/>
    <w:rsid w:val="003F37DE"/>
    <w:rsid w:val="003F4556"/>
    <w:rsid w:val="003F4C2D"/>
    <w:rsid w:val="003F4F3E"/>
    <w:rsid w:val="003F5107"/>
    <w:rsid w:val="003F7965"/>
    <w:rsid w:val="004001E1"/>
    <w:rsid w:val="00400AEE"/>
    <w:rsid w:val="004016F5"/>
    <w:rsid w:val="004035ED"/>
    <w:rsid w:val="00403FFD"/>
    <w:rsid w:val="004041FA"/>
    <w:rsid w:val="00404B76"/>
    <w:rsid w:val="00404CC9"/>
    <w:rsid w:val="00406B4F"/>
    <w:rsid w:val="00410AAE"/>
    <w:rsid w:val="004119EF"/>
    <w:rsid w:val="00411D4F"/>
    <w:rsid w:val="00412034"/>
    <w:rsid w:val="00412690"/>
    <w:rsid w:val="004135D9"/>
    <w:rsid w:val="0041387F"/>
    <w:rsid w:val="00414136"/>
    <w:rsid w:val="0041440B"/>
    <w:rsid w:val="004146A9"/>
    <w:rsid w:val="004147EE"/>
    <w:rsid w:val="004150B8"/>
    <w:rsid w:val="004157B4"/>
    <w:rsid w:val="0041670F"/>
    <w:rsid w:val="00417A7D"/>
    <w:rsid w:val="00420263"/>
    <w:rsid w:val="0042087A"/>
    <w:rsid w:val="00420A5F"/>
    <w:rsid w:val="00421283"/>
    <w:rsid w:val="00422142"/>
    <w:rsid w:val="004224F1"/>
    <w:rsid w:val="0042301B"/>
    <w:rsid w:val="004238EA"/>
    <w:rsid w:val="00423A65"/>
    <w:rsid w:val="00424988"/>
    <w:rsid w:val="00424A1E"/>
    <w:rsid w:val="00424AEF"/>
    <w:rsid w:val="004251D4"/>
    <w:rsid w:val="00426068"/>
    <w:rsid w:val="004263EF"/>
    <w:rsid w:val="0042644C"/>
    <w:rsid w:val="004264C1"/>
    <w:rsid w:val="00426BB8"/>
    <w:rsid w:val="00427886"/>
    <w:rsid w:val="0043043E"/>
    <w:rsid w:val="0043092D"/>
    <w:rsid w:val="0043274E"/>
    <w:rsid w:val="00433565"/>
    <w:rsid w:val="00434141"/>
    <w:rsid w:val="004347EC"/>
    <w:rsid w:val="00434977"/>
    <w:rsid w:val="00434D85"/>
    <w:rsid w:val="00435140"/>
    <w:rsid w:val="004351E3"/>
    <w:rsid w:val="00436E8A"/>
    <w:rsid w:val="0044068A"/>
    <w:rsid w:val="00440738"/>
    <w:rsid w:val="004408D8"/>
    <w:rsid w:val="00441025"/>
    <w:rsid w:val="00441342"/>
    <w:rsid w:val="00441508"/>
    <w:rsid w:val="00441812"/>
    <w:rsid w:val="004432AB"/>
    <w:rsid w:val="0044477A"/>
    <w:rsid w:val="00444F07"/>
    <w:rsid w:val="00444FBD"/>
    <w:rsid w:val="00445119"/>
    <w:rsid w:val="00445421"/>
    <w:rsid w:val="00445AE4"/>
    <w:rsid w:val="00446ED2"/>
    <w:rsid w:val="0045098D"/>
    <w:rsid w:val="0045145A"/>
    <w:rsid w:val="00451B26"/>
    <w:rsid w:val="00451DCC"/>
    <w:rsid w:val="00451FF7"/>
    <w:rsid w:val="00453A37"/>
    <w:rsid w:val="0045405A"/>
    <w:rsid w:val="00454427"/>
    <w:rsid w:val="0045514C"/>
    <w:rsid w:val="004564AF"/>
    <w:rsid w:val="00456AAF"/>
    <w:rsid w:val="00460466"/>
    <w:rsid w:val="00460BD7"/>
    <w:rsid w:val="00462937"/>
    <w:rsid w:val="004635F9"/>
    <w:rsid w:val="004645FF"/>
    <w:rsid w:val="00465217"/>
    <w:rsid w:val="004652DD"/>
    <w:rsid w:val="00465BE6"/>
    <w:rsid w:val="00471199"/>
    <w:rsid w:val="004721C5"/>
    <w:rsid w:val="0047315E"/>
    <w:rsid w:val="0047326B"/>
    <w:rsid w:val="0047466B"/>
    <w:rsid w:val="00477A29"/>
    <w:rsid w:val="00480422"/>
    <w:rsid w:val="00481309"/>
    <w:rsid w:val="004815D7"/>
    <w:rsid w:val="00481CF1"/>
    <w:rsid w:val="00481E53"/>
    <w:rsid w:val="004824F5"/>
    <w:rsid w:val="004831AD"/>
    <w:rsid w:val="00485031"/>
    <w:rsid w:val="004858FF"/>
    <w:rsid w:val="00485D13"/>
    <w:rsid w:val="00487131"/>
    <w:rsid w:val="004871D9"/>
    <w:rsid w:val="00487B09"/>
    <w:rsid w:val="00487C24"/>
    <w:rsid w:val="004905F2"/>
    <w:rsid w:val="0049158C"/>
    <w:rsid w:val="00491824"/>
    <w:rsid w:val="00491935"/>
    <w:rsid w:val="0049223F"/>
    <w:rsid w:val="0049257A"/>
    <w:rsid w:val="004925E7"/>
    <w:rsid w:val="00492B42"/>
    <w:rsid w:val="00494B3F"/>
    <w:rsid w:val="004954CB"/>
    <w:rsid w:val="00495C00"/>
    <w:rsid w:val="004964C9"/>
    <w:rsid w:val="00496C93"/>
    <w:rsid w:val="00496E46"/>
    <w:rsid w:val="0049743E"/>
    <w:rsid w:val="0049750A"/>
    <w:rsid w:val="0049751A"/>
    <w:rsid w:val="00497912"/>
    <w:rsid w:val="004A1EDA"/>
    <w:rsid w:val="004A20F9"/>
    <w:rsid w:val="004A22E4"/>
    <w:rsid w:val="004A243C"/>
    <w:rsid w:val="004A3093"/>
    <w:rsid w:val="004A3F56"/>
    <w:rsid w:val="004A45D8"/>
    <w:rsid w:val="004A4FE7"/>
    <w:rsid w:val="004A52DF"/>
    <w:rsid w:val="004A57A2"/>
    <w:rsid w:val="004A5C3C"/>
    <w:rsid w:val="004A703F"/>
    <w:rsid w:val="004A7EA2"/>
    <w:rsid w:val="004B043F"/>
    <w:rsid w:val="004B1C78"/>
    <w:rsid w:val="004B22C5"/>
    <w:rsid w:val="004B3F62"/>
    <w:rsid w:val="004B52B7"/>
    <w:rsid w:val="004B63FC"/>
    <w:rsid w:val="004B65B3"/>
    <w:rsid w:val="004C0418"/>
    <w:rsid w:val="004C1FCB"/>
    <w:rsid w:val="004C265D"/>
    <w:rsid w:val="004C30D9"/>
    <w:rsid w:val="004C6AEB"/>
    <w:rsid w:val="004C721D"/>
    <w:rsid w:val="004C7AC3"/>
    <w:rsid w:val="004C7DFF"/>
    <w:rsid w:val="004D0EC3"/>
    <w:rsid w:val="004D2A11"/>
    <w:rsid w:val="004D39D5"/>
    <w:rsid w:val="004D44FC"/>
    <w:rsid w:val="004D541D"/>
    <w:rsid w:val="004D55B9"/>
    <w:rsid w:val="004D5BC5"/>
    <w:rsid w:val="004D67B3"/>
    <w:rsid w:val="004E042F"/>
    <w:rsid w:val="004E1430"/>
    <w:rsid w:val="004E1EA8"/>
    <w:rsid w:val="004E26BD"/>
    <w:rsid w:val="004E355F"/>
    <w:rsid w:val="004E4BC0"/>
    <w:rsid w:val="004E68E8"/>
    <w:rsid w:val="004E747F"/>
    <w:rsid w:val="004E7DEF"/>
    <w:rsid w:val="004F10BB"/>
    <w:rsid w:val="004F27C3"/>
    <w:rsid w:val="004F32DD"/>
    <w:rsid w:val="004F38B0"/>
    <w:rsid w:val="004F398D"/>
    <w:rsid w:val="004F3D77"/>
    <w:rsid w:val="004F4834"/>
    <w:rsid w:val="004F502E"/>
    <w:rsid w:val="004F5C6E"/>
    <w:rsid w:val="004F6CD7"/>
    <w:rsid w:val="00501875"/>
    <w:rsid w:val="00502DA3"/>
    <w:rsid w:val="00504642"/>
    <w:rsid w:val="0050548F"/>
    <w:rsid w:val="0050590F"/>
    <w:rsid w:val="00505AB5"/>
    <w:rsid w:val="00506F81"/>
    <w:rsid w:val="00507E14"/>
    <w:rsid w:val="005100D1"/>
    <w:rsid w:val="005104C4"/>
    <w:rsid w:val="00510666"/>
    <w:rsid w:val="00511417"/>
    <w:rsid w:val="005118FE"/>
    <w:rsid w:val="00512448"/>
    <w:rsid w:val="00512971"/>
    <w:rsid w:val="005135C0"/>
    <w:rsid w:val="00514139"/>
    <w:rsid w:val="005143E0"/>
    <w:rsid w:val="005146D7"/>
    <w:rsid w:val="0051471A"/>
    <w:rsid w:val="00516825"/>
    <w:rsid w:val="0052006B"/>
    <w:rsid w:val="00520C7D"/>
    <w:rsid w:val="00520E61"/>
    <w:rsid w:val="00523B13"/>
    <w:rsid w:val="00524752"/>
    <w:rsid w:val="00524AAF"/>
    <w:rsid w:val="00524ED3"/>
    <w:rsid w:val="005255A4"/>
    <w:rsid w:val="005258BA"/>
    <w:rsid w:val="005259A3"/>
    <w:rsid w:val="00526ACF"/>
    <w:rsid w:val="00526BE7"/>
    <w:rsid w:val="00526FCF"/>
    <w:rsid w:val="005276C9"/>
    <w:rsid w:val="00527A0C"/>
    <w:rsid w:val="00530583"/>
    <w:rsid w:val="0053075E"/>
    <w:rsid w:val="00530D40"/>
    <w:rsid w:val="00530FDB"/>
    <w:rsid w:val="005323FD"/>
    <w:rsid w:val="00533969"/>
    <w:rsid w:val="00534E58"/>
    <w:rsid w:val="00535E71"/>
    <w:rsid w:val="005360F2"/>
    <w:rsid w:val="00536702"/>
    <w:rsid w:val="00543C4F"/>
    <w:rsid w:val="005443CD"/>
    <w:rsid w:val="00544601"/>
    <w:rsid w:val="0054552C"/>
    <w:rsid w:val="005459F0"/>
    <w:rsid w:val="00545C16"/>
    <w:rsid w:val="0054659C"/>
    <w:rsid w:val="00546807"/>
    <w:rsid w:val="00546A70"/>
    <w:rsid w:val="00546C7A"/>
    <w:rsid w:val="00547CBD"/>
    <w:rsid w:val="005501FC"/>
    <w:rsid w:val="0055275D"/>
    <w:rsid w:val="005527CC"/>
    <w:rsid w:val="00553625"/>
    <w:rsid w:val="00553A84"/>
    <w:rsid w:val="005546DE"/>
    <w:rsid w:val="005553F3"/>
    <w:rsid w:val="00555670"/>
    <w:rsid w:val="00556859"/>
    <w:rsid w:val="005576BA"/>
    <w:rsid w:val="00557FD6"/>
    <w:rsid w:val="00560019"/>
    <w:rsid w:val="00560494"/>
    <w:rsid w:val="0056194E"/>
    <w:rsid w:val="00561ED5"/>
    <w:rsid w:val="00562564"/>
    <w:rsid w:val="00562EA3"/>
    <w:rsid w:val="00563015"/>
    <w:rsid w:val="005636B9"/>
    <w:rsid w:val="0056403D"/>
    <w:rsid w:val="00564742"/>
    <w:rsid w:val="00564FF0"/>
    <w:rsid w:val="00565027"/>
    <w:rsid w:val="00567632"/>
    <w:rsid w:val="005716E3"/>
    <w:rsid w:val="005737A2"/>
    <w:rsid w:val="00573833"/>
    <w:rsid w:val="005749BA"/>
    <w:rsid w:val="00575A1E"/>
    <w:rsid w:val="0057740A"/>
    <w:rsid w:val="00580027"/>
    <w:rsid w:val="00580240"/>
    <w:rsid w:val="00580B85"/>
    <w:rsid w:val="00580C30"/>
    <w:rsid w:val="00581508"/>
    <w:rsid w:val="00581A2E"/>
    <w:rsid w:val="00581FD7"/>
    <w:rsid w:val="00583758"/>
    <w:rsid w:val="00583A86"/>
    <w:rsid w:val="00583C92"/>
    <w:rsid w:val="00583D3F"/>
    <w:rsid w:val="005854DB"/>
    <w:rsid w:val="00585C54"/>
    <w:rsid w:val="0058635C"/>
    <w:rsid w:val="005867C0"/>
    <w:rsid w:val="00586FEC"/>
    <w:rsid w:val="005877DD"/>
    <w:rsid w:val="00587F34"/>
    <w:rsid w:val="00587F4D"/>
    <w:rsid w:val="00590064"/>
    <w:rsid w:val="005908D0"/>
    <w:rsid w:val="00590C59"/>
    <w:rsid w:val="00590F5E"/>
    <w:rsid w:val="005939FE"/>
    <w:rsid w:val="00593BCC"/>
    <w:rsid w:val="005940CB"/>
    <w:rsid w:val="00595422"/>
    <w:rsid w:val="00595623"/>
    <w:rsid w:val="005959ED"/>
    <w:rsid w:val="00595BAE"/>
    <w:rsid w:val="00595D5D"/>
    <w:rsid w:val="00595E96"/>
    <w:rsid w:val="005973BE"/>
    <w:rsid w:val="005A00E4"/>
    <w:rsid w:val="005A0130"/>
    <w:rsid w:val="005A08B8"/>
    <w:rsid w:val="005A0D6E"/>
    <w:rsid w:val="005A1C41"/>
    <w:rsid w:val="005A2001"/>
    <w:rsid w:val="005A2CAE"/>
    <w:rsid w:val="005A2F0C"/>
    <w:rsid w:val="005A32EC"/>
    <w:rsid w:val="005A48CF"/>
    <w:rsid w:val="005A5C03"/>
    <w:rsid w:val="005A5F24"/>
    <w:rsid w:val="005A632C"/>
    <w:rsid w:val="005A6A9D"/>
    <w:rsid w:val="005A7235"/>
    <w:rsid w:val="005B0B16"/>
    <w:rsid w:val="005B0CBD"/>
    <w:rsid w:val="005B0FEF"/>
    <w:rsid w:val="005B11A2"/>
    <w:rsid w:val="005B1ACF"/>
    <w:rsid w:val="005B234D"/>
    <w:rsid w:val="005B2648"/>
    <w:rsid w:val="005B2C90"/>
    <w:rsid w:val="005B2FBF"/>
    <w:rsid w:val="005B3106"/>
    <w:rsid w:val="005B389E"/>
    <w:rsid w:val="005B3C83"/>
    <w:rsid w:val="005B484D"/>
    <w:rsid w:val="005B4BAC"/>
    <w:rsid w:val="005B4D0A"/>
    <w:rsid w:val="005B5431"/>
    <w:rsid w:val="005B58ED"/>
    <w:rsid w:val="005B6E3D"/>
    <w:rsid w:val="005B73D2"/>
    <w:rsid w:val="005B7428"/>
    <w:rsid w:val="005C1373"/>
    <w:rsid w:val="005C1C35"/>
    <w:rsid w:val="005C1E8C"/>
    <w:rsid w:val="005C2139"/>
    <w:rsid w:val="005C4CC5"/>
    <w:rsid w:val="005C50EB"/>
    <w:rsid w:val="005C6E72"/>
    <w:rsid w:val="005C745B"/>
    <w:rsid w:val="005D11AE"/>
    <w:rsid w:val="005D1FDD"/>
    <w:rsid w:val="005D2AC8"/>
    <w:rsid w:val="005D32B3"/>
    <w:rsid w:val="005D43B1"/>
    <w:rsid w:val="005D515C"/>
    <w:rsid w:val="005D5908"/>
    <w:rsid w:val="005D72ED"/>
    <w:rsid w:val="005D7609"/>
    <w:rsid w:val="005E0159"/>
    <w:rsid w:val="005E03E9"/>
    <w:rsid w:val="005E0AFB"/>
    <w:rsid w:val="005E0EAD"/>
    <w:rsid w:val="005E27B0"/>
    <w:rsid w:val="005E407C"/>
    <w:rsid w:val="005E4492"/>
    <w:rsid w:val="005E514E"/>
    <w:rsid w:val="005E53F8"/>
    <w:rsid w:val="005E5644"/>
    <w:rsid w:val="005E574D"/>
    <w:rsid w:val="005F0982"/>
    <w:rsid w:val="005F0C5C"/>
    <w:rsid w:val="005F1D4B"/>
    <w:rsid w:val="005F3C37"/>
    <w:rsid w:val="005F3E1E"/>
    <w:rsid w:val="005F5EE6"/>
    <w:rsid w:val="005F7ECB"/>
    <w:rsid w:val="0060131F"/>
    <w:rsid w:val="0060182B"/>
    <w:rsid w:val="006029F1"/>
    <w:rsid w:val="00603BC1"/>
    <w:rsid w:val="00604618"/>
    <w:rsid w:val="0060582D"/>
    <w:rsid w:val="00605EFE"/>
    <w:rsid w:val="00607ABE"/>
    <w:rsid w:val="00611389"/>
    <w:rsid w:val="006124D7"/>
    <w:rsid w:val="006127D9"/>
    <w:rsid w:val="00612E78"/>
    <w:rsid w:val="006134F8"/>
    <w:rsid w:val="00613832"/>
    <w:rsid w:val="00613C60"/>
    <w:rsid w:val="006140C4"/>
    <w:rsid w:val="006152E6"/>
    <w:rsid w:val="00615558"/>
    <w:rsid w:val="006157CD"/>
    <w:rsid w:val="00615925"/>
    <w:rsid w:val="00615A9D"/>
    <w:rsid w:val="00617C37"/>
    <w:rsid w:val="00617E75"/>
    <w:rsid w:val="00620688"/>
    <w:rsid w:val="00620D44"/>
    <w:rsid w:val="00620D57"/>
    <w:rsid w:val="00621C51"/>
    <w:rsid w:val="0062228A"/>
    <w:rsid w:val="006254E3"/>
    <w:rsid w:val="0062636A"/>
    <w:rsid w:val="006265E3"/>
    <w:rsid w:val="00627059"/>
    <w:rsid w:val="00627E4B"/>
    <w:rsid w:val="00630512"/>
    <w:rsid w:val="00630624"/>
    <w:rsid w:val="0063134C"/>
    <w:rsid w:val="006336A4"/>
    <w:rsid w:val="00633A9B"/>
    <w:rsid w:val="00634069"/>
    <w:rsid w:val="0063407D"/>
    <w:rsid w:val="00634A87"/>
    <w:rsid w:val="006367A4"/>
    <w:rsid w:val="00636ADE"/>
    <w:rsid w:val="00640237"/>
    <w:rsid w:val="006403E5"/>
    <w:rsid w:val="00640911"/>
    <w:rsid w:val="00640B83"/>
    <w:rsid w:val="00640F5B"/>
    <w:rsid w:val="00641DCC"/>
    <w:rsid w:val="0064289E"/>
    <w:rsid w:val="00643CFF"/>
    <w:rsid w:val="006441F0"/>
    <w:rsid w:val="00644975"/>
    <w:rsid w:val="00646044"/>
    <w:rsid w:val="00646916"/>
    <w:rsid w:val="00646CF1"/>
    <w:rsid w:val="006475CB"/>
    <w:rsid w:val="00647C15"/>
    <w:rsid w:val="006500B6"/>
    <w:rsid w:val="00650CD6"/>
    <w:rsid w:val="00650F95"/>
    <w:rsid w:val="00650FBE"/>
    <w:rsid w:val="006515F0"/>
    <w:rsid w:val="00652B29"/>
    <w:rsid w:val="00654105"/>
    <w:rsid w:val="00654BD1"/>
    <w:rsid w:val="006569E8"/>
    <w:rsid w:val="0065714D"/>
    <w:rsid w:val="006579E2"/>
    <w:rsid w:val="00657E19"/>
    <w:rsid w:val="00660712"/>
    <w:rsid w:val="00660C6E"/>
    <w:rsid w:val="00660E6E"/>
    <w:rsid w:val="006612B1"/>
    <w:rsid w:val="006618A3"/>
    <w:rsid w:val="006619A5"/>
    <w:rsid w:val="00662935"/>
    <w:rsid w:val="006629A1"/>
    <w:rsid w:val="00663870"/>
    <w:rsid w:val="006644C0"/>
    <w:rsid w:val="006644FD"/>
    <w:rsid w:val="00666D7B"/>
    <w:rsid w:val="006676F7"/>
    <w:rsid w:val="00667B5D"/>
    <w:rsid w:val="00667BF6"/>
    <w:rsid w:val="0067060B"/>
    <w:rsid w:val="00672A6B"/>
    <w:rsid w:val="0067327F"/>
    <w:rsid w:val="006750B0"/>
    <w:rsid w:val="0067573D"/>
    <w:rsid w:val="00675D2A"/>
    <w:rsid w:val="0067655A"/>
    <w:rsid w:val="00676FCA"/>
    <w:rsid w:val="00677474"/>
    <w:rsid w:val="006778E4"/>
    <w:rsid w:val="0068033B"/>
    <w:rsid w:val="006805F2"/>
    <w:rsid w:val="00681D54"/>
    <w:rsid w:val="006829C5"/>
    <w:rsid w:val="00682C5B"/>
    <w:rsid w:val="00683FC5"/>
    <w:rsid w:val="006867A6"/>
    <w:rsid w:val="006869AE"/>
    <w:rsid w:val="00687280"/>
    <w:rsid w:val="00687E6B"/>
    <w:rsid w:val="00693068"/>
    <w:rsid w:val="006933A9"/>
    <w:rsid w:val="00694646"/>
    <w:rsid w:val="00695E3D"/>
    <w:rsid w:val="00696E1D"/>
    <w:rsid w:val="006977B7"/>
    <w:rsid w:val="00697EE6"/>
    <w:rsid w:val="006A1059"/>
    <w:rsid w:val="006A1A9D"/>
    <w:rsid w:val="006A2356"/>
    <w:rsid w:val="006A39AB"/>
    <w:rsid w:val="006A3CC5"/>
    <w:rsid w:val="006A3FF6"/>
    <w:rsid w:val="006A4D04"/>
    <w:rsid w:val="006A532A"/>
    <w:rsid w:val="006A573A"/>
    <w:rsid w:val="006A5C12"/>
    <w:rsid w:val="006A63EC"/>
    <w:rsid w:val="006A649E"/>
    <w:rsid w:val="006A68DA"/>
    <w:rsid w:val="006A7787"/>
    <w:rsid w:val="006A786A"/>
    <w:rsid w:val="006A7892"/>
    <w:rsid w:val="006A7B6D"/>
    <w:rsid w:val="006A7C5F"/>
    <w:rsid w:val="006B06B3"/>
    <w:rsid w:val="006B0BC8"/>
    <w:rsid w:val="006B15A1"/>
    <w:rsid w:val="006B23DB"/>
    <w:rsid w:val="006B5FB1"/>
    <w:rsid w:val="006B6376"/>
    <w:rsid w:val="006B6CCD"/>
    <w:rsid w:val="006B7A5C"/>
    <w:rsid w:val="006C067C"/>
    <w:rsid w:val="006C06D6"/>
    <w:rsid w:val="006C0B6B"/>
    <w:rsid w:val="006C0E43"/>
    <w:rsid w:val="006C207B"/>
    <w:rsid w:val="006C4977"/>
    <w:rsid w:val="006C5D06"/>
    <w:rsid w:val="006C5F77"/>
    <w:rsid w:val="006C62F7"/>
    <w:rsid w:val="006C6C58"/>
    <w:rsid w:val="006C7B0C"/>
    <w:rsid w:val="006D056B"/>
    <w:rsid w:val="006D0B2C"/>
    <w:rsid w:val="006D125F"/>
    <w:rsid w:val="006D1D44"/>
    <w:rsid w:val="006D1D8D"/>
    <w:rsid w:val="006D22AF"/>
    <w:rsid w:val="006D326D"/>
    <w:rsid w:val="006D3AAB"/>
    <w:rsid w:val="006D3BDC"/>
    <w:rsid w:val="006D4BC0"/>
    <w:rsid w:val="006D537D"/>
    <w:rsid w:val="006E078B"/>
    <w:rsid w:val="006E0B10"/>
    <w:rsid w:val="006E1957"/>
    <w:rsid w:val="006E1DF3"/>
    <w:rsid w:val="006E2F9E"/>
    <w:rsid w:val="006E3D54"/>
    <w:rsid w:val="006E4C76"/>
    <w:rsid w:val="006E5BDF"/>
    <w:rsid w:val="006E5F5A"/>
    <w:rsid w:val="006E6278"/>
    <w:rsid w:val="006F0D20"/>
    <w:rsid w:val="006F2128"/>
    <w:rsid w:val="006F25B1"/>
    <w:rsid w:val="006F330B"/>
    <w:rsid w:val="006F3A0F"/>
    <w:rsid w:val="006F3B03"/>
    <w:rsid w:val="006F5464"/>
    <w:rsid w:val="006F567E"/>
    <w:rsid w:val="006F6D90"/>
    <w:rsid w:val="006F794A"/>
    <w:rsid w:val="006F7BD2"/>
    <w:rsid w:val="0070012D"/>
    <w:rsid w:val="007003B3"/>
    <w:rsid w:val="0070099C"/>
    <w:rsid w:val="007025C1"/>
    <w:rsid w:val="00704903"/>
    <w:rsid w:val="00704C4B"/>
    <w:rsid w:val="00704F07"/>
    <w:rsid w:val="007054DE"/>
    <w:rsid w:val="007066AD"/>
    <w:rsid w:val="0070675F"/>
    <w:rsid w:val="00706F09"/>
    <w:rsid w:val="00707005"/>
    <w:rsid w:val="0070755E"/>
    <w:rsid w:val="00710421"/>
    <w:rsid w:val="00710CDE"/>
    <w:rsid w:val="00710E93"/>
    <w:rsid w:val="00710FC9"/>
    <w:rsid w:val="007122B4"/>
    <w:rsid w:val="0071436B"/>
    <w:rsid w:val="00715B9A"/>
    <w:rsid w:val="007163F3"/>
    <w:rsid w:val="00716461"/>
    <w:rsid w:val="00716D87"/>
    <w:rsid w:val="00717516"/>
    <w:rsid w:val="00720282"/>
    <w:rsid w:val="00720AB5"/>
    <w:rsid w:val="00720B49"/>
    <w:rsid w:val="00720CA4"/>
    <w:rsid w:val="007212EF"/>
    <w:rsid w:val="00721554"/>
    <w:rsid w:val="00722B11"/>
    <w:rsid w:val="00722B69"/>
    <w:rsid w:val="00722DF1"/>
    <w:rsid w:val="0072413F"/>
    <w:rsid w:val="00724B52"/>
    <w:rsid w:val="007256DF"/>
    <w:rsid w:val="00725A4B"/>
    <w:rsid w:val="007265F4"/>
    <w:rsid w:val="00726FE8"/>
    <w:rsid w:val="0072747F"/>
    <w:rsid w:val="00730546"/>
    <w:rsid w:val="00730626"/>
    <w:rsid w:val="00730F59"/>
    <w:rsid w:val="007319B2"/>
    <w:rsid w:val="00732480"/>
    <w:rsid w:val="00732517"/>
    <w:rsid w:val="00732780"/>
    <w:rsid w:val="007337CD"/>
    <w:rsid w:val="0073430C"/>
    <w:rsid w:val="00734B16"/>
    <w:rsid w:val="00735DF8"/>
    <w:rsid w:val="00736652"/>
    <w:rsid w:val="00737114"/>
    <w:rsid w:val="00737861"/>
    <w:rsid w:val="00740325"/>
    <w:rsid w:val="00740493"/>
    <w:rsid w:val="00740CB1"/>
    <w:rsid w:val="00741F68"/>
    <w:rsid w:val="0074211A"/>
    <w:rsid w:val="00742912"/>
    <w:rsid w:val="007438FB"/>
    <w:rsid w:val="007443DD"/>
    <w:rsid w:val="00745005"/>
    <w:rsid w:val="007454C4"/>
    <w:rsid w:val="00751336"/>
    <w:rsid w:val="00751B85"/>
    <w:rsid w:val="00751CBC"/>
    <w:rsid w:val="0075245C"/>
    <w:rsid w:val="00752CDF"/>
    <w:rsid w:val="00753290"/>
    <w:rsid w:val="00753F29"/>
    <w:rsid w:val="00754856"/>
    <w:rsid w:val="0075540E"/>
    <w:rsid w:val="00755851"/>
    <w:rsid w:val="00755995"/>
    <w:rsid w:val="00755F0E"/>
    <w:rsid w:val="00756C74"/>
    <w:rsid w:val="00756ED3"/>
    <w:rsid w:val="00760364"/>
    <w:rsid w:val="00760B83"/>
    <w:rsid w:val="00761367"/>
    <w:rsid w:val="00761BC0"/>
    <w:rsid w:val="00761DB2"/>
    <w:rsid w:val="007630A3"/>
    <w:rsid w:val="00763C9D"/>
    <w:rsid w:val="00764691"/>
    <w:rsid w:val="0076498B"/>
    <w:rsid w:val="00764E95"/>
    <w:rsid w:val="007650BD"/>
    <w:rsid w:val="00766AA2"/>
    <w:rsid w:val="00766CB7"/>
    <w:rsid w:val="00767B52"/>
    <w:rsid w:val="007719DA"/>
    <w:rsid w:val="00771E9D"/>
    <w:rsid w:val="00771FFF"/>
    <w:rsid w:val="007723BC"/>
    <w:rsid w:val="007727CA"/>
    <w:rsid w:val="00772F06"/>
    <w:rsid w:val="007731E7"/>
    <w:rsid w:val="00773B47"/>
    <w:rsid w:val="007741E3"/>
    <w:rsid w:val="00774EFA"/>
    <w:rsid w:val="007750FB"/>
    <w:rsid w:val="00776B44"/>
    <w:rsid w:val="00781915"/>
    <w:rsid w:val="00782069"/>
    <w:rsid w:val="00782949"/>
    <w:rsid w:val="00782AF6"/>
    <w:rsid w:val="00782C56"/>
    <w:rsid w:val="00783C2F"/>
    <w:rsid w:val="00784CF9"/>
    <w:rsid w:val="007856A4"/>
    <w:rsid w:val="00785CBD"/>
    <w:rsid w:val="00786C07"/>
    <w:rsid w:val="00786EC7"/>
    <w:rsid w:val="00787216"/>
    <w:rsid w:val="0078751E"/>
    <w:rsid w:val="00787E84"/>
    <w:rsid w:val="00790FCE"/>
    <w:rsid w:val="0079168C"/>
    <w:rsid w:val="00793C2D"/>
    <w:rsid w:val="00796956"/>
    <w:rsid w:val="00797F8E"/>
    <w:rsid w:val="007A0A3E"/>
    <w:rsid w:val="007A0C01"/>
    <w:rsid w:val="007A2D7F"/>
    <w:rsid w:val="007A2FB5"/>
    <w:rsid w:val="007A463F"/>
    <w:rsid w:val="007A56A0"/>
    <w:rsid w:val="007A5E02"/>
    <w:rsid w:val="007A5EBC"/>
    <w:rsid w:val="007A6323"/>
    <w:rsid w:val="007A6F2D"/>
    <w:rsid w:val="007A7FB1"/>
    <w:rsid w:val="007B0D4F"/>
    <w:rsid w:val="007B1194"/>
    <w:rsid w:val="007B259D"/>
    <w:rsid w:val="007B2AF2"/>
    <w:rsid w:val="007B3968"/>
    <w:rsid w:val="007B4879"/>
    <w:rsid w:val="007B5DCD"/>
    <w:rsid w:val="007B5E1A"/>
    <w:rsid w:val="007B671D"/>
    <w:rsid w:val="007B676D"/>
    <w:rsid w:val="007B6CFC"/>
    <w:rsid w:val="007B71E6"/>
    <w:rsid w:val="007C0ABF"/>
    <w:rsid w:val="007C2A7A"/>
    <w:rsid w:val="007C2EC1"/>
    <w:rsid w:val="007C2FAB"/>
    <w:rsid w:val="007C36D5"/>
    <w:rsid w:val="007C3950"/>
    <w:rsid w:val="007C3D1F"/>
    <w:rsid w:val="007C41CF"/>
    <w:rsid w:val="007C458D"/>
    <w:rsid w:val="007C464D"/>
    <w:rsid w:val="007C7543"/>
    <w:rsid w:val="007C770B"/>
    <w:rsid w:val="007D0742"/>
    <w:rsid w:val="007D0C57"/>
    <w:rsid w:val="007D1471"/>
    <w:rsid w:val="007D3854"/>
    <w:rsid w:val="007D4AC6"/>
    <w:rsid w:val="007D646F"/>
    <w:rsid w:val="007D69DA"/>
    <w:rsid w:val="007D6E2A"/>
    <w:rsid w:val="007D70A5"/>
    <w:rsid w:val="007D7589"/>
    <w:rsid w:val="007D7EC8"/>
    <w:rsid w:val="007E00CB"/>
    <w:rsid w:val="007E073E"/>
    <w:rsid w:val="007E13FB"/>
    <w:rsid w:val="007E1D87"/>
    <w:rsid w:val="007E1DA6"/>
    <w:rsid w:val="007E26A1"/>
    <w:rsid w:val="007E3E63"/>
    <w:rsid w:val="007E4F00"/>
    <w:rsid w:val="007E5ADF"/>
    <w:rsid w:val="007E5B1A"/>
    <w:rsid w:val="007E650C"/>
    <w:rsid w:val="007F3A86"/>
    <w:rsid w:val="007F4F52"/>
    <w:rsid w:val="007F5C37"/>
    <w:rsid w:val="007F5C78"/>
    <w:rsid w:val="007F7532"/>
    <w:rsid w:val="00800826"/>
    <w:rsid w:val="0080109B"/>
    <w:rsid w:val="00801EDA"/>
    <w:rsid w:val="00802406"/>
    <w:rsid w:val="0080294A"/>
    <w:rsid w:val="00802F8F"/>
    <w:rsid w:val="00803061"/>
    <w:rsid w:val="008040EA"/>
    <w:rsid w:val="00805DF2"/>
    <w:rsid w:val="008066C8"/>
    <w:rsid w:val="00807299"/>
    <w:rsid w:val="00807701"/>
    <w:rsid w:val="00810457"/>
    <w:rsid w:val="0081054C"/>
    <w:rsid w:val="00811723"/>
    <w:rsid w:val="00811AED"/>
    <w:rsid w:val="008120A6"/>
    <w:rsid w:val="0081342B"/>
    <w:rsid w:val="00813FF0"/>
    <w:rsid w:val="00814C74"/>
    <w:rsid w:val="00815CE2"/>
    <w:rsid w:val="00815E96"/>
    <w:rsid w:val="00816C26"/>
    <w:rsid w:val="00817253"/>
    <w:rsid w:val="00822865"/>
    <w:rsid w:val="0082358B"/>
    <w:rsid w:val="008236AB"/>
    <w:rsid w:val="00824119"/>
    <w:rsid w:val="008246C8"/>
    <w:rsid w:val="00824BE4"/>
    <w:rsid w:val="00824E1D"/>
    <w:rsid w:val="0082502E"/>
    <w:rsid w:val="00825266"/>
    <w:rsid w:val="00825609"/>
    <w:rsid w:val="00825761"/>
    <w:rsid w:val="00825FE0"/>
    <w:rsid w:val="00826085"/>
    <w:rsid w:val="00830A49"/>
    <w:rsid w:val="00831873"/>
    <w:rsid w:val="00831C40"/>
    <w:rsid w:val="00831E42"/>
    <w:rsid w:val="00833078"/>
    <w:rsid w:val="00833197"/>
    <w:rsid w:val="008331B3"/>
    <w:rsid w:val="00833757"/>
    <w:rsid w:val="00834418"/>
    <w:rsid w:val="008354BB"/>
    <w:rsid w:val="00835BC6"/>
    <w:rsid w:val="00836A45"/>
    <w:rsid w:val="00836FB6"/>
    <w:rsid w:val="008372CF"/>
    <w:rsid w:val="008376EF"/>
    <w:rsid w:val="00837D10"/>
    <w:rsid w:val="00837EDF"/>
    <w:rsid w:val="0084053D"/>
    <w:rsid w:val="00840AFF"/>
    <w:rsid w:val="00841A1D"/>
    <w:rsid w:val="00842655"/>
    <w:rsid w:val="008428E8"/>
    <w:rsid w:val="0084353D"/>
    <w:rsid w:val="008436CF"/>
    <w:rsid w:val="00843FF8"/>
    <w:rsid w:val="00844B42"/>
    <w:rsid w:val="0084591B"/>
    <w:rsid w:val="008470D0"/>
    <w:rsid w:val="00847839"/>
    <w:rsid w:val="00850FED"/>
    <w:rsid w:val="008518F7"/>
    <w:rsid w:val="0085210F"/>
    <w:rsid w:val="008524E3"/>
    <w:rsid w:val="00852658"/>
    <w:rsid w:val="0085274E"/>
    <w:rsid w:val="00853CE5"/>
    <w:rsid w:val="008548BB"/>
    <w:rsid w:val="00855D09"/>
    <w:rsid w:val="00855DA0"/>
    <w:rsid w:val="008604FB"/>
    <w:rsid w:val="008616F6"/>
    <w:rsid w:val="0086290C"/>
    <w:rsid w:val="00863731"/>
    <w:rsid w:val="00865AE4"/>
    <w:rsid w:val="00867306"/>
    <w:rsid w:val="008709B8"/>
    <w:rsid w:val="00871303"/>
    <w:rsid w:val="00871C0A"/>
    <w:rsid w:val="00871D1C"/>
    <w:rsid w:val="008727FB"/>
    <w:rsid w:val="008730FA"/>
    <w:rsid w:val="00874411"/>
    <w:rsid w:val="00875369"/>
    <w:rsid w:val="008758FD"/>
    <w:rsid w:val="00876429"/>
    <w:rsid w:val="008766B5"/>
    <w:rsid w:val="008773FA"/>
    <w:rsid w:val="008774D3"/>
    <w:rsid w:val="00880D43"/>
    <w:rsid w:val="00880D7C"/>
    <w:rsid w:val="00880DCC"/>
    <w:rsid w:val="00881633"/>
    <w:rsid w:val="00882DF7"/>
    <w:rsid w:val="00883914"/>
    <w:rsid w:val="00885917"/>
    <w:rsid w:val="00886055"/>
    <w:rsid w:val="0088723C"/>
    <w:rsid w:val="0089068E"/>
    <w:rsid w:val="008911E9"/>
    <w:rsid w:val="00891BA5"/>
    <w:rsid w:val="00891BB9"/>
    <w:rsid w:val="00892B2C"/>
    <w:rsid w:val="00895F0E"/>
    <w:rsid w:val="00896064"/>
    <w:rsid w:val="00896B72"/>
    <w:rsid w:val="00897073"/>
    <w:rsid w:val="008970DF"/>
    <w:rsid w:val="008A4EEB"/>
    <w:rsid w:val="008A5E6E"/>
    <w:rsid w:val="008A6272"/>
    <w:rsid w:val="008A643E"/>
    <w:rsid w:val="008A7455"/>
    <w:rsid w:val="008A7537"/>
    <w:rsid w:val="008B0B06"/>
    <w:rsid w:val="008B0D27"/>
    <w:rsid w:val="008B151D"/>
    <w:rsid w:val="008B20F6"/>
    <w:rsid w:val="008B2D8C"/>
    <w:rsid w:val="008B306B"/>
    <w:rsid w:val="008B4B12"/>
    <w:rsid w:val="008B4CE2"/>
    <w:rsid w:val="008B4F65"/>
    <w:rsid w:val="008B5152"/>
    <w:rsid w:val="008B5D36"/>
    <w:rsid w:val="008B6EC8"/>
    <w:rsid w:val="008C0987"/>
    <w:rsid w:val="008C0DDE"/>
    <w:rsid w:val="008C1D69"/>
    <w:rsid w:val="008C2335"/>
    <w:rsid w:val="008C4ADE"/>
    <w:rsid w:val="008C4BF1"/>
    <w:rsid w:val="008C6109"/>
    <w:rsid w:val="008C7364"/>
    <w:rsid w:val="008D131D"/>
    <w:rsid w:val="008D1ED2"/>
    <w:rsid w:val="008D4112"/>
    <w:rsid w:val="008D42AA"/>
    <w:rsid w:val="008D461E"/>
    <w:rsid w:val="008D47A6"/>
    <w:rsid w:val="008D6172"/>
    <w:rsid w:val="008D75D0"/>
    <w:rsid w:val="008D7846"/>
    <w:rsid w:val="008E0809"/>
    <w:rsid w:val="008E0AB4"/>
    <w:rsid w:val="008E22C7"/>
    <w:rsid w:val="008E372F"/>
    <w:rsid w:val="008E3DBD"/>
    <w:rsid w:val="008E58B1"/>
    <w:rsid w:val="008F02D8"/>
    <w:rsid w:val="008F083D"/>
    <w:rsid w:val="008F0E73"/>
    <w:rsid w:val="008F113A"/>
    <w:rsid w:val="008F1701"/>
    <w:rsid w:val="008F2255"/>
    <w:rsid w:val="008F456B"/>
    <w:rsid w:val="008F5766"/>
    <w:rsid w:val="008F6CA3"/>
    <w:rsid w:val="008F7632"/>
    <w:rsid w:val="008F7BDA"/>
    <w:rsid w:val="00902707"/>
    <w:rsid w:val="00902B75"/>
    <w:rsid w:val="0090425B"/>
    <w:rsid w:val="00904C5B"/>
    <w:rsid w:val="009061E0"/>
    <w:rsid w:val="0090727F"/>
    <w:rsid w:val="00907EC0"/>
    <w:rsid w:val="00910255"/>
    <w:rsid w:val="00910704"/>
    <w:rsid w:val="009113F6"/>
    <w:rsid w:val="0091155B"/>
    <w:rsid w:val="00911EB5"/>
    <w:rsid w:val="009124E9"/>
    <w:rsid w:val="00913146"/>
    <w:rsid w:val="0091324A"/>
    <w:rsid w:val="009134D7"/>
    <w:rsid w:val="009153E2"/>
    <w:rsid w:val="009162C1"/>
    <w:rsid w:val="00916C0D"/>
    <w:rsid w:val="009171D9"/>
    <w:rsid w:val="00917655"/>
    <w:rsid w:val="00917A0A"/>
    <w:rsid w:val="0092044A"/>
    <w:rsid w:val="009206F5"/>
    <w:rsid w:val="00921054"/>
    <w:rsid w:val="00921A7B"/>
    <w:rsid w:val="00923E55"/>
    <w:rsid w:val="009249A0"/>
    <w:rsid w:val="00924BF7"/>
    <w:rsid w:val="00925933"/>
    <w:rsid w:val="00925C8D"/>
    <w:rsid w:val="009265DD"/>
    <w:rsid w:val="009272DC"/>
    <w:rsid w:val="0092762E"/>
    <w:rsid w:val="00927E24"/>
    <w:rsid w:val="00927F4D"/>
    <w:rsid w:val="00930207"/>
    <w:rsid w:val="009309F8"/>
    <w:rsid w:val="00930AA7"/>
    <w:rsid w:val="0093132D"/>
    <w:rsid w:val="00932AC4"/>
    <w:rsid w:val="00932F28"/>
    <w:rsid w:val="00934AC4"/>
    <w:rsid w:val="00935D4F"/>
    <w:rsid w:val="0094010C"/>
    <w:rsid w:val="009412A9"/>
    <w:rsid w:val="00941614"/>
    <w:rsid w:val="0094271A"/>
    <w:rsid w:val="00944013"/>
    <w:rsid w:val="009444D1"/>
    <w:rsid w:val="0094617A"/>
    <w:rsid w:val="00946F69"/>
    <w:rsid w:val="0094732B"/>
    <w:rsid w:val="00950383"/>
    <w:rsid w:val="00952E11"/>
    <w:rsid w:val="00953B79"/>
    <w:rsid w:val="0095431A"/>
    <w:rsid w:val="00955B91"/>
    <w:rsid w:val="00955DD2"/>
    <w:rsid w:val="009565AF"/>
    <w:rsid w:val="00956665"/>
    <w:rsid w:val="00957108"/>
    <w:rsid w:val="00957311"/>
    <w:rsid w:val="00957AAE"/>
    <w:rsid w:val="00960583"/>
    <w:rsid w:val="0096092C"/>
    <w:rsid w:val="00960CD5"/>
    <w:rsid w:val="00960ED3"/>
    <w:rsid w:val="009622E7"/>
    <w:rsid w:val="00962364"/>
    <w:rsid w:val="00962496"/>
    <w:rsid w:val="00962B7F"/>
    <w:rsid w:val="00963AFB"/>
    <w:rsid w:val="00963BB8"/>
    <w:rsid w:val="00963FF7"/>
    <w:rsid w:val="00964CF9"/>
    <w:rsid w:val="009652B6"/>
    <w:rsid w:val="00966055"/>
    <w:rsid w:val="009676BF"/>
    <w:rsid w:val="009714D4"/>
    <w:rsid w:val="009724A7"/>
    <w:rsid w:val="00972576"/>
    <w:rsid w:val="00974B57"/>
    <w:rsid w:val="00975FA4"/>
    <w:rsid w:val="0097619A"/>
    <w:rsid w:val="00976968"/>
    <w:rsid w:val="00976F26"/>
    <w:rsid w:val="009776D5"/>
    <w:rsid w:val="00977BBC"/>
    <w:rsid w:val="00980251"/>
    <w:rsid w:val="0098084B"/>
    <w:rsid w:val="00980B47"/>
    <w:rsid w:val="009827F1"/>
    <w:rsid w:val="00983D85"/>
    <w:rsid w:val="009848B5"/>
    <w:rsid w:val="00984ADC"/>
    <w:rsid w:val="00985BC4"/>
    <w:rsid w:val="00985CA5"/>
    <w:rsid w:val="00985E52"/>
    <w:rsid w:val="00987CCE"/>
    <w:rsid w:val="00990BD6"/>
    <w:rsid w:val="009939AA"/>
    <w:rsid w:val="00993B41"/>
    <w:rsid w:val="00994148"/>
    <w:rsid w:val="009944C6"/>
    <w:rsid w:val="0099470F"/>
    <w:rsid w:val="009950E2"/>
    <w:rsid w:val="00995231"/>
    <w:rsid w:val="00995B54"/>
    <w:rsid w:val="0099704D"/>
    <w:rsid w:val="009A034B"/>
    <w:rsid w:val="009A0AF5"/>
    <w:rsid w:val="009A1007"/>
    <w:rsid w:val="009A1E84"/>
    <w:rsid w:val="009A1ED6"/>
    <w:rsid w:val="009A2941"/>
    <w:rsid w:val="009A29A3"/>
    <w:rsid w:val="009A2A2A"/>
    <w:rsid w:val="009A3C2F"/>
    <w:rsid w:val="009A3F2C"/>
    <w:rsid w:val="009A484A"/>
    <w:rsid w:val="009A5443"/>
    <w:rsid w:val="009A5C92"/>
    <w:rsid w:val="009A64FE"/>
    <w:rsid w:val="009A6DE5"/>
    <w:rsid w:val="009A7D3F"/>
    <w:rsid w:val="009B0873"/>
    <w:rsid w:val="009B1599"/>
    <w:rsid w:val="009B204F"/>
    <w:rsid w:val="009B27E3"/>
    <w:rsid w:val="009B3293"/>
    <w:rsid w:val="009B3BB7"/>
    <w:rsid w:val="009B4620"/>
    <w:rsid w:val="009B6DCE"/>
    <w:rsid w:val="009C03E0"/>
    <w:rsid w:val="009C0407"/>
    <w:rsid w:val="009C0587"/>
    <w:rsid w:val="009C0D9A"/>
    <w:rsid w:val="009C10DA"/>
    <w:rsid w:val="009C2266"/>
    <w:rsid w:val="009C37C2"/>
    <w:rsid w:val="009C3EAD"/>
    <w:rsid w:val="009C40D3"/>
    <w:rsid w:val="009C4161"/>
    <w:rsid w:val="009C450C"/>
    <w:rsid w:val="009C4C39"/>
    <w:rsid w:val="009C54D2"/>
    <w:rsid w:val="009C6C4F"/>
    <w:rsid w:val="009C70FA"/>
    <w:rsid w:val="009C7610"/>
    <w:rsid w:val="009D2163"/>
    <w:rsid w:val="009D23E5"/>
    <w:rsid w:val="009D37C4"/>
    <w:rsid w:val="009D61FC"/>
    <w:rsid w:val="009D620D"/>
    <w:rsid w:val="009D698C"/>
    <w:rsid w:val="009D6D9B"/>
    <w:rsid w:val="009D7800"/>
    <w:rsid w:val="009D7B99"/>
    <w:rsid w:val="009E025B"/>
    <w:rsid w:val="009E0BBE"/>
    <w:rsid w:val="009E0F47"/>
    <w:rsid w:val="009E26F7"/>
    <w:rsid w:val="009E2920"/>
    <w:rsid w:val="009E3819"/>
    <w:rsid w:val="009E5260"/>
    <w:rsid w:val="009E53C4"/>
    <w:rsid w:val="009E5726"/>
    <w:rsid w:val="009E6427"/>
    <w:rsid w:val="009E7CBE"/>
    <w:rsid w:val="009F044E"/>
    <w:rsid w:val="009F0501"/>
    <w:rsid w:val="009F11C6"/>
    <w:rsid w:val="009F1914"/>
    <w:rsid w:val="009F1A5B"/>
    <w:rsid w:val="009F2EB8"/>
    <w:rsid w:val="009F36E5"/>
    <w:rsid w:val="009F64AA"/>
    <w:rsid w:val="00A000E7"/>
    <w:rsid w:val="00A00DD8"/>
    <w:rsid w:val="00A0123A"/>
    <w:rsid w:val="00A01DED"/>
    <w:rsid w:val="00A0232C"/>
    <w:rsid w:val="00A02FE7"/>
    <w:rsid w:val="00A03DDE"/>
    <w:rsid w:val="00A04F9B"/>
    <w:rsid w:val="00A06A7B"/>
    <w:rsid w:val="00A10221"/>
    <w:rsid w:val="00A103F4"/>
    <w:rsid w:val="00A10D5F"/>
    <w:rsid w:val="00A10DC4"/>
    <w:rsid w:val="00A119B7"/>
    <w:rsid w:val="00A12430"/>
    <w:rsid w:val="00A125CC"/>
    <w:rsid w:val="00A145CD"/>
    <w:rsid w:val="00A15944"/>
    <w:rsid w:val="00A15C66"/>
    <w:rsid w:val="00A15D7E"/>
    <w:rsid w:val="00A15F7E"/>
    <w:rsid w:val="00A16276"/>
    <w:rsid w:val="00A1629E"/>
    <w:rsid w:val="00A16468"/>
    <w:rsid w:val="00A172C9"/>
    <w:rsid w:val="00A174E4"/>
    <w:rsid w:val="00A17B0C"/>
    <w:rsid w:val="00A20575"/>
    <w:rsid w:val="00A20654"/>
    <w:rsid w:val="00A20725"/>
    <w:rsid w:val="00A20A42"/>
    <w:rsid w:val="00A20CDB"/>
    <w:rsid w:val="00A2107F"/>
    <w:rsid w:val="00A2204B"/>
    <w:rsid w:val="00A22682"/>
    <w:rsid w:val="00A22A07"/>
    <w:rsid w:val="00A22B78"/>
    <w:rsid w:val="00A235F5"/>
    <w:rsid w:val="00A2372C"/>
    <w:rsid w:val="00A24A45"/>
    <w:rsid w:val="00A2669D"/>
    <w:rsid w:val="00A30A4E"/>
    <w:rsid w:val="00A323F0"/>
    <w:rsid w:val="00A3247A"/>
    <w:rsid w:val="00A32708"/>
    <w:rsid w:val="00A33398"/>
    <w:rsid w:val="00A34EA9"/>
    <w:rsid w:val="00A34F78"/>
    <w:rsid w:val="00A36C83"/>
    <w:rsid w:val="00A37143"/>
    <w:rsid w:val="00A37723"/>
    <w:rsid w:val="00A37A0A"/>
    <w:rsid w:val="00A37D3B"/>
    <w:rsid w:val="00A41FDF"/>
    <w:rsid w:val="00A42F1D"/>
    <w:rsid w:val="00A42F95"/>
    <w:rsid w:val="00A431B0"/>
    <w:rsid w:val="00A434B3"/>
    <w:rsid w:val="00A436D5"/>
    <w:rsid w:val="00A437FC"/>
    <w:rsid w:val="00A457CE"/>
    <w:rsid w:val="00A458B0"/>
    <w:rsid w:val="00A459E0"/>
    <w:rsid w:val="00A46551"/>
    <w:rsid w:val="00A465E7"/>
    <w:rsid w:val="00A5139D"/>
    <w:rsid w:val="00A51EED"/>
    <w:rsid w:val="00A54AFD"/>
    <w:rsid w:val="00A552A6"/>
    <w:rsid w:val="00A55CF1"/>
    <w:rsid w:val="00A56839"/>
    <w:rsid w:val="00A56B85"/>
    <w:rsid w:val="00A573FC"/>
    <w:rsid w:val="00A57630"/>
    <w:rsid w:val="00A57B0B"/>
    <w:rsid w:val="00A601A4"/>
    <w:rsid w:val="00A622C8"/>
    <w:rsid w:val="00A6388B"/>
    <w:rsid w:val="00A63B65"/>
    <w:rsid w:val="00A644D7"/>
    <w:rsid w:val="00A6455C"/>
    <w:rsid w:val="00A64748"/>
    <w:rsid w:val="00A648B4"/>
    <w:rsid w:val="00A65A87"/>
    <w:rsid w:val="00A67DDC"/>
    <w:rsid w:val="00A70306"/>
    <w:rsid w:val="00A70839"/>
    <w:rsid w:val="00A70CFF"/>
    <w:rsid w:val="00A7189F"/>
    <w:rsid w:val="00A71F03"/>
    <w:rsid w:val="00A7426F"/>
    <w:rsid w:val="00A74578"/>
    <w:rsid w:val="00A745CD"/>
    <w:rsid w:val="00A75B9E"/>
    <w:rsid w:val="00A76046"/>
    <w:rsid w:val="00A76620"/>
    <w:rsid w:val="00A7785F"/>
    <w:rsid w:val="00A80504"/>
    <w:rsid w:val="00A8055E"/>
    <w:rsid w:val="00A80682"/>
    <w:rsid w:val="00A81689"/>
    <w:rsid w:val="00A84032"/>
    <w:rsid w:val="00A84941"/>
    <w:rsid w:val="00A84A17"/>
    <w:rsid w:val="00A84B9F"/>
    <w:rsid w:val="00A84BBF"/>
    <w:rsid w:val="00A85602"/>
    <w:rsid w:val="00A85DA1"/>
    <w:rsid w:val="00A8661F"/>
    <w:rsid w:val="00A86EDB"/>
    <w:rsid w:val="00A8725F"/>
    <w:rsid w:val="00A87745"/>
    <w:rsid w:val="00A91F54"/>
    <w:rsid w:val="00A91FC9"/>
    <w:rsid w:val="00A92427"/>
    <w:rsid w:val="00A92E89"/>
    <w:rsid w:val="00A93AA3"/>
    <w:rsid w:val="00A94D70"/>
    <w:rsid w:val="00A97824"/>
    <w:rsid w:val="00AA0591"/>
    <w:rsid w:val="00AA0BF8"/>
    <w:rsid w:val="00AA0D5A"/>
    <w:rsid w:val="00AA1FE9"/>
    <w:rsid w:val="00AA3248"/>
    <w:rsid w:val="00AA3847"/>
    <w:rsid w:val="00AA463D"/>
    <w:rsid w:val="00AA4926"/>
    <w:rsid w:val="00AA66AF"/>
    <w:rsid w:val="00AA6980"/>
    <w:rsid w:val="00AA6F58"/>
    <w:rsid w:val="00AA7F8D"/>
    <w:rsid w:val="00AB1614"/>
    <w:rsid w:val="00AB198B"/>
    <w:rsid w:val="00AB1A02"/>
    <w:rsid w:val="00AB1A08"/>
    <w:rsid w:val="00AB1C77"/>
    <w:rsid w:val="00AB39B6"/>
    <w:rsid w:val="00AB4B9F"/>
    <w:rsid w:val="00AB55C9"/>
    <w:rsid w:val="00AB66F8"/>
    <w:rsid w:val="00AB6A5D"/>
    <w:rsid w:val="00AB70DC"/>
    <w:rsid w:val="00AB7E2E"/>
    <w:rsid w:val="00AB7E5C"/>
    <w:rsid w:val="00AC1307"/>
    <w:rsid w:val="00AC224F"/>
    <w:rsid w:val="00AC2DB1"/>
    <w:rsid w:val="00AC4549"/>
    <w:rsid w:val="00AC5FE1"/>
    <w:rsid w:val="00AC6962"/>
    <w:rsid w:val="00AC6FFB"/>
    <w:rsid w:val="00AC7F4F"/>
    <w:rsid w:val="00AD05FB"/>
    <w:rsid w:val="00AD11CE"/>
    <w:rsid w:val="00AD1DFC"/>
    <w:rsid w:val="00AD2049"/>
    <w:rsid w:val="00AD24AD"/>
    <w:rsid w:val="00AD2CD3"/>
    <w:rsid w:val="00AD32AE"/>
    <w:rsid w:val="00AD3BEB"/>
    <w:rsid w:val="00AD5584"/>
    <w:rsid w:val="00AD59E0"/>
    <w:rsid w:val="00AD5CEC"/>
    <w:rsid w:val="00AD5E02"/>
    <w:rsid w:val="00AD6090"/>
    <w:rsid w:val="00AE0DAA"/>
    <w:rsid w:val="00AE1429"/>
    <w:rsid w:val="00AE214D"/>
    <w:rsid w:val="00AE2159"/>
    <w:rsid w:val="00AE4745"/>
    <w:rsid w:val="00AE598D"/>
    <w:rsid w:val="00AE5A3C"/>
    <w:rsid w:val="00AE5B82"/>
    <w:rsid w:val="00AE5D03"/>
    <w:rsid w:val="00AE5D68"/>
    <w:rsid w:val="00AE6C36"/>
    <w:rsid w:val="00AE7CA5"/>
    <w:rsid w:val="00AF0175"/>
    <w:rsid w:val="00AF0F88"/>
    <w:rsid w:val="00AF295C"/>
    <w:rsid w:val="00AF2D8A"/>
    <w:rsid w:val="00AF2E7F"/>
    <w:rsid w:val="00AF3858"/>
    <w:rsid w:val="00AF6FCC"/>
    <w:rsid w:val="00AF7909"/>
    <w:rsid w:val="00AF7D6D"/>
    <w:rsid w:val="00B00416"/>
    <w:rsid w:val="00B00A33"/>
    <w:rsid w:val="00B016F2"/>
    <w:rsid w:val="00B01743"/>
    <w:rsid w:val="00B02903"/>
    <w:rsid w:val="00B04428"/>
    <w:rsid w:val="00B047A3"/>
    <w:rsid w:val="00B06646"/>
    <w:rsid w:val="00B06B42"/>
    <w:rsid w:val="00B06D7A"/>
    <w:rsid w:val="00B12645"/>
    <w:rsid w:val="00B12AA1"/>
    <w:rsid w:val="00B13525"/>
    <w:rsid w:val="00B150A2"/>
    <w:rsid w:val="00B17F4C"/>
    <w:rsid w:val="00B201CA"/>
    <w:rsid w:val="00B202FF"/>
    <w:rsid w:val="00B2122E"/>
    <w:rsid w:val="00B21BEF"/>
    <w:rsid w:val="00B22BFB"/>
    <w:rsid w:val="00B2375E"/>
    <w:rsid w:val="00B246F1"/>
    <w:rsid w:val="00B24C9E"/>
    <w:rsid w:val="00B262C9"/>
    <w:rsid w:val="00B26D5E"/>
    <w:rsid w:val="00B300F5"/>
    <w:rsid w:val="00B302F0"/>
    <w:rsid w:val="00B32BB4"/>
    <w:rsid w:val="00B32FA3"/>
    <w:rsid w:val="00B341B8"/>
    <w:rsid w:val="00B3439C"/>
    <w:rsid w:val="00B344CE"/>
    <w:rsid w:val="00B34EFF"/>
    <w:rsid w:val="00B357DA"/>
    <w:rsid w:val="00B36683"/>
    <w:rsid w:val="00B36863"/>
    <w:rsid w:val="00B405EC"/>
    <w:rsid w:val="00B4097F"/>
    <w:rsid w:val="00B40F7A"/>
    <w:rsid w:val="00B41EC2"/>
    <w:rsid w:val="00B41F22"/>
    <w:rsid w:val="00B42098"/>
    <w:rsid w:val="00B42272"/>
    <w:rsid w:val="00B42859"/>
    <w:rsid w:val="00B42AF5"/>
    <w:rsid w:val="00B4320E"/>
    <w:rsid w:val="00B438A0"/>
    <w:rsid w:val="00B43CA6"/>
    <w:rsid w:val="00B43EC0"/>
    <w:rsid w:val="00B44930"/>
    <w:rsid w:val="00B4538A"/>
    <w:rsid w:val="00B465F6"/>
    <w:rsid w:val="00B4667E"/>
    <w:rsid w:val="00B46DE0"/>
    <w:rsid w:val="00B515BC"/>
    <w:rsid w:val="00B51705"/>
    <w:rsid w:val="00B53116"/>
    <w:rsid w:val="00B536DB"/>
    <w:rsid w:val="00B53B71"/>
    <w:rsid w:val="00B54935"/>
    <w:rsid w:val="00B5503F"/>
    <w:rsid w:val="00B550A3"/>
    <w:rsid w:val="00B573D4"/>
    <w:rsid w:val="00B6071E"/>
    <w:rsid w:val="00B61869"/>
    <w:rsid w:val="00B62B88"/>
    <w:rsid w:val="00B64864"/>
    <w:rsid w:val="00B64AD8"/>
    <w:rsid w:val="00B6612D"/>
    <w:rsid w:val="00B661FE"/>
    <w:rsid w:val="00B6645D"/>
    <w:rsid w:val="00B671A2"/>
    <w:rsid w:val="00B672AD"/>
    <w:rsid w:val="00B679B4"/>
    <w:rsid w:val="00B71D27"/>
    <w:rsid w:val="00B72B33"/>
    <w:rsid w:val="00B7475A"/>
    <w:rsid w:val="00B748DD"/>
    <w:rsid w:val="00B74982"/>
    <w:rsid w:val="00B74E32"/>
    <w:rsid w:val="00B75D1D"/>
    <w:rsid w:val="00B769EE"/>
    <w:rsid w:val="00B76DDE"/>
    <w:rsid w:val="00B76F80"/>
    <w:rsid w:val="00B77BF8"/>
    <w:rsid w:val="00B802B1"/>
    <w:rsid w:val="00B80699"/>
    <w:rsid w:val="00B80AF8"/>
    <w:rsid w:val="00B81E41"/>
    <w:rsid w:val="00B829C7"/>
    <w:rsid w:val="00B863A6"/>
    <w:rsid w:val="00B86A0C"/>
    <w:rsid w:val="00B872BA"/>
    <w:rsid w:val="00B90B8D"/>
    <w:rsid w:val="00B92605"/>
    <w:rsid w:val="00B93184"/>
    <w:rsid w:val="00B93E5E"/>
    <w:rsid w:val="00B969D5"/>
    <w:rsid w:val="00B97828"/>
    <w:rsid w:val="00BA1A80"/>
    <w:rsid w:val="00BA1E49"/>
    <w:rsid w:val="00BA30A0"/>
    <w:rsid w:val="00BA3B63"/>
    <w:rsid w:val="00BA4837"/>
    <w:rsid w:val="00BA5877"/>
    <w:rsid w:val="00BA5ACE"/>
    <w:rsid w:val="00BA694B"/>
    <w:rsid w:val="00BA6970"/>
    <w:rsid w:val="00BA7B92"/>
    <w:rsid w:val="00BB0FE5"/>
    <w:rsid w:val="00BB261B"/>
    <w:rsid w:val="00BB3016"/>
    <w:rsid w:val="00BB31D5"/>
    <w:rsid w:val="00BB33AC"/>
    <w:rsid w:val="00BB4F99"/>
    <w:rsid w:val="00BB5134"/>
    <w:rsid w:val="00BB5395"/>
    <w:rsid w:val="00BB60ED"/>
    <w:rsid w:val="00BB6C82"/>
    <w:rsid w:val="00BB7841"/>
    <w:rsid w:val="00BC02DC"/>
    <w:rsid w:val="00BC032B"/>
    <w:rsid w:val="00BC273F"/>
    <w:rsid w:val="00BC4185"/>
    <w:rsid w:val="00BC44A7"/>
    <w:rsid w:val="00BC5BDE"/>
    <w:rsid w:val="00BC675F"/>
    <w:rsid w:val="00BC6DAF"/>
    <w:rsid w:val="00BC73D7"/>
    <w:rsid w:val="00BD1019"/>
    <w:rsid w:val="00BD1193"/>
    <w:rsid w:val="00BD2BE5"/>
    <w:rsid w:val="00BD4329"/>
    <w:rsid w:val="00BD4F06"/>
    <w:rsid w:val="00BD518E"/>
    <w:rsid w:val="00BD5489"/>
    <w:rsid w:val="00BD5F6C"/>
    <w:rsid w:val="00BD7F5D"/>
    <w:rsid w:val="00BE15F9"/>
    <w:rsid w:val="00BE250D"/>
    <w:rsid w:val="00BE269F"/>
    <w:rsid w:val="00BE2777"/>
    <w:rsid w:val="00BE3C22"/>
    <w:rsid w:val="00BE3FB2"/>
    <w:rsid w:val="00BE422A"/>
    <w:rsid w:val="00BE55CB"/>
    <w:rsid w:val="00BE5C64"/>
    <w:rsid w:val="00BE5D1F"/>
    <w:rsid w:val="00BE639D"/>
    <w:rsid w:val="00BE6D10"/>
    <w:rsid w:val="00BE7323"/>
    <w:rsid w:val="00BE7781"/>
    <w:rsid w:val="00BE79D5"/>
    <w:rsid w:val="00BF0593"/>
    <w:rsid w:val="00BF1575"/>
    <w:rsid w:val="00BF208E"/>
    <w:rsid w:val="00BF319C"/>
    <w:rsid w:val="00BF376D"/>
    <w:rsid w:val="00BF3C8A"/>
    <w:rsid w:val="00BF3F2A"/>
    <w:rsid w:val="00BF4D84"/>
    <w:rsid w:val="00BF5C6F"/>
    <w:rsid w:val="00BF5EB1"/>
    <w:rsid w:val="00BF6516"/>
    <w:rsid w:val="00BF7E57"/>
    <w:rsid w:val="00C00928"/>
    <w:rsid w:val="00C02F05"/>
    <w:rsid w:val="00C032F9"/>
    <w:rsid w:val="00C0340B"/>
    <w:rsid w:val="00C040F0"/>
    <w:rsid w:val="00C04B58"/>
    <w:rsid w:val="00C04C80"/>
    <w:rsid w:val="00C05994"/>
    <w:rsid w:val="00C06B69"/>
    <w:rsid w:val="00C06C31"/>
    <w:rsid w:val="00C1149C"/>
    <w:rsid w:val="00C11CF0"/>
    <w:rsid w:val="00C12656"/>
    <w:rsid w:val="00C12BD1"/>
    <w:rsid w:val="00C12F3E"/>
    <w:rsid w:val="00C1315F"/>
    <w:rsid w:val="00C159D9"/>
    <w:rsid w:val="00C160AA"/>
    <w:rsid w:val="00C160FA"/>
    <w:rsid w:val="00C2275D"/>
    <w:rsid w:val="00C22B2B"/>
    <w:rsid w:val="00C23496"/>
    <w:rsid w:val="00C24455"/>
    <w:rsid w:val="00C24B93"/>
    <w:rsid w:val="00C24BB4"/>
    <w:rsid w:val="00C24D4E"/>
    <w:rsid w:val="00C24F2C"/>
    <w:rsid w:val="00C26706"/>
    <w:rsid w:val="00C26CBE"/>
    <w:rsid w:val="00C26D60"/>
    <w:rsid w:val="00C26F74"/>
    <w:rsid w:val="00C30368"/>
    <w:rsid w:val="00C3049E"/>
    <w:rsid w:val="00C30E75"/>
    <w:rsid w:val="00C30EBE"/>
    <w:rsid w:val="00C31B7D"/>
    <w:rsid w:val="00C3209C"/>
    <w:rsid w:val="00C34BCE"/>
    <w:rsid w:val="00C3687E"/>
    <w:rsid w:val="00C36E9E"/>
    <w:rsid w:val="00C37463"/>
    <w:rsid w:val="00C37B5A"/>
    <w:rsid w:val="00C37B7E"/>
    <w:rsid w:val="00C4019A"/>
    <w:rsid w:val="00C4026F"/>
    <w:rsid w:val="00C4038C"/>
    <w:rsid w:val="00C40790"/>
    <w:rsid w:val="00C40A7A"/>
    <w:rsid w:val="00C41FF8"/>
    <w:rsid w:val="00C420AB"/>
    <w:rsid w:val="00C431B6"/>
    <w:rsid w:val="00C43627"/>
    <w:rsid w:val="00C43BFC"/>
    <w:rsid w:val="00C457F3"/>
    <w:rsid w:val="00C5091E"/>
    <w:rsid w:val="00C51252"/>
    <w:rsid w:val="00C514A3"/>
    <w:rsid w:val="00C51C6C"/>
    <w:rsid w:val="00C526AC"/>
    <w:rsid w:val="00C52815"/>
    <w:rsid w:val="00C5339E"/>
    <w:rsid w:val="00C5375D"/>
    <w:rsid w:val="00C5450E"/>
    <w:rsid w:val="00C54ACA"/>
    <w:rsid w:val="00C54B14"/>
    <w:rsid w:val="00C54CDE"/>
    <w:rsid w:val="00C55054"/>
    <w:rsid w:val="00C5595F"/>
    <w:rsid w:val="00C55AF8"/>
    <w:rsid w:val="00C56217"/>
    <w:rsid w:val="00C5713D"/>
    <w:rsid w:val="00C57460"/>
    <w:rsid w:val="00C60063"/>
    <w:rsid w:val="00C61CFC"/>
    <w:rsid w:val="00C6237D"/>
    <w:rsid w:val="00C6265F"/>
    <w:rsid w:val="00C62748"/>
    <w:rsid w:val="00C6288B"/>
    <w:rsid w:val="00C632A6"/>
    <w:rsid w:val="00C6467E"/>
    <w:rsid w:val="00C656D3"/>
    <w:rsid w:val="00C65744"/>
    <w:rsid w:val="00C669C5"/>
    <w:rsid w:val="00C66C69"/>
    <w:rsid w:val="00C66C7E"/>
    <w:rsid w:val="00C67890"/>
    <w:rsid w:val="00C67EA2"/>
    <w:rsid w:val="00C67F0C"/>
    <w:rsid w:val="00C71D08"/>
    <w:rsid w:val="00C727D4"/>
    <w:rsid w:val="00C72905"/>
    <w:rsid w:val="00C7376F"/>
    <w:rsid w:val="00C742E0"/>
    <w:rsid w:val="00C7445B"/>
    <w:rsid w:val="00C751FC"/>
    <w:rsid w:val="00C75256"/>
    <w:rsid w:val="00C752F6"/>
    <w:rsid w:val="00C75697"/>
    <w:rsid w:val="00C7600D"/>
    <w:rsid w:val="00C77594"/>
    <w:rsid w:val="00C77909"/>
    <w:rsid w:val="00C77DA3"/>
    <w:rsid w:val="00C80AEF"/>
    <w:rsid w:val="00C80BFD"/>
    <w:rsid w:val="00C81AA4"/>
    <w:rsid w:val="00C82A85"/>
    <w:rsid w:val="00C82C1D"/>
    <w:rsid w:val="00C83649"/>
    <w:rsid w:val="00C83898"/>
    <w:rsid w:val="00C84517"/>
    <w:rsid w:val="00C85F40"/>
    <w:rsid w:val="00C862AA"/>
    <w:rsid w:val="00C87869"/>
    <w:rsid w:val="00C90BE3"/>
    <w:rsid w:val="00C9210F"/>
    <w:rsid w:val="00C923F1"/>
    <w:rsid w:val="00C92A26"/>
    <w:rsid w:val="00C931EA"/>
    <w:rsid w:val="00C93835"/>
    <w:rsid w:val="00C938FA"/>
    <w:rsid w:val="00C93E3B"/>
    <w:rsid w:val="00C93FDA"/>
    <w:rsid w:val="00C94159"/>
    <w:rsid w:val="00C94BE9"/>
    <w:rsid w:val="00C95686"/>
    <w:rsid w:val="00C95C82"/>
    <w:rsid w:val="00C961F5"/>
    <w:rsid w:val="00CA02EA"/>
    <w:rsid w:val="00CA056B"/>
    <w:rsid w:val="00CA3F60"/>
    <w:rsid w:val="00CA4225"/>
    <w:rsid w:val="00CA4576"/>
    <w:rsid w:val="00CA4D5F"/>
    <w:rsid w:val="00CA67D0"/>
    <w:rsid w:val="00CA6C40"/>
    <w:rsid w:val="00CA7095"/>
    <w:rsid w:val="00CA792B"/>
    <w:rsid w:val="00CB04F9"/>
    <w:rsid w:val="00CB06F8"/>
    <w:rsid w:val="00CB1026"/>
    <w:rsid w:val="00CB1EB0"/>
    <w:rsid w:val="00CB2890"/>
    <w:rsid w:val="00CB2B76"/>
    <w:rsid w:val="00CB4405"/>
    <w:rsid w:val="00CB497E"/>
    <w:rsid w:val="00CB4AF7"/>
    <w:rsid w:val="00CB57AF"/>
    <w:rsid w:val="00CB68D2"/>
    <w:rsid w:val="00CB704F"/>
    <w:rsid w:val="00CB7EAD"/>
    <w:rsid w:val="00CC0288"/>
    <w:rsid w:val="00CC21A5"/>
    <w:rsid w:val="00CC29FD"/>
    <w:rsid w:val="00CC2E69"/>
    <w:rsid w:val="00CC2FB4"/>
    <w:rsid w:val="00CC36A1"/>
    <w:rsid w:val="00CC3A95"/>
    <w:rsid w:val="00CC3AB1"/>
    <w:rsid w:val="00CC3B68"/>
    <w:rsid w:val="00CC56FD"/>
    <w:rsid w:val="00CC5D55"/>
    <w:rsid w:val="00CC6483"/>
    <w:rsid w:val="00CC7967"/>
    <w:rsid w:val="00CC7FE1"/>
    <w:rsid w:val="00CD0BA4"/>
    <w:rsid w:val="00CD1153"/>
    <w:rsid w:val="00CD188F"/>
    <w:rsid w:val="00CD1F1A"/>
    <w:rsid w:val="00CD1F9D"/>
    <w:rsid w:val="00CD2E46"/>
    <w:rsid w:val="00CD37A7"/>
    <w:rsid w:val="00CD4E45"/>
    <w:rsid w:val="00CD4E8B"/>
    <w:rsid w:val="00CD4EB2"/>
    <w:rsid w:val="00CD523C"/>
    <w:rsid w:val="00CD53A3"/>
    <w:rsid w:val="00CD5E1C"/>
    <w:rsid w:val="00CD6E15"/>
    <w:rsid w:val="00CD7C28"/>
    <w:rsid w:val="00CD7E76"/>
    <w:rsid w:val="00CE099D"/>
    <w:rsid w:val="00CE0BEE"/>
    <w:rsid w:val="00CE0DE7"/>
    <w:rsid w:val="00CE1503"/>
    <w:rsid w:val="00CE2BB2"/>
    <w:rsid w:val="00CE31D7"/>
    <w:rsid w:val="00CE387A"/>
    <w:rsid w:val="00CE5680"/>
    <w:rsid w:val="00CE7B6F"/>
    <w:rsid w:val="00CF0447"/>
    <w:rsid w:val="00CF1CB5"/>
    <w:rsid w:val="00CF2807"/>
    <w:rsid w:val="00CF2945"/>
    <w:rsid w:val="00CF2BF4"/>
    <w:rsid w:val="00CF32CC"/>
    <w:rsid w:val="00CF5363"/>
    <w:rsid w:val="00CF5CE6"/>
    <w:rsid w:val="00CF6387"/>
    <w:rsid w:val="00CF6FCE"/>
    <w:rsid w:val="00D0069F"/>
    <w:rsid w:val="00D0090D"/>
    <w:rsid w:val="00D019EE"/>
    <w:rsid w:val="00D01FCC"/>
    <w:rsid w:val="00D02592"/>
    <w:rsid w:val="00D037D7"/>
    <w:rsid w:val="00D039CD"/>
    <w:rsid w:val="00D03EDB"/>
    <w:rsid w:val="00D0523E"/>
    <w:rsid w:val="00D05AB2"/>
    <w:rsid w:val="00D066C1"/>
    <w:rsid w:val="00D06876"/>
    <w:rsid w:val="00D076B9"/>
    <w:rsid w:val="00D07776"/>
    <w:rsid w:val="00D104C6"/>
    <w:rsid w:val="00D1092A"/>
    <w:rsid w:val="00D11CD9"/>
    <w:rsid w:val="00D12434"/>
    <w:rsid w:val="00D130F2"/>
    <w:rsid w:val="00D13209"/>
    <w:rsid w:val="00D15244"/>
    <w:rsid w:val="00D154FE"/>
    <w:rsid w:val="00D1560B"/>
    <w:rsid w:val="00D16526"/>
    <w:rsid w:val="00D17369"/>
    <w:rsid w:val="00D175BC"/>
    <w:rsid w:val="00D17741"/>
    <w:rsid w:val="00D20324"/>
    <w:rsid w:val="00D2181C"/>
    <w:rsid w:val="00D221A4"/>
    <w:rsid w:val="00D224FE"/>
    <w:rsid w:val="00D22ECF"/>
    <w:rsid w:val="00D236E9"/>
    <w:rsid w:val="00D24B97"/>
    <w:rsid w:val="00D24EC2"/>
    <w:rsid w:val="00D24EC8"/>
    <w:rsid w:val="00D2551F"/>
    <w:rsid w:val="00D25B93"/>
    <w:rsid w:val="00D25F38"/>
    <w:rsid w:val="00D260DC"/>
    <w:rsid w:val="00D265EE"/>
    <w:rsid w:val="00D2745F"/>
    <w:rsid w:val="00D277D7"/>
    <w:rsid w:val="00D27A0B"/>
    <w:rsid w:val="00D30C67"/>
    <w:rsid w:val="00D31024"/>
    <w:rsid w:val="00D315CC"/>
    <w:rsid w:val="00D31D09"/>
    <w:rsid w:val="00D33F03"/>
    <w:rsid w:val="00D342FC"/>
    <w:rsid w:val="00D34CDF"/>
    <w:rsid w:val="00D35190"/>
    <w:rsid w:val="00D35A95"/>
    <w:rsid w:val="00D36247"/>
    <w:rsid w:val="00D37E2A"/>
    <w:rsid w:val="00D40B72"/>
    <w:rsid w:val="00D41054"/>
    <w:rsid w:val="00D41164"/>
    <w:rsid w:val="00D4193B"/>
    <w:rsid w:val="00D41A2C"/>
    <w:rsid w:val="00D42878"/>
    <w:rsid w:val="00D42DF9"/>
    <w:rsid w:val="00D4316E"/>
    <w:rsid w:val="00D43DC3"/>
    <w:rsid w:val="00D44B3D"/>
    <w:rsid w:val="00D44FC6"/>
    <w:rsid w:val="00D4514D"/>
    <w:rsid w:val="00D4615F"/>
    <w:rsid w:val="00D52EAE"/>
    <w:rsid w:val="00D5432F"/>
    <w:rsid w:val="00D546E9"/>
    <w:rsid w:val="00D54DDF"/>
    <w:rsid w:val="00D558EE"/>
    <w:rsid w:val="00D56460"/>
    <w:rsid w:val="00D56897"/>
    <w:rsid w:val="00D57283"/>
    <w:rsid w:val="00D60060"/>
    <w:rsid w:val="00D60BBE"/>
    <w:rsid w:val="00D60C00"/>
    <w:rsid w:val="00D60F3A"/>
    <w:rsid w:val="00D6313D"/>
    <w:rsid w:val="00D63BD7"/>
    <w:rsid w:val="00D644DF"/>
    <w:rsid w:val="00D6500C"/>
    <w:rsid w:val="00D65C7E"/>
    <w:rsid w:val="00D66AC5"/>
    <w:rsid w:val="00D66C66"/>
    <w:rsid w:val="00D67533"/>
    <w:rsid w:val="00D6757C"/>
    <w:rsid w:val="00D67B7A"/>
    <w:rsid w:val="00D67F2B"/>
    <w:rsid w:val="00D700E6"/>
    <w:rsid w:val="00D71C52"/>
    <w:rsid w:val="00D71F27"/>
    <w:rsid w:val="00D735A9"/>
    <w:rsid w:val="00D74A98"/>
    <w:rsid w:val="00D74BA8"/>
    <w:rsid w:val="00D767BD"/>
    <w:rsid w:val="00D77BAB"/>
    <w:rsid w:val="00D8105C"/>
    <w:rsid w:val="00D8233F"/>
    <w:rsid w:val="00D832C7"/>
    <w:rsid w:val="00D855F5"/>
    <w:rsid w:val="00D85791"/>
    <w:rsid w:val="00D86194"/>
    <w:rsid w:val="00D8639F"/>
    <w:rsid w:val="00D8784D"/>
    <w:rsid w:val="00D91389"/>
    <w:rsid w:val="00D92B0C"/>
    <w:rsid w:val="00D92C41"/>
    <w:rsid w:val="00D92EB4"/>
    <w:rsid w:val="00D934B9"/>
    <w:rsid w:val="00D93579"/>
    <w:rsid w:val="00D93628"/>
    <w:rsid w:val="00D9383C"/>
    <w:rsid w:val="00D941BE"/>
    <w:rsid w:val="00D945F6"/>
    <w:rsid w:val="00D94EAE"/>
    <w:rsid w:val="00D95C58"/>
    <w:rsid w:val="00D95EF5"/>
    <w:rsid w:val="00D96DD7"/>
    <w:rsid w:val="00DA20EE"/>
    <w:rsid w:val="00DA2856"/>
    <w:rsid w:val="00DA2C69"/>
    <w:rsid w:val="00DA3827"/>
    <w:rsid w:val="00DA3C26"/>
    <w:rsid w:val="00DA3E25"/>
    <w:rsid w:val="00DA4207"/>
    <w:rsid w:val="00DA50F5"/>
    <w:rsid w:val="00DA54F7"/>
    <w:rsid w:val="00DA5E52"/>
    <w:rsid w:val="00DA5EB6"/>
    <w:rsid w:val="00DA5FF8"/>
    <w:rsid w:val="00DA6490"/>
    <w:rsid w:val="00DA7FE6"/>
    <w:rsid w:val="00DB0032"/>
    <w:rsid w:val="00DB18AC"/>
    <w:rsid w:val="00DB2551"/>
    <w:rsid w:val="00DB2741"/>
    <w:rsid w:val="00DB31B0"/>
    <w:rsid w:val="00DB3228"/>
    <w:rsid w:val="00DB3B1F"/>
    <w:rsid w:val="00DB4292"/>
    <w:rsid w:val="00DB44B8"/>
    <w:rsid w:val="00DB4E2F"/>
    <w:rsid w:val="00DB6B67"/>
    <w:rsid w:val="00DB7A01"/>
    <w:rsid w:val="00DC0898"/>
    <w:rsid w:val="00DC1011"/>
    <w:rsid w:val="00DC1734"/>
    <w:rsid w:val="00DC304A"/>
    <w:rsid w:val="00DC304D"/>
    <w:rsid w:val="00DC333C"/>
    <w:rsid w:val="00DC394B"/>
    <w:rsid w:val="00DC44D6"/>
    <w:rsid w:val="00DC4EF3"/>
    <w:rsid w:val="00DC5219"/>
    <w:rsid w:val="00DC544F"/>
    <w:rsid w:val="00DC572E"/>
    <w:rsid w:val="00DC5D5C"/>
    <w:rsid w:val="00DC6474"/>
    <w:rsid w:val="00DC6C75"/>
    <w:rsid w:val="00DC6F6C"/>
    <w:rsid w:val="00DD074E"/>
    <w:rsid w:val="00DD1700"/>
    <w:rsid w:val="00DD2D5E"/>
    <w:rsid w:val="00DD4228"/>
    <w:rsid w:val="00DD4AE6"/>
    <w:rsid w:val="00DD5310"/>
    <w:rsid w:val="00DD54F6"/>
    <w:rsid w:val="00DD5666"/>
    <w:rsid w:val="00DD5AF8"/>
    <w:rsid w:val="00DD62E9"/>
    <w:rsid w:val="00DD65AA"/>
    <w:rsid w:val="00DD6C0A"/>
    <w:rsid w:val="00DD738F"/>
    <w:rsid w:val="00DE13E7"/>
    <w:rsid w:val="00DE278F"/>
    <w:rsid w:val="00DE4310"/>
    <w:rsid w:val="00DE4636"/>
    <w:rsid w:val="00DE46F5"/>
    <w:rsid w:val="00DE6224"/>
    <w:rsid w:val="00DE6CA0"/>
    <w:rsid w:val="00DE7884"/>
    <w:rsid w:val="00DF0E6F"/>
    <w:rsid w:val="00DF181C"/>
    <w:rsid w:val="00DF47E3"/>
    <w:rsid w:val="00DF4EC8"/>
    <w:rsid w:val="00DF5A60"/>
    <w:rsid w:val="00DF6399"/>
    <w:rsid w:val="00DF679F"/>
    <w:rsid w:val="00DF6886"/>
    <w:rsid w:val="00DF7542"/>
    <w:rsid w:val="00DF7ABB"/>
    <w:rsid w:val="00E00398"/>
    <w:rsid w:val="00E00EA0"/>
    <w:rsid w:val="00E02C7B"/>
    <w:rsid w:val="00E02F9B"/>
    <w:rsid w:val="00E0348D"/>
    <w:rsid w:val="00E034A6"/>
    <w:rsid w:val="00E0439A"/>
    <w:rsid w:val="00E04FDA"/>
    <w:rsid w:val="00E06FBA"/>
    <w:rsid w:val="00E101B4"/>
    <w:rsid w:val="00E12CC8"/>
    <w:rsid w:val="00E13078"/>
    <w:rsid w:val="00E132B1"/>
    <w:rsid w:val="00E13824"/>
    <w:rsid w:val="00E13CC8"/>
    <w:rsid w:val="00E1403F"/>
    <w:rsid w:val="00E1429C"/>
    <w:rsid w:val="00E1562C"/>
    <w:rsid w:val="00E174ED"/>
    <w:rsid w:val="00E20156"/>
    <w:rsid w:val="00E206B2"/>
    <w:rsid w:val="00E21325"/>
    <w:rsid w:val="00E215AF"/>
    <w:rsid w:val="00E216AA"/>
    <w:rsid w:val="00E21E8A"/>
    <w:rsid w:val="00E22A36"/>
    <w:rsid w:val="00E2573C"/>
    <w:rsid w:val="00E25769"/>
    <w:rsid w:val="00E268A4"/>
    <w:rsid w:val="00E269ED"/>
    <w:rsid w:val="00E26C51"/>
    <w:rsid w:val="00E27F09"/>
    <w:rsid w:val="00E3118E"/>
    <w:rsid w:val="00E31D1E"/>
    <w:rsid w:val="00E32061"/>
    <w:rsid w:val="00E333AA"/>
    <w:rsid w:val="00E345B8"/>
    <w:rsid w:val="00E35A2E"/>
    <w:rsid w:val="00E35E9B"/>
    <w:rsid w:val="00E3607D"/>
    <w:rsid w:val="00E367BD"/>
    <w:rsid w:val="00E400BC"/>
    <w:rsid w:val="00E4010D"/>
    <w:rsid w:val="00E40263"/>
    <w:rsid w:val="00E402C7"/>
    <w:rsid w:val="00E4249D"/>
    <w:rsid w:val="00E434EA"/>
    <w:rsid w:val="00E43A68"/>
    <w:rsid w:val="00E445D8"/>
    <w:rsid w:val="00E45DFD"/>
    <w:rsid w:val="00E46E6B"/>
    <w:rsid w:val="00E4774E"/>
    <w:rsid w:val="00E47C9B"/>
    <w:rsid w:val="00E503FB"/>
    <w:rsid w:val="00E504CE"/>
    <w:rsid w:val="00E50D61"/>
    <w:rsid w:val="00E51588"/>
    <w:rsid w:val="00E51841"/>
    <w:rsid w:val="00E518F6"/>
    <w:rsid w:val="00E53A40"/>
    <w:rsid w:val="00E53D59"/>
    <w:rsid w:val="00E53F62"/>
    <w:rsid w:val="00E5444D"/>
    <w:rsid w:val="00E54C6F"/>
    <w:rsid w:val="00E54C86"/>
    <w:rsid w:val="00E54FAD"/>
    <w:rsid w:val="00E5654D"/>
    <w:rsid w:val="00E571C0"/>
    <w:rsid w:val="00E577BF"/>
    <w:rsid w:val="00E607CB"/>
    <w:rsid w:val="00E6100E"/>
    <w:rsid w:val="00E620BF"/>
    <w:rsid w:val="00E621A4"/>
    <w:rsid w:val="00E62704"/>
    <w:rsid w:val="00E6303A"/>
    <w:rsid w:val="00E638F2"/>
    <w:rsid w:val="00E639B5"/>
    <w:rsid w:val="00E63C1C"/>
    <w:rsid w:val="00E6437B"/>
    <w:rsid w:val="00E6477B"/>
    <w:rsid w:val="00E660D0"/>
    <w:rsid w:val="00E660D7"/>
    <w:rsid w:val="00E66259"/>
    <w:rsid w:val="00E66299"/>
    <w:rsid w:val="00E66E54"/>
    <w:rsid w:val="00E703D3"/>
    <w:rsid w:val="00E709AA"/>
    <w:rsid w:val="00E72958"/>
    <w:rsid w:val="00E73767"/>
    <w:rsid w:val="00E76787"/>
    <w:rsid w:val="00E76AAD"/>
    <w:rsid w:val="00E77186"/>
    <w:rsid w:val="00E777FB"/>
    <w:rsid w:val="00E81054"/>
    <w:rsid w:val="00E851D7"/>
    <w:rsid w:val="00E85844"/>
    <w:rsid w:val="00E861F2"/>
    <w:rsid w:val="00E86D4B"/>
    <w:rsid w:val="00E87F86"/>
    <w:rsid w:val="00E921C5"/>
    <w:rsid w:val="00E938A8"/>
    <w:rsid w:val="00E93ACF"/>
    <w:rsid w:val="00E95AFB"/>
    <w:rsid w:val="00E9662A"/>
    <w:rsid w:val="00E96AD7"/>
    <w:rsid w:val="00E96D1F"/>
    <w:rsid w:val="00E97048"/>
    <w:rsid w:val="00E9790E"/>
    <w:rsid w:val="00EA00BF"/>
    <w:rsid w:val="00EA076F"/>
    <w:rsid w:val="00EA07D9"/>
    <w:rsid w:val="00EA1127"/>
    <w:rsid w:val="00EA2949"/>
    <w:rsid w:val="00EA3507"/>
    <w:rsid w:val="00EA3A0D"/>
    <w:rsid w:val="00EA411E"/>
    <w:rsid w:val="00EA4614"/>
    <w:rsid w:val="00EA48C3"/>
    <w:rsid w:val="00EA50C5"/>
    <w:rsid w:val="00EA60FF"/>
    <w:rsid w:val="00EA624A"/>
    <w:rsid w:val="00EA6BFE"/>
    <w:rsid w:val="00EA701F"/>
    <w:rsid w:val="00EA719B"/>
    <w:rsid w:val="00EA763A"/>
    <w:rsid w:val="00EB0EEA"/>
    <w:rsid w:val="00EB1048"/>
    <w:rsid w:val="00EB1AF9"/>
    <w:rsid w:val="00EB1E94"/>
    <w:rsid w:val="00EB1F50"/>
    <w:rsid w:val="00EB45C6"/>
    <w:rsid w:val="00EB4998"/>
    <w:rsid w:val="00EB4F88"/>
    <w:rsid w:val="00EB53B2"/>
    <w:rsid w:val="00EB56D7"/>
    <w:rsid w:val="00EB69E7"/>
    <w:rsid w:val="00EC10DD"/>
    <w:rsid w:val="00EC1974"/>
    <w:rsid w:val="00EC29D3"/>
    <w:rsid w:val="00EC387D"/>
    <w:rsid w:val="00EC45A2"/>
    <w:rsid w:val="00EC56C6"/>
    <w:rsid w:val="00EC68DA"/>
    <w:rsid w:val="00EC6E51"/>
    <w:rsid w:val="00EC70C6"/>
    <w:rsid w:val="00EC7931"/>
    <w:rsid w:val="00ED148F"/>
    <w:rsid w:val="00ED1F49"/>
    <w:rsid w:val="00ED204B"/>
    <w:rsid w:val="00ED2486"/>
    <w:rsid w:val="00ED276F"/>
    <w:rsid w:val="00ED32FE"/>
    <w:rsid w:val="00ED4431"/>
    <w:rsid w:val="00ED68AA"/>
    <w:rsid w:val="00ED7526"/>
    <w:rsid w:val="00ED78A1"/>
    <w:rsid w:val="00EE071B"/>
    <w:rsid w:val="00EE0ECF"/>
    <w:rsid w:val="00EE0F0B"/>
    <w:rsid w:val="00EE136E"/>
    <w:rsid w:val="00EE19EB"/>
    <w:rsid w:val="00EE2D14"/>
    <w:rsid w:val="00EE35BE"/>
    <w:rsid w:val="00EE3A1B"/>
    <w:rsid w:val="00EE4160"/>
    <w:rsid w:val="00EE4605"/>
    <w:rsid w:val="00EE60B9"/>
    <w:rsid w:val="00EE61CF"/>
    <w:rsid w:val="00EE664A"/>
    <w:rsid w:val="00EE6F72"/>
    <w:rsid w:val="00EE78BB"/>
    <w:rsid w:val="00EE79EC"/>
    <w:rsid w:val="00EE7A68"/>
    <w:rsid w:val="00EF044B"/>
    <w:rsid w:val="00EF1727"/>
    <w:rsid w:val="00EF1C5A"/>
    <w:rsid w:val="00EF2811"/>
    <w:rsid w:val="00EF49F0"/>
    <w:rsid w:val="00EF4EAB"/>
    <w:rsid w:val="00EF5286"/>
    <w:rsid w:val="00EF62D0"/>
    <w:rsid w:val="00EF649E"/>
    <w:rsid w:val="00EF6696"/>
    <w:rsid w:val="00EF7AA1"/>
    <w:rsid w:val="00EF7B42"/>
    <w:rsid w:val="00EF7BC7"/>
    <w:rsid w:val="00EF7BD7"/>
    <w:rsid w:val="00F00E76"/>
    <w:rsid w:val="00F014A5"/>
    <w:rsid w:val="00F01835"/>
    <w:rsid w:val="00F01BDF"/>
    <w:rsid w:val="00F02280"/>
    <w:rsid w:val="00F03496"/>
    <w:rsid w:val="00F035DF"/>
    <w:rsid w:val="00F03FF1"/>
    <w:rsid w:val="00F0528B"/>
    <w:rsid w:val="00F061F6"/>
    <w:rsid w:val="00F063AE"/>
    <w:rsid w:val="00F06435"/>
    <w:rsid w:val="00F06AB5"/>
    <w:rsid w:val="00F06B68"/>
    <w:rsid w:val="00F104CD"/>
    <w:rsid w:val="00F10C08"/>
    <w:rsid w:val="00F10EA4"/>
    <w:rsid w:val="00F110C3"/>
    <w:rsid w:val="00F1249A"/>
    <w:rsid w:val="00F134E1"/>
    <w:rsid w:val="00F14128"/>
    <w:rsid w:val="00F14E97"/>
    <w:rsid w:val="00F15687"/>
    <w:rsid w:val="00F16018"/>
    <w:rsid w:val="00F160C5"/>
    <w:rsid w:val="00F16920"/>
    <w:rsid w:val="00F217BB"/>
    <w:rsid w:val="00F22173"/>
    <w:rsid w:val="00F23D3C"/>
    <w:rsid w:val="00F26741"/>
    <w:rsid w:val="00F26BC6"/>
    <w:rsid w:val="00F275E6"/>
    <w:rsid w:val="00F306E6"/>
    <w:rsid w:val="00F3070A"/>
    <w:rsid w:val="00F3100C"/>
    <w:rsid w:val="00F317E1"/>
    <w:rsid w:val="00F31F6A"/>
    <w:rsid w:val="00F32703"/>
    <w:rsid w:val="00F329FE"/>
    <w:rsid w:val="00F33A37"/>
    <w:rsid w:val="00F34C34"/>
    <w:rsid w:val="00F3548B"/>
    <w:rsid w:val="00F36153"/>
    <w:rsid w:val="00F364FA"/>
    <w:rsid w:val="00F36D7B"/>
    <w:rsid w:val="00F4042E"/>
    <w:rsid w:val="00F40676"/>
    <w:rsid w:val="00F42E09"/>
    <w:rsid w:val="00F43A29"/>
    <w:rsid w:val="00F43D08"/>
    <w:rsid w:val="00F43ECB"/>
    <w:rsid w:val="00F4403C"/>
    <w:rsid w:val="00F440DE"/>
    <w:rsid w:val="00F44F40"/>
    <w:rsid w:val="00F450E9"/>
    <w:rsid w:val="00F5040C"/>
    <w:rsid w:val="00F505BF"/>
    <w:rsid w:val="00F50B57"/>
    <w:rsid w:val="00F51B85"/>
    <w:rsid w:val="00F52869"/>
    <w:rsid w:val="00F5527E"/>
    <w:rsid w:val="00F5550B"/>
    <w:rsid w:val="00F561D6"/>
    <w:rsid w:val="00F60AC8"/>
    <w:rsid w:val="00F61100"/>
    <w:rsid w:val="00F61A1F"/>
    <w:rsid w:val="00F61AA4"/>
    <w:rsid w:val="00F623EC"/>
    <w:rsid w:val="00F62406"/>
    <w:rsid w:val="00F631E7"/>
    <w:rsid w:val="00F6375A"/>
    <w:rsid w:val="00F644B9"/>
    <w:rsid w:val="00F651DA"/>
    <w:rsid w:val="00F670B7"/>
    <w:rsid w:val="00F670CC"/>
    <w:rsid w:val="00F67392"/>
    <w:rsid w:val="00F67F93"/>
    <w:rsid w:val="00F70401"/>
    <w:rsid w:val="00F706E7"/>
    <w:rsid w:val="00F7144B"/>
    <w:rsid w:val="00F7297F"/>
    <w:rsid w:val="00F72B35"/>
    <w:rsid w:val="00F733FC"/>
    <w:rsid w:val="00F7376A"/>
    <w:rsid w:val="00F74045"/>
    <w:rsid w:val="00F75E91"/>
    <w:rsid w:val="00F760F3"/>
    <w:rsid w:val="00F7665E"/>
    <w:rsid w:val="00F76845"/>
    <w:rsid w:val="00F76F3A"/>
    <w:rsid w:val="00F770D2"/>
    <w:rsid w:val="00F7763C"/>
    <w:rsid w:val="00F8004D"/>
    <w:rsid w:val="00F804F2"/>
    <w:rsid w:val="00F80D49"/>
    <w:rsid w:val="00F80DA6"/>
    <w:rsid w:val="00F81FF4"/>
    <w:rsid w:val="00F83504"/>
    <w:rsid w:val="00F8352F"/>
    <w:rsid w:val="00F838F4"/>
    <w:rsid w:val="00F83BEA"/>
    <w:rsid w:val="00F8478E"/>
    <w:rsid w:val="00F84A66"/>
    <w:rsid w:val="00F85019"/>
    <w:rsid w:val="00F85D49"/>
    <w:rsid w:val="00F85DBA"/>
    <w:rsid w:val="00F86025"/>
    <w:rsid w:val="00F9145B"/>
    <w:rsid w:val="00F919E0"/>
    <w:rsid w:val="00F91DF5"/>
    <w:rsid w:val="00F91E27"/>
    <w:rsid w:val="00F9309A"/>
    <w:rsid w:val="00F94340"/>
    <w:rsid w:val="00F94AA0"/>
    <w:rsid w:val="00F94FCB"/>
    <w:rsid w:val="00F97283"/>
    <w:rsid w:val="00F97F3C"/>
    <w:rsid w:val="00FA1441"/>
    <w:rsid w:val="00FA283A"/>
    <w:rsid w:val="00FA2FAB"/>
    <w:rsid w:val="00FA3BDC"/>
    <w:rsid w:val="00FA4D23"/>
    <w:rsid w:val="00FA5358"/>
    <w:rsid w:val="00FA61EA"/>
    <w:rsid w:val="00FA65FB"/>
    <w:rsid w:val="00FA6A2D"/>
    <w:rsid w:val="00FA6DF5"/>
    <w:rsid w:val="00FB0430"/>
    <w:rsid w:val="00FB04F8"/>
    <w:rsid w:val="00FB16EC"/>
    <w:rsid w:val="00FB1B29"/>
    <w:rsid w:val="00FB1F30"/>
    <w:rsid w:val="00FB3D37"/>
    <w:rsid w:val="00FB421C"/>
    <w:rsid w:val="00FB4943"/>
    <w:rsid w:val="00FB4E76"/>
    <w:rsid w:val="00FB54B2"/>
    <w:rsid w:val="00FB587D"/>
    <w:rsid w:val="00FB7BE2"/>
    <w:rsid w:val="00FC0F3B"/>
    <w:rsid w:val="00FC15B4"/>
    <w:rsid w:val="00FC1718"/>
    <w:rsid w:val="00FC1BF7"/>
    <w:rsid w:val="00FC1D3F"/>
    <w:rsid w:val="00FC24B9"/>
    <w:rsid w:val="00FC26EB"/>
    <w:rsid w:val="00FC35FD"/>
    <w:rsid w:val="00FC3D42"/>
    <w:rsid w:val="00FC46F0"/>
    <w:rsid w:val="00FC5696"/>
    <w:rsid w:val="00FC62D9"/>
    <w:rsid w:val="00FC75F9"/>
    <w:rsid w:val="00FD0468"/>
    <w:rsid w:val="00FD046F"/>
    <w:rsid w:val="00FD1611"/>
    <w:rsid w:val="00FD2165"/>
    <w:rsid w:val="00FD4C56"/>
    <w:rsid w:val="00FD53CF"/>
    <w:rsid w:val="00FD5AEA"/>
    <w:rsid w:val="00FD663A"/>
    <w:rsid w:val="00FD6EF3"/>
    <w:rsid w:val="00FD7885"/>
    <w:rsid w:val="00FE0333"/>
    <w:rsid w:val="00FE089A"/>
    <w:rsid w:val="00FE1A4A"/>
    <w:rsid w:val="00FE1D33"/>
    <w:rsid w:val="00FE1D5F"/>
    <w:rsid w:val="00FE1E57"/>
    <w:rsid w:val="00FE220F"/>
    <w:rsid w:val="00FE40E5"/>
    <w:rsid w:val="00FE43FB"/>
    <w:rsid w:val="00FE500C"/>
    <w:rsid w:val="00FE5320"/>
    <w:rsid w:val="00FE5472"/>
    <w:rsid w:val="00FE68D3"/>
    <w:rsid w:val="00FE7388"/>
    <w:rsid w:val="00FE76F7"/>
    <w:rsid w:val="00FE7C46"/>
    <w:rsid w:val="00FF2B85"/>
    <w:rsid w:val="00FF3AF0"/>
    <w:rsid w:val="00FF3AF9"/>
    <w:rsid w:val="00FF3C33"/>
    <w:rsid w:val="00FF3DF8"/>
    <w:rsid w:val="00FF5188"/>
    <w:rsid w:val="00FF5748"/>
    <w:rsid w:val="00FF5D4E"/>
    <w:rsid w:val="00FF5DB2"/>
    <w:rsid w:val="00FF5EF9"/>
    <w:rsid w:val="00FF6E10"/>
    <w:rsid w:val="00FF79F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7F5C50"/>
  <w15:docId w15:val="{B3971667-05E1-45D0-B636-69C26352B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683"/>
  </w:style>
  <w:style w:type="paragraph" w:styleId="Titre1">
    <w:name w:val="heading 1"/>
    <w:basedOn w:val="Normal"/>
    <w:next w:val="Normal"/>
    <w:link w:val="Titre1Car"/>
    <w:uiPriority w:val="9"/>
    <w:qFormat/>
    <w:rsid w:val="00BA1E49"/>
    <w:pPr>
      <w:shd w:val="clear" w:color="auto" w:fill="3476B1" w:themeFill="accent2" w:themeFillShade="BF"/>
      <w:jc w:val="center"/>
      <w:outlineLvl w:val="0"/>
    </w:pPr>
    <w:rPr>
      <w:b/>
      <w:color w:val="FFFFFF" w:themeColor="background1"/>
      <w:sz w:val="96"/>
      <w:szCs w:val="96"/>
    </w:rPr>
  </w:style>
  <w:style w:type="paragraph" w:styleId="Titre2">
    <w:name w:val="heading 2"/>
    <w:basedOn w:val="Normal"/>
    <w:next w:val="Normal"/>
    <w:link w:val="Titre2Car"/>
    <w:uiPriority w:val="9"/>
    <w:unhideWhenUsed/>
    <w:qFormat/>
    <w:rsid w:val="00BA1E49"/>
    <w:pPr>
      <w:jc w:val="center"/>
      <w:outlineLvl w:val="1"/>
    </w:pPr>
    <w:rPr>
      <w:b/>
      <w:color w:val="002060"/>
      <w:sz w:val="52"/>
      <w:szCs w:val="52"/>
    </w:rPr>
  </w:style>
  <w:style w:type="paragraph" w:styleId="Titre3">
    <w:name w:val="heading 3"/>
    <w:basedOn w:val="Normal"/>
    <w:next w:val="Normal"/>
    <w:link w:val="Titre3Car"/>
    <w:uiPriority w:val="9"/>
    <w:unhideWhenUsed/>
    <w:qFormat/>
    <w:rsid w:val="00BA1E49"/>
    <w:pPr>
      <w:pBdr>
        <w:top w:val="single" w:sz="24" w:space="2" w:color="4A66AC" w:themeColor="accent1"/>
        <w:left w:val="single" w:sz="24" w:space="4" w:color="4A66AC" w:themeColor="accent1"/>
        <w:bottom w:val="single" w:sz="24" w:space="1" w:color="4A66AC" w:themeColor="accent1"/>
        <w:right w:val="single" w:sz="24" w:space="4" w:color="4A66AC" w:themeColor="accent1"/>
      </w:pBdr>
      <w:shd w:val="clear" w:color="auto" w:fill="4A66AC" w:themeFill="accent1"/>
      <w:spacing w:before="300" w:after="0"/>
      <w:outlineLvl w:val="2"/>
    </w:pPr>
    <w:rPr>
      <w:b/>
      <w:caps/>
      <w:color w:val="FFFFFF" w:themeColor="background1"/>
      <w:spacing w:val="15"/>
      <w:sz w:val="22"/>
    </w:rPr>
  </w:style>
  <w:style w:type="paragraph" w:styleId="Titre4">
    <w:name w:val="heading 4"/>
    <w:next w:val="Normal"/>
    <w:link w:val="Titre4Car"/>
    <w:uiPriority w:val="9"/>
    <w:unhideWhenUsed/>
    <w:qFormat/>
    <w:rsid w:val="00BA1E49"/>
    <w:pPr>
      <w:pBdr>
        <w:top w:val="single" w:sz="24" w:space="1" w:color="D9DFEF" w:themeColor="accent1" w:themeTint="33"/>
        <w:left w:val="single" w:sz="24" w:space="4" w:color="D9DFEF" w:themeColor="accent1" w:themeTint="33"/>
        <w:bottom w:val="single" w:sz="24" w:space="1" w:color="D9DFEF" w:themeColor="accent1" w:themeTint="33"/>
        <w:right w:val="single" w:sz="24" w:space="4" w:color="D9DFEF" w:themeColor="accent1" w:themeTint="33"/>
      </w:pBdr>
      <w:shd w:val="clear" w:color="auto" w:fill="D9DFEF" w:themeFill="accent1" w:themeFillTint="33"/>
      <w:outlineLvl w:val="3"/>
    </w:pPr>
    <w:rPr>
      <w:b/>
      <w:caps/>
      <w:spacing w:val="15"/>
    </w:rPr>
  </w:style>
  <w:style w:type="paragraph" w:styleId="Titre5">
    <w:name w:val="heading 5"/>
    <w:basedOn w:val="Normal"/>
    <w:next w:val="Normal"/>
    <w:link w:val="Titre5Car"/>
    <w:uiPriority w:val="9"/>
    <w:unhideWhenUsed/>
    <w:qFormat/>
    <w:rsid w:val="00B36683"/>
    <w:pPr>
      <w:pBdr>
        <w:bottom w:val="single" w:sz="6" w:space="1" w:color="4A66AC" w:themeColor="accent1"/>
      </w:pBdr>
      <w:spacing w:before="200" w:after="0"/>
      <w:outlineLvl w:val="4"/>
    </w:pPr>
    <w:rPr>
      <w:caps/>
      <w:color w:val="374C80" w:themeColor="accent1" w:themeShade="BF"/>
      <w:spacing w:val="10"/>
    </w:rPr>
  </w:style>
  <w:style w:type="paragraph" w:styleId="Titre6">
    <w:name w:val="heading 6"/>
    <w:basedOn w:val="Normal"/>
    <w:next w:val="Normal"/>
    <w:link w:val="Titre6Car"/>
    <w:uiPriority w:val="9"/>
    <w:semiHidden/>
    <w:unhideWhenUsed/>
    <w:qFormat/>
    <w:rsid w:val="00B36683"/>
    <w:pPr>
      <w:pBdr>
        <w:bottom w:val="dotted" w:sz="6" w:space="1" w:color="4A66AC" w:themeColor="accent1"/>
      </w:pBdr>
      <w:spacing w:before="200" w:after="0"/>
      <w:outlineLvl w:val="5"/>
    </w:pPr>
    <w:rPr>
      <w:caps/>
      <w:color w:val="374C80" w:themeColor="accent1" w:themeShade="BF"/>
      <w:spacing w:val="10"/>
    </w:rPr>
  </w:style>
  <w:style w:type="paragraph" w:styleId="Titre7">
    <w:name w:val="heading 7"/>
    <w:basedOn w:val="Normal"/>
    <w:next w:val="Normal"/>
    <w:link w:val="Titre7Car"/>
    <w:uiPriority w:val="9"/>
    <w:semiHidden/>
    <w:unhideWhenUsed/>
    <w:qFormat/>
    <w:rsid w:val="00B36683"/>
    <w:pPr>
      <w:spacing w:before="200" w:after="0"/>
      <w:outlineLvl w:val="6"/>
    </w:pPr>
    <w:rPr>
      <w:caps/>
      <w:color w:val="374C80" w:themeColor="accent1" w:themeShade="BF"/>
      <w:spacing w:val="10"/>
    </w:rPr>
  </w:style>
  <w:style w:type="paragraph" w:styleId="Titre8">
    <w:name w:val="heading 8"/>
    <w:basedOn w:val="Normal"/>
    <w:next w:val="Normal"/>
    <w:link w:val="Titre8Car"/>
    <w:uiPriority w:val="9"/>
    <w:semiHidden/>
    <w:unhideWhenUsed/>
    <w:qFormat/>
    <w:rsid w:val="00B36683"/>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B36683"/>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A1E49"/>
    <w:rPr>
      <w:b/>
      <w:color w:val="FFFFFF" w:themeColor="background1"/>
      <w:sz w:val="96"/>
      <w:szCs w:val="96"/>
      <w:shd w:val="clear" w:color="auto" w:fill="3476B1" w:themeFill="accent2" w:themeFillShade="BF"/>
    </w:rPr>
  </w:style>
  <w:style w:type="character" w:customStyle="1" w:styleId="Titre2Car">
    <w:name w:val="Titre 2 Car"/>
    <w:basedOn w:val="Policepardfaut"/>
    <w:link w:val="Titre2"/>
    <w:uiPriority w:val="9"/>
    <w:rsid w:val="00BA1E49"/>
    <w:rPr>
      <w:b/>
      <w:color w:val="002060"/>
      <w:sz w:val="52"/>
      <w:szCs w:val="52"/>
    </w:rPr>
  </w:style>
  <w:style w:type="character" w:customStyle="1" w:styleId="Titre3Car">
    <w:name w:val="Titre 3 Car"/>
    <w:basedOn w:val="Policepardfaut"/>
    <w:link w:val="Titre3"/>
    <w:uiPriority w:val="9"/>
    <w:rsid w:val="00BA1E49"/>
    <w:rPr>
      <w:b/>
      <w:caps/>
      <w:color w:val="FFFFFF" w:themeColor="background1"/>
      <w:spacing w:val="15"/>
      <w:sz w:val="22"/>
      <w:shd w:val="clear" w:color="auto" w:fill="4A66AC" w:themeFill="accent1"/>
    </w:rPr>
  </w:style>
  <w:style w:type="character" w:customStyle="1" w:styleId="Titre4Car">
    <w:name w:val="Titre 4 Car"/>
    <w:basedOn w:val="Policepardfaut"/>
    <w:link w:val="Titre4"/>
    <w:uiPriority w:val="9"/>
    <w:rsid w:val="00BA1E49"/>
    <w:rPr>
      <w:b/>
      <w:caps/>
      <w:spacing w:val="15"/>
      <w:shd w:val="clear" w:color="auto" w:fill="D9DFEF" w:themeFill="accent1" w:themeFillTint="33"/>
    </w:rPr>
  </w:style>
  <w:style w:type="character" w:customStyle="1" w:styleId="Titre5Car">
    <w:name w:val="Titre 5 Car"/>
    <w:basedOn w:val="Policepardfaut"/>
    <w:link w:val="Titre5"/>
    <w:uiPriority w:val="9"/>
    <w:rsid w:val="00B36683"/>
    <w:rPr>
      <w:caps/>
      <w:color w:val="374C80" w:themeColor="accent1" w:themeShade="BF"/>
      <w:spacing w:val="10"/>
    </w:rPr>
  </w:style>
  <w:style w:type="character" w:customStyle="1" w:styleId="Titre6Car">
    <w:name w:val="Titre 6 Car"/>
    <w:basedOn w:val="Policepardfaut"/>
    <w:link w:val="Titre6"/>
    <w:uiPriority w:val="9"/>
    <w:semiHidden/>
    <w:rsid w:val="00B36683"/>
    <w:rPr>
      <w:caps/>
      <w:color w:val="374C80" w:themeColor="accent1" w:themeShade="BF"/>
      <w:spacing w:val="10"/>
    </w:rPr>
  </w:style>
  <w:style w:type="character" w:customStyle="1" w:styleId="Titre7Car">
    <w:name w:val="Titre 7 Car"/>
    <w:basedOn w:val="Policepardfaut"/>
    <w:link w:val="Titre7"/>
    <w:uiPriority w:val="9"/>
    <w:semiHidden/>
    <w:rsid w:val="00B36683"/>
    <w:rPr>
      <w:caps/>
      <w:color w:val="374C80" w:themeColor="accent1" w:themeShade="BF"/>
      <w:spacing w:val="10"/>
    </w:rPr>
  </w:style>
  <w:style w:type="character" w:customStyle="1" w:styleId="Titre8Car">
    <w:name w:val="Titre 8 Car"/>
    <w:basedOn w:val="Policepardfaut"/>
    <w:link w:val="Titre8"/>
    <w:uiPriority w:val="9"/>
    <w:semiHidden/>
    <w:rsid w:val="00B36683"/>
    <w:rPr>
      <w:caps/>
      <w:spacing w:val="10"/>
      <w:sz w:val="18"/>
      <w:szCs w:val="18"/>
    </w:rPr>
  </w:style>
  <w:style w:type="character" w:customStyle="1" w:styleId="Titre9Car">
    <w:name w:val="Titre 9 Car"/>
    <w:basedOn w:val="Policepardfaut"/>
    <w:link w:val="Titre9"/>
    <w:uiPriority w:val="9"/>
    <w:semiHidden/>
    <w:rsid w:val="00B36683"/>
    <w:rPr>
      <w:i/>
      <w:iCs/>
      <w:caps/>
      <w:spacing w:val="10"/>
      <w:sz w:val="18"/>
      <w:szCs w:val="18"/>
    </w:rPr>
  </w:style>
  <w:style w:type="paragraph" w:styleId="NormalWeb">
    <w:name w:val="Normal (Web)"/>
    <w:basedOn w:val="Normal"/>
    <w:uiPriority w:val="99"/>
    <w:unhideWhenUsed/>
    <w:rsid w:val="000A07A8"/>
    <w:pPr>
      <w:spacing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xt">
    <w:name w:val="txt"/>
    <w:basedOn w:val="Policepardfaut"/>
    <w:rsid w:val="00FB0430"/>
  </w:style>
  <w:style w:type="character" w:customStyle="1" w:styleId="modif">
    <w:name w:val="modif"/>
    <w:basedOn w:val="Policepardfaut"/>
    <w:rsid w:val="00FB0430"/>
  </w:style>
  <w:style w:type="character" w:styleId="Lienhypertexte">
    <w:name w:val="Hyperlink"/>
    <w:basedOn w:val="Policepardfaut"/>
    <w:uiPriority w:val="99"/>
    <w:unhideWhenUsed/>
    <w:rsid w:val="00BD1019"/>
    <w:rPr>
      <w:color w:val="0000FF"/>
      <w:u w:val="single"/>
    </w:rPr>
  </w:style>
  <w:style w:type="character" w:customStyle="1" w:styleId="expos">
    <w:name w:val="expos"/>
    <w:basedOn w:val="Policepardfaut"/>
    <w:rsid w:val="00BD1019"/>
  </w:style>
  <w:style w:type="character" w:customStyle="1" w:styleId="art">
    <w:name w:val="art"/>
    <w:basedOn w:val="Policepardfaut"/>
    <w:rsid w:val="00BD1019"/>
  </w:style>
  <w:style w:type="paragraph" w:styleId="Paragraphedeliste">
    <w:name w:val="List Paragraph"/>
    <w:basedOn w:val="Normal"/>
    <w:uiPriority w:val="34"/>
    <w:qFormat/>
    <w:rsid w:val="00BD1019"/>
    <w:pPr>
      <w:ind w:left="720"/>
      <w:contextualSpacing/>
    </w:pPr>
  </w:style>
  <w:style w:type="character" w:customStyle="1" w:styleId="txtbold">
    <w:name w:val="txtbold"/>
    <w:basedOn w:val="Policepardfaut"/>
    <w:rsid w:val="005B4BAC"/>
  </w:style>
  <w:style w:type="character" w:styleId="Accentuation">
    <w:name w:val="Emphasis"/>
    <w:uiPriority w:val="20"/>
    <w:qFormat/>
    <w:rsid w:val="00B36683"/>
    <w:rPr>
      <w:caps/>
      <w:color w:val="243255" w:themeColor="accent1" w:themeShade="7F"/>
      <w:spacing w:val="5"/>
    </w:rPr>
  </w:style>
  <w:style w:type="character" w:styleId="lev">
    <w:name w:val="Strong"/>
    <w:uiPriority w:val="22"/>
    <w:qFormat/>
    <w:rsid w:val="00B36683"/>
    <w:rPr>
      <w:b/>
      <w:bCs/>
    </w:rPr>
  </w:style>
  <w:style w:type="character" w:customStyle="1" w:styleId="t6">
    <w:name w:val="t6"/>
    <w:basedOn w:val="Policepardfaut"/>
    <w:rsid w:val="0070675F"/>
  </w:style>
  <w:style w:type="paragraph" w:styleId="Textedebulles">
    <w:name w:val="Balloon Text"/>
    <w:basedOn w:val="Normal"/>
    <w:link w:val="TextedebullesCar"/>
    <w:uiPriority w:val="99"/>
    <w:semiHidden/>
    <w:unhideWhenUsed/>
    <w:rsid w:val="0098084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8084B"/>
    <w:rPr>
      <w:rFonts w:ascii="Segoe UI" w:hAnsi="Segoe UI" w:cs="Segoe UI"/>
      <w:sz w:val="18"/>
      <w:szCs w:val="18"/>
    </w:rPr>
  </w:style>
  <w:style w:type="character" w:customStyle="1" w:styleId="ctreference">
    <w:name w:val="ct_reference"/>
    <w:basedOn w:val="Policepardfaut"/>
    <w:rsid w:val="00803061"/>
  </w:style>
  <w:style w:type="character" w:customStyle="1" w:styleId="t8">
    <w:name w:val="t8"/>
    <w:basedOn w:val="Policepardfaut"/>
    <w:rsid w:val="00263DAB"/>
  </w:style>
  <w:style w:type="character" w:customStyle="1" w:styleId="t10">
    <w:name w:val="t10"/>
    <w:basedOn w:val="Policepardfaut"/>
    <w:rsid w:val="00263DAB"/>
  </w:style>
  <w:style w:type="character" w:customStyle="1" w:styleId="t7">
    <w:name w:val="t7"/>
    <w:basedOn w:val="Policepardfaut"/>
    <w:rsid w:val="005B2FBF"/>
  </w:style>
  <w:style w:type="paragraph" w:customStyle="1" w:styleId="ctparagraphetitre">
    <w:name w:val="ct_paragraphe_titre"/>
    <w:basedOn w:val="Normal"/>
    <w:uiPriority w:val="99"/>
    <w:rsid w:val="00802406"/>
    <w:pPr>
      <w:spacing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3">
    <w:name w:val="t3"/>
    <w:basedOn w:val="Policepardfaut"/>
    <w:rsid w:val="00D35A95"/>
  </w:style>
  <w:style w:type="character" w:customStyle="1" w:styleId="txtnote">
    <w:name w:val="txtnote"/>
    <w:basedOn w:val="Policepardfaut"/>
    <w:rsid w:val="00A22B78"/>
  </w:style>
  <w:style w:type="paragraph" w:styleId="En-tte">
    <w:name w:val="header"/>
    <w:basedOn w:val="Normal"/>
    <w:link w:val="En-tteCar"/>
    <w:uiPriority w:val="99"/>
    <w:unhideWhenUsed/>
    <w:rsid w:val="00EA076F"/>
    <w:pPr>
      <w:tabs>
        <w:tab w:val="center" w:pos="4536"/>
        <w:tab w:val="right" w:pos="9072"/>
      </w:tabs>
      <w:spacing w:after="0" w:line="240" w:lineRule="auto"/>
    </w:pPr>
  </w:style>
  <w:style w:type="character" w:customStyle="1" w:styleId="En-tteCar">
    <w:name w:val="En-tête Car"/>
    <w:basedOn w:val="Policepardfaut"/>
    <w:link w:val="En-tte"/>
    <w:uiPriority w:val="99"/>
    <w:rsid w:val="00EA076F"/>
  </w:style>
  <w:style w:type="paragraph" w:styleId="Pieddepage">
    <w:name w:val="footer"/>
    <w:basedOn w:val="Normal"/>
    <w:link w:val="PieddepageCar"/>
    <w:uiPriority w:val="99"/>
    <w:unhideWhenUsed/>
    <w:rsid w:val="00EA076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A076F"/>
  </w:style>
  <w:style w:type="table" w:styleId="Grilledutableau">
    <w:name w:val="Table Grid"/>
    <w:basedOn w:val="TableauNormal"/>
    <w:uiPriority w:val="59"/>
    <w:rsid w:val="00EA0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ghlighted">
    <w:name w:val="highlighted"/>
    <w:basedOn w:val="Normal"/>
    <w:uiPriority w:val="99"/>
    <w:rsid w:val="00EA076F"/>
    <w:pPr>
      <w:spacing w:beforeAutospacing="1" w:after="100" w:afterAutospacing="1" w:line="240" w:lineRule="auto"/>
    </w:pPr>
    <w:rPr>
      <w:rFonts w:ascii="Times New Roman" w:eastAsia="Times New Roman" w:hAnsi="Times New Roman" w:cs="Times New Roman"/>
      <w:sz w:val="24"/>
      <w:szCs w:val="24"/>
      <w:lang w:eastAsia="fr-FR"/>
    </w:rPr>
  </w:style>
  <w:style w:type="paragraph" w:styleId="Lgende">
    <w:name w:val="caption"/>
    <w:basedOn w:val="Normal"/>
    <w:next w:val="Normal"/>
    <w:uiPriority w:val="35"/>
    <w:semiHidden/>
    <w:unhideWhenUsed/>
    <w:qFormat/>
    <w:rsid w:val="00B36683"/>
    <w:rPr>
      <w:b/>
      <w:bCs/>
      <w:color w:val="374C80" w:themeColor="accent1" w:themeShade="BF"/>
      <w:sz w:val="16"/>
      <w:szCs w:val="16"/>
    </w:rPr>
  </w:style>
  <w:style w:type="paragraph" w:styleId="Titre">
    <w:name w:val="Title"/>
    <w:basedOn w:val="Normal"/>
    <w:next w:val="Normal"/>
    <w:link w:val="TitreCar"/>
    <w:uiPriority w:val="10"/>
    <w:qFormat/>
    <w:rsid w:val="00B36683"/>
    <w:pPr>
      <w:spacing w:before="0" w:after="0"/>
    </w:pPr>
    <w:rPr>
      <w:rFonts w:asciiTheme="majorHAnsi" w:eastAsiaTheme="majorEastAsia" w:hAnsiTheme="majorHAnsi" w:cstheme="majorBidi"/>
      <w:caps/>
      <w:color w:val="4A66AC" w:themeColor="accent1"/>
      <w:spacing w:val="10"/>
      <w:sz w:val="52"/>
      <w:szCs w:val="52"/>
    </w:rPr>
  </w:style>
  <w:style w:type="character" w:customStyle="1" w:styleId="TitreCar">
    <w:name w:val="Titre Car"/>
    <w:basedOn w:val="Policepardfaut"/>
    <w:link w:val="Titre"/>
    <w:uiPriority w:val="10"/>
    <w:rsid w:val="00B36683"/>
    <w:rPr>
      <w:rFonts w:asciiTheme="majorHAnsi" w:eastAsiaTheme="majorEastAsia" w:hAnsiTheme="majorHAnsi" w:cstheme="majorBidi"/>
      <w:caps/>
      <w:color w:val="4A66AC" w:themeColor="accent1"/>
      <w:spacing w:val="10"/>
      <w:sz w:val="52"/>
      <w:szCs w:val="52"/>
    </w:rPr>
  </w:style>
  <w:style w:type="paragraph" w:styleId="Sous-titre">
    <w:name w:val="Subtitle"/>
    <w:basedOn w:val="Normal"/>
    <w:next w:val="Normal"/>
    <w:link w:val="Sous-titreCar"/>
    <w:uiPriority w:val="11"/>
    <w:qFormat/>
    <w:rsid w:val="00B36683"/>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B36683"/>
    <w:rPr>
      <w:caps/>
      <w:color w:val="595959" w:themeColor="text1" w:themeTint="A6"/>
      <w:spacing w:val="10"/>
      <w:sz w:val="21"/>
      <w:szCs w:val="21"/>
    </w:rPr>
  </w:style>
  <w:style w:type="paragraph" w:styleId="Sansinterligne">
    <w:name w:val="No Spacing"/>
    <w:uiPriority w:val="1"/>
    <w:qFormat/>
    <w:rsid w:val="00B36683"/>
    <w:pPr>
      <w:spacing w:after="0" w:line="240" w:lineRule="auto"/>
    </w:pPr>
  </w:style>
  <w:style w:type="paragraph" w:styleId="Citation">
    <w:name w:val="Quote"/>
    <w:basedOn w:val="Normal"/>
    <w:next w:val="Normal"/>
    <w:link w:val="CitationCar"/>
    <w:uiPriority w:val="29"/>
    <w:qFormat/>
    <w:rsid w:val="00B36683"/>
    <w:rPr>
      <w:i/>
      <w:iCs/>
      <w:sz w:val="24"/>
      <w:szCs w:val="24"/>
    </w:rPr>
  </w:style>
  <w:style w:type="character" w:customStyle="1" w:styleId="CitationCar">
    <w:name w:val="Citation Car"/>
    <w:basedOn w:val="Policepardfaut"/>
    <w:link w:val="Citation"/>
    <w:uiPriority w:val="29"/>
    <w:rsid w:val="00B36683"/>
    <w:rPr>
      <w:i/>
      <w:iCs/>
      <w:sz w:val="24"/>
      <w:szCs w:val="24"/>
    </w:rPr>
  </w:style>
  <w:style w:type="paragraph" w:styleId="Citationintense">
    <w:name w:val="Intense Quote"/>
    <w:basedOn w:val="Normal"/>
    <w:next w:val="Normal"/>
    <w:link w:val="CitationintenseCar"/>
    <w:uiPriority w:val="30"/>
    <w:qFormat/>
    <w:rsid w:val="00B36683"/>
    <w:pPr>
      <w:spacing w:before="240" w:after="240" w:line="240" w:lineRule="auto"/>
      <w:ind w:left="1080" w:right="1080"/>
      <w:jc w:val="center"/>
    </w:pPr>
    <w:rPr>
      <w:color w:val="4A66AC" w:themeColor="accent1"/>
      <w:sz w:val="24"/>
      <w:szCs w:val="24"/>
    </w:rPr>
  </w:style>
  <w:style w:type="character" w:customStyle="1" w:styleId="CitationintenseCar">
    <w:name w:val="Citation intense Car"/>
    <w:basedOn w:val="Policepardfaut"/>
    <w:link w:val="Citationintense"/>
    <w:uiPriority w:val="30"/>
    <w:rsid w:val="00B36683"/>
    <w:rPr>
      <w:color w:val="4A66AC" w:themeColor="accent1"/>
      <w:sz w:val="24"/>
      <w:szCs w:val="24"/>
    </w:rPr>
  </w:style>
  <w:style w:type="character" w:styleId="Accentuationlgre">
    <w:name w:val="Subtle Emphasis"/>
    <w:uiPriority w:val="19"/>
    <w:qFormat/>
    <w:rsid w:val="00B36683"/>
    <w:rPr>
      <w:i/>
      <w:iCs/>
      <w:color w:val="243255" w:themeColor="accent1" w:themeShade="7F"/>
    </w:rPr>
  </w:style>
  <w:style w:type="character" w:styleId="Accentuationintense">
    <w:name w:val="Intense Emphasis"/>
    <w:uiPriority w:val="21"/>
    <w:qFormat/>
    <w:rsid w:val="00B36683"/>
    <w:rPr>
      <w:b/>
      <w:bCs/>
      <w:caps/>
      <w:color w:val="243255" w:themeColor="accent1" w:themeShade="7F"/>
      <w:spacing w:val="10"/>
    </w:rPr>
  </w:style>
  <w:style w:type="character" w:styleId="Rfrencelgre">
    <w:name w:val="Subtle Reference"/>
    <w:uiPriority w:val="31"/>
    <w:qFormat/>
    <w:rsid w:val="00B36683"/>
    <w:rPr>
      <w:b/>
      <w:bCs/>
      <w:color w:val="4A66AC" w:themeColor="accent1"/>
    </w:rPr>
  </w:style>
  <w:style w:type="character" w:styleId="Rfrenceintense">
    <w:name w:val="Intense Reference"/>
    <w:uiPriority w:val="32"/>
    <w:qFormat/>
    <w:rsid w:val="00B36683"/>
    <w:rPr>
      <w:b/>
      <w:bCs/>
      <w:i/>
      <w:iCs/>
      <w:caps/>
      <w:color w:val="4A66AC" w:themeColor="accent1"/>
    </w:rPr>
  </w:style>
  <w:style w:type="character" w:styleId="Titredulivre">
    <w:name w:val="Book Title"/>
    <w:uiPriority w:val="33"/>
    <w:qFormat/>
    <w:rsid w:val="00B36683"/>
    <w:rPr>
      <w:b/>
      <w:bCs/>
      <w:i/>
      <w:iCs/>
      <w:spacing w:val="0"/>
    </w:rPr>
  </w:style>
  <w:style w:type="paragraph" w:styleId="En-ttedetabledesmatires">
    <w:name w:val="TOC Heading"/>
    <w:basedOn w:val="Titre1"/>
    <w:next w:val="Normal"/>
    <w:uiPriority w:val="39"/>
    <w:unhideWhenUsed/>
    <w:qFormat/>
    <w:rsid w:val="00B36683"/>
    <w:pPr>
      <w:outlineLvl w:val="9"/>
    </w:pPr>
  </w:style>
  <w:style w:type="character" w:customStyle="1" w:styleId="txtexp">
    <w:name w:val="txtexp"/>
    <w:basedOn w:val="Policepardfaut"/>
    <w:rsid w:val="00EF5286"/>
  </w:style>
  <w:style w:type="character" w:customStyle="1" w:styleId="txtexpbold">
    <w:name w:val="txtexpbold"/>
    <w:basedOn w:val="Policepardfaut"/>
    <w:rsid w:val="00EF5286"/>
  </w:style>
  <w:style w:type="character" w:customStyle="1" w:styleId="linktargetnotfound">
    <w:name w:val="linktargetnotfound"/>
    <w:basedOn w:val="Policepardfaut"/>
    <w:rsid w:val="002B4DF5"/>
  </w:style>
  <w:style w:type="character" w:customStyle="1" w:styleId="p-fond">
    <w:name w:val="p-fond"/>
    <w:basedOn w:val="Policepardfaut"/>
    <w:rsid w:val="00DD738F"/>
  </w:style>
  <w:style w:type="character" w:customStyle="1" w:styleId="txtmodif">
    <w:name w:val="txtmodif"/>
    <w:basedOn w:val="Policepardfaut"/>
    <w:rsid w:val="00DD738F"/>
  </w:style>
  <w:style w:type="character" w:customStyle="1" w:styleId="st">
    <w:name w:val="st"/>
    <w:basedOn w:val="Policepardfaut"/>
    <w:rsid w:val="00EA00BF"/>
  </w:style>
  <w:style w:type="character" w:customStyle="1" w:styleId="Mentionnonrsolue1">
    <w:name w:val="Mention non résolue1"/>
    <w:basedOn w:val="Policepardfaut"/>
    <w:uiPriority w:val="99"/>
    <w:semiHidden/>
    <w:unhideWhenUsed/>
    <w:rsid w:val="006A7787"/>
    <w:rPr>
      <w:color w:val="808080"/>
      <w:shd w:val="clear" w:color="auto" w:fill="E6E6E6"/>
    </w:rPr>
  </w:style>
  <w:style w:type="paragraph" w:customStyle="1" w:styleId="c30dispositifalinea">
    <w:name w:val="c30dispositifalinea"/>
    <w:basedOn w:val="Normal"/>
    <w:uiPriority w:val="99"/>
    <w:rsid w:val="00D25F38"/>
    <w:pPr>
      <w:spacing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olicepardfaut1">
    <w:name w:val="Police par défaut1"/>
    <w:rsid w:val="00397EAD"/>
  </w:style>
  <w:style w:type="paragraph" w:customStyle="1" w:styleId="Standard">
    <w:name w:val="Standard"/>
    <w:rsid w:val="00397EAD"/>
    <w:pPr>
      <w:suppressAutoHyphens/>
      <w:autoSpaceDN w:val="0"/>
      <w:spacing w:before="0" w:after="160" w:line="249" w:lineRule="auto"/>
      <w:textAlignment w:val="baseline"/>
    </w:pPr>
    <w:rPr>
      <w:rFonts w:ascii="Calibri" w:eastAsia="FZSongTi" w:hAnsi="Calibri" w:cs="F"/>
      <w:kern w:val="3"/>
      <w:sz w:val="22"/>
      <w:szCs w:val="22"/>
    </w:rPr>
  </w:style>
  <w:style w:type="character" w:customStyle="1" w:styleId="txt1">
    <w:name w:val="txt1"/>
    <w:basedOn w:val="Policepardfaut"/>
    <w:rsid w:val="00831E42"/>
    <w:rPr>
      <w:rFonts w:ascii="Arial" w:hAnsi="Arial" w:cs="Arial" w:hint="default"/>
      <w:b w:val="0"/>
      <w:bCs w:val="0"/>
      <w:color w:val="000000"/>
      <w:sz w:val="18"/>
      <w:szCs w:val="18"/>
    </w:rPr>
  </w:style>
  <w:style w:type="character" w:customStyle="1" w:styleId="txtbold1">
    <w:name w:val="txtbold1"/>
    <w:basedOn w:val="Policepardfaut"/>
    <w:rsid w:val="00831E42"/>
    <w:rPr>
      <w:rFonts w:ascii="Arial" w:hAnsi="Arial" w:cs="Arial" w:hint="default"/>
      <w:b/>
      <w:bCs/>
      <w:color w:val="000000"/>
      <w:sz w:val="18"/>
      <w:szCs w:val="18"/>
    </w:rPr>
  </w:style>
  <w:style w:type="paragraph" w:customStyle="1" w:styleId="Style6">
    <w:name w:val="Style6"/>
    <w:basedOn w:val="Normal"/>
    <w:uiPriority w:val="99"/>
    <w:qFormat/>
    <w:rsid w:val="00CC5D55"/>
    <w:pPr>
      <w:tabs>
        <w:tab w:val="left" w:pos="709"/>
        <w:tab w:val="left" w:pos="993"/>
      </w:tabs>
      <w:spacing w:before="360" w:after="240" w:line="280" w:lineRule="exact"/>
      <w:ind w:left="709" w:hanging="709"/>
      <w:jc w:val="both"/>
    </w:pPr>
    <w:rPr>
      <w:rFonts w:ascii="Arial" w:eastAsia="Calibri" w:hAnsi="Arial" w:cs="Arial"/>
      <w:color w:val="374C80" w:themeColor="accent1" w:themeShade="BF"/>
      <w:u w:val="single"/>
    </w:rPr>
  </w:style>
  <w:style w:type="character" w:styleId="Marquedecommentaire">
    <w:name w:val="annotation reference"/>
    <w:basedOn w:val="Policepardfaut"/>
    <w:uiPriority w:val="99"/>
    <w:semiHidden/>
    <w:unhideWhenUsed/>
    <w:rsid w:val="00271495"/>
    <w:rPr>
      <w:sz w:val="16"/>
      <w:szCs w:val="16"/>
    </w:rPr>
  </w:style>
  <w:style w:type="paragraph" w:styleId="Commentaire">
    <w:name w:val="annotation text"/>
    <w:basedOn w:val="Normal"/>
    <w:link w:val="CommentaireCar"/>
    <w:uiPriority w:val="99"/>
    <w:semiHidden/>
    <w:unhideWhenUsed/>
    <w:rsid w:val="00271495"/>
    <w:pPr>
      <w:spacing w:line="240" w:lineRule="auto"/>
    </w:pPr>
  </w:style>
  <w:style w:type="character" w:customStyle="1" w:styleId="CommentaireCar">
    <w:name w:val="Commentaire Car"/>
    <w:basedOn w:val="Policepardfaut"/>
    <w:link w:val="Commentaire"/>
    <w:uiPriority w:val="99"/>
    <w:semiHidden/>
    <w:rsid w:val="00271495"/>
  </w:style>
  <w:style w:type="paragraph" w:styleId="Objetducommentaire">
    <w:name w:val="annotation subject"/>
    <w:basedOn w:val="Commentaire"/>
    <w:next w:val="Commentaire"/>
    <w:link w:val="ObjetducommentaireCar"/>
    <w:uiPriority w:val="99"/>
    <w:semiHidden/>
    <w:unhideWhenUsed/>
    <w:rsid w:val="00271495"/>
    <w:rPr>
      <w:b/>
      <w:bCs/>
    </w:rPr>
  </w:style>
  <w:style w:type="character" w:customStyle="1" w:styleId="ObjetducommentaireCar">
    <w:name w:val="Objet du commentaire Car"/>
    <w:basedOn w:val="CommentaireCar"/>
    <w:link w:val="Objetducommentaire"/>
    <w:uiPriority w:val="99"/>
    <w:semiHidden/>
    <w:rsid w:val="00271495"/>
    <w:rPr>
      <w:b/>
      <w:bCs/>
    </w:rPr>
  </w:style>
  <w:style w:type="character" w:styleId="Lienhypertextesuivivisit">
    <w:name w:val="FollowedHyperlink"/>
    <w:basedOn w:val="Policepardfaut"/>
    <w:uiPriority w:val="99"/>
    <w:semiHidden/>
    <w:unhideWhenUsed/>
    <w:rsid w:val="0050590F"/>
    <w:rPr>
      <w:color w:val="3EBBF0" w:themeColor="followedHyperlink"/>
      <w:u w:val="single"/>
    </w:rPr>
  </w:style>
  <w:style w:type="paragraph" w:customStyle="1" w:styleId="msonormal0">
    <w:name w:val="msonormal"/>
    <w:basedOn w:val="Normal"/>
    <w:uiPriority w:val="99"/>
    <w:rsid w:val="0050590F"/>
    <w:pPr>
      <w:spacing w:beforeAutospacing="1" w:after="100" w:afterAutospacing="1" w:line="240" w:lineRule="auto"/>
    </w:pPr>
    <w:rPr>
      <w:rFonts w:ascii="Times New Roman" w:eastAsia="Times New Roman" w:hAnsi="Times New Roman" w:cs="Times New Roman"/>
      <w:sz w:val="24"/>
      <w:szCs w:val="24"/>
      <w:lang w:eastAsia="fr-FR"/>
    </w:rPr>
  </w:style>
  <w:style w:type="paragraph" w:styleId="TM1">
    <w:name w:val="toc 1"/>
    <w:basedOn w:val="Normal"/>
    <w:next w:val="Normal"/>
    <w:autoRedefine/>
    <w:uiPriority w:val="39"/>
    <w:unhideWhenUsed/>
    <w:rsid w:val="0050590F"/>
    <w:pPr>
      <w:spacing w:after="100"/>
    </w:pPr>
  </w:style>
  <w:style w:type="paragraph" w:styleId="TM2">
    <w:name w:val="toc 2"/>
    <w:basedOn w:val="Normal"/>
    <w:next w:val="Normal"/>
    <w:autoRedefine/>
    <w:uiPriority w:val="39"/>
    <w:unhideWhenUsed/>
    <w:rsid w:val="0050590F"/>
    <w:pPr>
      <w:spacing w:after="100"/>
      <w:ind w:left="200"/>
    </w:pPr>
  </w:style>
  <w:style w:type="paragraph" w:styleId="TM3">
    <w:name w:val="toc 3"/>
    <w:basedOn w:val="Normal"/>
    <w:next w:val="Normal"/>
    <w:autoRedefine/>
    <w:uiPriority w:val="39"/>
    <w:unhideWhenUsed/>
    <w:rsid w:val="0050590F"/>
    <w:pPr>
      <w:spacing w:before="0" w:after="100" w:line="256" w:lineRule="auto"/>
      <w:ind w:left="440"/>
    </w:pPr>
    <w:rPr>
      <w:sz w:val="22"/>
      <w:szCs w:val="22"/>
      <w:lang w:eastAsia="fr-FR"/>
    </w:rPr>
  </w:style>
  <w:style w:type="paragraph" w:styleId="TM4">
    <w:name w:val="toc 4"/>
    <w:basedOn w:val="Normal"/>
    <w:next w:val="Normal"/>
    <w:autoRedefine/>
    <w:uiPriority w:val="39"/>
    <w:unhideWhenUsed/>
    <w:rsid w:val="0050590F"/>
    <w:pPr>
      <w:spacing w:before="0" w:after="100" w:line="256" w:lineRule="auto"/>
      <w:ind w:left="660"/>
    </w:pPr>
    <w:rPr>
      <w:sz w:val="22"/>
      <w:szCs w:val="22"/>
      <w:lang w:eastAsia="fr-FR"/>
    </w:rPr>
  </w:style>
  <w:style w:type="paragraph" w:styleId="TM5">
    <w:name w:val="toc 5"/>
    <w:basedOn w:val="Normal"/>
    <w:next w:val="Normal"/>
    <w:autoRedefine/>
    <w:uiPriority w:val="39"/>
    <w:unhideWhenUsed/>
    <w:rsid w:val="0050590F"/>
    <w:pPr>
      <w:spacing w:before="0" w:after="100" w:line="256" w:lineRule="auto"/>
      <w:ind w:left="880"/>
    </w:pPr>
    <w:rPr>
      <w:sz w:val="22"/>
      <w:szCs w:val="22"/>
      <w:lang w:eastAsia="fr-FR"/>
    </w:rPr>
  </w:style>
  <w:style w:type="paragraph" w:styleId="TM6">
    <w:name w:val="toc 6"/>
    <w:basedOn w:val="Normal"/>
    <w:next w:val="Normal"/>
    <w:autoRedefine/>
    <w:uiPriority w:val="39"/>
    <w:unhideWhenUsed/>
    <w:rsid w:val="0050590F"/>
    <w:pPr>
      <w:spacing w:before="0" w:after="100" w:line="256" w:lineRule="auto"/>
      <w:ind w:left="1100"/>
    </w:pPr>
    <w:rPr>
      <w:sz w:val="22"/>
      <w:szCs w:val="22"/>
      <w:lang w:eastAsia="fr-FR"/>
    </w:rPr>
  </w:style>
  <w:style w:type="paragraph" w:styleId="TM7">
    <w:name w:val="toc 7"/>
    <w:basedOn w:val="Normal"/>
    <w:next w:val="Normal"/>
    <w:autoRedefine/>
    <w:uiPriority w:val="39"/>
    <w:unhideWhenUsed/>
    <w:rsid w:val="0050590F"/>
    <w:pPr>
      <w:spacing w:before="0" w:after="100" w:line="256" w:lineRule="auto"/>
      <w:ind w:left="1320"/>
    </w:pPr>
    <w:rPr>
      <w:sz w:val="22"/>
      <w:szCs w:val="22"/>
      <w:lang w:eastAsia="fr-FR"/>
    </w:rPr>
  </w:style>
  <w:style w:type="paragraph" w:styleId="TM8">
    <w:name w:val="toc 8"/>
    <w:basedOn w:val="Normal"/>
    <w:next w:val="Normal"/>
    <w:autoRedefine/>
    <w:uiPriority w:val="39"/>
    <w:unhideWhenUsed/>
    <w:rsid w:val="0050590F"/>
    <w:pPr>
      <w:spacing w:before="0" w:after="100" w:line="256" w:lineRule="auto"/>
      <w:ind w:left="1540"/>
    </w:pPr>
    <w:rPr>
      <w:sz w:val="22"/>
      <w:szCs w:val="22"/>
      <w:lang w:eastAsia="fr-FR"/>
    </w:rPr>
  </w:style>
  <w:style w:type="paragraph" w:styleId="TM9">
    <w:name w:val="toc 9"/>
    <w:basedOn w:val="Normal"/>
    <w:next w:val="Normal"/>
    <w:autoRedefine/>
    <w:uiPriority w:val="39"/>
    <w:unhideWhenUsed/>
    <w:rsid w:val="0050590F"/>
    <w:pPr>
      <w:spacing w:before="0" w:after="100" w:line="256" w:lineRule="auto"/>
      <w:ind w:left="1760"/>
    </w:pPr>
    <w:rPr>
      <w:sz w:val="22"/>
      <w:szCs w:val="22"/>
      <w:lang w:eastAsia="fr-FR"/>
    </w:rPr>
  </w:style>
  <w:style w:type="character" w:customStyle="1" w:styleId="apple-converted-space">
    <w:name w:val="apple-converted-space"/>
    <w:basedOn w:val="Policepardfaut"/>
    <w:rsid w:val="00514139"/>
  </w:style>
  <w:style w:type="paragraph" w:customStyle="1" w:styleId="paragraphe-western">
    <w:name w:val="paragraphe-western"/>
    <w:basedOn w:val="Normal"/>
    <w:rsid w:val="00E63C1C"/>
    <w:pPr>
      <w:spacing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entionnonrsolue2">
    <w:name w:val="Mention non résolue2"/>
    <w:basedOn w:val="Policepardfaut"/>
    <w:uiPriority w:val="99"/>
    <w:semiHidden/>
    <w:unhideWhenUsed/>
    <w:rsid w:val="005A48CF"/>
    <w:rPr>
      <w:color w:val="808080"/>
      <w:shd w:val="clear" w:color="auto" w:fill="E6E6E6"/>
    </w:rPr>
  </w:style>
  <w:style w:type="character" w:customStyle="1" w:styleId="Mentionnonrsolue3">
    <w:name w:val="Mention non résolue3"/>
    <w:basedOn w:val="Policepardfaut"/>
    <w:uiPriority w:val="99"/>
    <w:semiHidden/>
    <w:unhideWhenUsed/>
    <w:rsid w:val="00270135"/>
    <w:rPr>
      <w:color w:val="808080"/>
      <w:shd w:val="clear" w:color="auto" w:fill="E6E6E6"/>
    </w:rPr>
  </w:style>
  <w:style w:type="paragraph" w:styleId="Rvision">
    <w:name w:val="Revision"/>
    <w:hidden/>
    <w:uiPriority w:val="99"/>
    <w:semiHidden/>
    <w:rsid w:val="00F670CC"/>
    <w:pPr>
      <w:spacing w:before="0" w:after="0" w:line="240" w:lineRule="auto"/>
    </w:pPr>
  </w:style>
  <w:style w:type="paragraph" w:customStyle="1" w:styleId="entry-unrelated">
    <w:name w:val="entry-unrelated"/>
    <w:basedOn w:val="Normal"/>
    <w:rsid w:val="000C1366"/>
    <w:pPr>
      <w:spacing w:beforeAutospacing="1" w:after="100" w:afterAutospacing="1" w:line="240" w:lineRule="auto"/>
    </w:pPr>
    <w:rPr>
      <w:rFonts w:ascii="Times New Roman" w:eastAsia="Times New Roman" w:hAnsi="Times New Roman" w:cs="Times New Roman"/>
      <w:sz w:val="24"/>
      <w:szCs w:val="24"/>
      <w:lang w:eastAsia="fr-FR"/>
    </w:rPr>
  </w:style>
  <w:style w:type="paragraph" w:styleId="Corpsdetexte">
    <w:name w:val="Body Text"/>
    <w:basedOn w:val="Normal"/>
    <w:link w:val="CorpsdetexteCar"/>
    <w:rsid w:val="00956665"/>
    <w:pPr>
      <w:suppressAutoHyphens/>
      <w:spacing w:before="0" w:after="120"/>
    </w:pPr>
    <w:rPr>
      <w:rFonts w:ascii="Calibri" w:eastAsia="Calibri" w:hAnsi="Calibri" w:cs="Times New Roman"/>
      <w:sz w:val="22"/>
      <w:szCs w:val="22"/>
      <w:lang w:eastAsia="ar-SA"/>
    </w:rPr>
  </w:style>
  <w:style w:type="character" w:customStyle="1" w:styleId="CorpsdetexteCar">
    <w:name w:val="Corps de texte Car"/>
    <w:basedOn w:val="Policepardfaut"/>
    <w:link w:val="Corpsdetexte"/>
    <w:rsid w:val="00956665"/>
    <w:rPr>
      <w:rFonts w:ascii="Calibri" w:eastAsia="Calibri" w:hAnsi="Calibri" w:cs="Times New Roman"/>
      <w:sz w:val="22"/>
      <w:szCs w:val="22"/>
      <w:lang w:eastAsia="ar-SA"/>
    </w:rPr>
  </w:style>
  <w:style w:type="character" w:customStyle="1" w:styleId="surlignage">
    <w:name w:val="surlignage"/>
    <w:basedOn w:val="Policepardfaut"/>
    <w:rsid w:val="00740CB1"/>
  </w:style>
  <w:style w:type="character" w:customStyle="1" w:styleId="Mentionnonrsolue4">
    <w:name w:val="Mention non résolue4"/>
    <w:basedOn w:val="Policepardfaut"/>
    <w:uiPriority w:val="99"/>
    <w:semiHidden/>
    <w:unhideWhenUsed/>
    <w:rsid w:val="006644FD"/>
    <w:rPr>
      <w:color w:val="605E5C"/>
      <w:shd w:val="clear" w:color="auto" w:fill="E1DFDD"/>
    </w:rPr>
  </w:style>
  <w:style w:type="character" w:customStyle="1" w:styleId="Mentionnonrsolue5">
    <w:name w:val="Mention non résolue5"/>
    <w:basedOn w:val="Policepardfaut"/>
    <w:uiPriority w:val="99"/>
    <w:semiHidden/>
    <w:unhideWhenUsed/>
    <w:rsid w:val="00516825"/>
    <w:rPr>
      <w:color w:val="605E5C"/>
      <w:shd w:val="clear" w:color="auto" w:fill="E1DFDD"/>
    </w:rPr>
  </w:style>
  <w:style w:type="character" w:customStyle="1" w:styleId="Mentionnonrsolue6">
    <w:name w:val="Mention non résolue6"/>
    <w:basedOn w:val="Policepardfaut"/>
    <w:uiPriority w:val="99"/>
    <w:semiHidden/>
    <w:unhideWhenUsed/>
    <w:rsid w:val="00737114"/>
    <w:rPr>
      <w:color w:val="605E5C"/>
      <w:shd w:val="clear" w:color="auto" w:fill="E1DFDD"/>
    </w:rPr>
  </w:style>
  <w:style w:type="character" w:customStyle="1" w:styleId="qw-refdoc">
    <w:name w:val="qw-refdoc"/>
    <w:basedOn w:val="Policepardfaut"/>
    <w:rsid w:val="00E51588"/>
  </w:style>
  <w:style w:type="paragraph" w:customStyle="1" w:styleId="texte">
    <w:name w:val="texte"/>
    <w:basedOn w:val="Normal"/>
    <w:rsid w:val="008B306B"/>
    <w:pPr>
      <w:spacing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rix">
    <w:name w:val="prix"/>
    <w:basedOn w:val="Policepardfaut"/>
    <w:rsid w:val="00CE5680"/>
  </w:style>
  <w:style w:type="character" w:styleId="Mentionnonrsolue">
    <w:name w:val="Unresolved Mention"/>
    <w:basedOn w:val="Policepardfaut"/>
    <w:uiPriority w:val="99"/>
    <w:semiHidden/>
    <w:unhideWhenUsed/>
    <w:rsid w:val="001250C5"/>
    <w:rPr>
      <w:color w:val="605E5C"/>
      <w:shd w:val="clear" w:color="auto" w:fill="E1DFDD"/>
    </w:rPr>
  </w:style>
  <w:style w:type="paragraph" w:customStyle="1" w:styleId="paragraph">
    <w:name w:val="paragraph"/>
    <w:basedOn w:val="Normal"/>
    <w:rsid w:val="00B573D4"/>
    <w:pPr>
      <w:spacing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B573D4"/>
  </w:style>
  <w:style w:type="character" w:customStyle="1" w:styleId="eop">
    <w:name w:val="eop"/>
    <w:basedOn w:val="Policepardfaut"/>
    <w:rsid w:val="00B573D4"/>
  </w:style>
  <w:style w:type="character" w:customStyle="1" w:styleId="contextualspellingandgrammarerror">
    <w:name w:val="contextualspellingandgrammarerror"/>
    <w:basedOn w:val="Policepardfaut"/>
    <w:rsid w:val="00350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8303">
      <w:bodyDiv w:val="1"/>
      <w:marLeft w:val="0"/>
      <w:marRight w:val="0"/>
      <w:marTop w:val="0"/>
      <w:marBottom w:val="0"/>
      <w:divBdr>
        <w:top w:val="none" w:sz="0" w:space="0" w:color="auto"/>
        <w:left w:val="none" w:sz="0" w:space="0" w:color="auto"/>
        <w:bottom w:val="none" w:sz="0" w:space="0" w:color="auto"/>
        <w:right w:val="none" w:sz="0" w:space="0" w:color="auto"/>
      </w:divBdr>
    </w:div>
    <w:div w:id="52895262">
      <w:bodyDiv w:val="1"/>
      <w:marLeft w:val="0"/>
      <w:marRight w:val="0"/>
      <w:marTop w:val="0"/>
      <w:marBottom w:val="0"/>
      <w:divBdr>
        <w:top w:val="none" w:sz="0" w:space="0" w:color="auto"/>
        <w:left w:val="none" w:sz="0" w:space="0" w:color="auto"/>
        <w:bottom w:val="none" w:sz="0" w:space="0" w:color="auto"/>
        <w:right w:val="none" w:sz="0" w:space="0" w:color="auto"/>
      </w:divBdr>
    </w:div>
    <w:div w:id="74136665">
      <w:bodyDiv w:val="1"/>
      <w:marLeft w:val="0"/>
      <w:marRight w:val="0"/>
      <w:marTop w:val="0"/>
      <w:marBottom w:val="0"/>
      <w:divBdr>
        <w:top w:val="none" w:sz="0" w:space="0" w:color="auto"/>
        <w:left w:val="none" w:sz="0" w:space="0" w:color="auto"/>
        <w:bottom w:val="none" w:sz="0" w:space="0" w:color="auto"/>
        <w:right w:val="none" w:sz="0" w:space="0" w:color="auto"/>
      </w:divBdr>
    </w:div>
    <w:div w:id="78797850">
      <w:bodyDiv w:val="1"/>
      <w:marLeft w:val="0"/>
      <w:marRight w:val="0"/>
      <w:marTop w:val="0"/>
      <w:marBottom w:val="0"/>
      <w:divBdr>
        <w:top w:val="none" w:sz="0" w:space="0" w:color="auto"/>
        <w:left w:val="none" w:sz="0" w:space="0" w:color="auto"/>
        <w:bottom w:val="none" w:sz="0" w:space="0" w:color="auto"/>
        <w:right w:val="none" w:sz="0" w:space="0" w:color="auto"/>
      </w:divBdr>
      <w:divsChild>
        <w:div w:id="693967955">
          <w:marLeft w:val="0"/>
          <w:marRight w:val="0"/>
          <w:marTop w:val="0"/>
          <w:marBottom w:val="0"/>
          <w:divBdr>
            <w:top w:val="none" w:sz="0" w:space="0" w:color="auto"/>
            <w:left w:val="none" w:sz="0" w:space="0" w:color="auto"/>
            <w:bottom w:val="none" w:sz="0" w:space="0" w:color="auto"/>
            <w:right w:val="none" w:sz="0" w:space="0" w:color="auto"/>
          </w:divBdr>
          <w:divsChild>
            <w:div w:id="212813163">
              <w:marLeft w:val="0"/>
              <w:marRight w:val="0"/>
              <w:marTop w:val="0"/>
              <w:marBottom w:val="0"/>
              <w:divBdr>
                <w:top w:val="none" w:sz="0" w:space="0" w:color="auto"/>
                <w:left w:val="none" w:sz="0" w:space="0" w:color="auto"/>
                <w:bottom w:val="none" w:sz="0" w:space="0" w:color="auto"/>
                <w:right w:val="none" w:sz="0" w:space="0" w:color="auto"/>
              </w:divBdr>
            </w:div>
            <w:div w:id="1348093941">
              <w:marLeft w:val="0"/>
              <w:marRight w:val="0"/>
              <w:marTop w:val="0"/>
              <w:marBottom w:val="0"/>
              <w:divBdr>
                <w:top w:val="none" w:sz="0" w:space="0" w:color="auto"/>
                <w:left w:val="none" w:sz="0" w:space="0" w:color="auto"/>
                <w:bottom w:val="none" w:sz="0" w:space="0" w:color="auto"/>
                <w:right w:val="none" w:sz="0" w:space="0" w:color="auto"/>
              </w:divBdr>
            </w:div>
          </w:divsChild>
        </w:div>
        <w:div w:id="857160743">
          <w:marLeft w:val="0"/>
          <w:marRight w:val="0"/>
          <w:marTop w:val="0"/>
          <w:marBottom w:val="0"/>
          <w:divBdr>
            <w:top w:val="none" w:sz="0" w:space="0" w:color="auto"/>
            <w:left w:val="none" w:sz="0" w:space="0" w:color="auto"/>
            <w:bottom w:val="none" w:sz="0" w:space="0" w:color="auto"/>
            <w:right w:val="none" w:sz="0" w:space="0" w:color="auto"/>
          </w:divBdr>
        </w:div>
      </w:divsChild>
    </w:div>
    <w:div w:id="88549320">
      <w:bodyDiv w:val="1"/>
      <w:marLeft w:val="0"/>
      <w:marRight w:val="0"/>
      <w:marTop w:val="0"/>
      <w:marBottom w:val="0"/>
      <w:divBdr>
        <w:top w:val="none" w:sz="0" w:space="0" w:color="auto"/>
        <w:left w:val="none" w:sz="0" w:space="0" w:color="auto"/>
        <w:bottom w:val="none" w:sz="0" w:space="0" w:color="auto"/>
        <w:right w:val="none" w:sz="0" w:space="0" w:color="auto"/>
      </w:divBdr>
    </w:div>
    <w:div w:id="105197594">
      <w:bodyDiv w:val="1"/>
      <w:marLeft w:val="0"/>
      <w:marRight w:val="0"/>
      <w:marTop w:val="0"/>
      <w:marBottom w:val="0"/>
      <w:divBdr>
        <w:top w:val="none" w:sz="0" w:space="0" w:color="auto"/>
        <w:left w:val="none" w:sz="0" w:space="0" w:color="auto"/>
        <w:bottom w:val="none" w:sz="0" w:space="0" w:color="auto"/>
        <w:right w:val="none" w:sz="0" w:space="0" w:color="auto"/>
      </w:divBdr>
      <w:divsChild>
        <w:div w:id="150365801">
          <w:marLeft w:val="0"/>
          <w:marRight w:val="0"/>
          <w:marTop w:val="0"/>
          <w:marBottom w:val="0"/>
          <w:divBdr>
            <w:top w:val="none" w:sz="0" w:space="0" w:color="auto"/>
            <w:left w:val="none" w:sz="0" w:space="0" w:color="auto"/>
            <w:bottom w:val="none" w:sz="0" w:space="0" w:color="auto"/>
            <w:right w:val="none" w:sz="0" w:space="0" w:color="auto"/>
          </w:divBdr>
        </w:div>
        <w:div w:id="187110210">
          <w:marLeft w:val="0"/>
          <w:marRight w:val="0"/>
          <w:marTop w:val="0"/>
          <w:marBottom w:val="0"/>
          <w:divBdr>
            <w:top w:val="none" w:sz="0" w:space="0" w:color="auto"/>
            <w:left w:val="none" w:sz="0" w:space="0" w:color="auto"/>
            <w:bottom w:val="none" w:sz="0" w:space="0" w:color="auto"/>
            <w:right w:val="none" w:sz="0" w:space="0" w:color="auto"/>
          </w:divBdr>
        </w:div>
        <w:div w:id="517044575">
          <w:marLeft w:val="0"/>
          <w:marRight w:val="0"/>
          <w:marTop w:val="0"/>
          <w:marBottom w:val="0"/>
          <w:divBdr>
            <w:top w:val="none" w:sz="0" w:space="0" w:color="auto"/>
            <w:left w:val="none" w:sz="0" w:space="0" w:color="auto"/>
            <w:bottom w:val="none" w:sz="0" w:space="0" w:color="auto"/>
            <w:right w:val="none" w:sz="0" w:space="0" w:color="auto"/>
          </w:divBdr>
        </w:div>
        <w:div w:id="816336372">
          <w:marLeft w:val="0"/>
          <w:marRight w:val="0"/>
          <w:marTop w:val="0"/>
          <w:marBottom w:val="0"/>
          <w:divBdr>
            <w:top w:val="none" w:sz="0" w:space="0" w:color="auto"/>
            <w:left w:val="none" w:sz="0" w:space="0" w:color="auto"/>
            <w:bottom w:val="none" w:sz="0" w:space="0" w:color="auto"/>
            <w:right w:val="none" w:sz="0" w:space="0" w:color="auto"/>
          </w:divBdr>
        </w:div>
        <w:div w:id="869148087">
          <w:marLeft w:val="0"/>
          <w:marRight w:val="0"/>
          <w:marTop w:val="0"/>
          <w:marBottom w:val="0"/>
          <w:divBdr>
            <w:top w:val="none" w:sz="0" w:space="0" w:color="auto"/>
            <w:left w:val="none" w:sz="0" w:space="0" w:color="auto"/>
            <w:bottom w:val="none" w:sz="0" w:space="0" w:color="auto"/>
            <w:right w:val="none" w:sz="0" w:space="0" w:color="auto"/>
          </w:divBdr>
        </w:div>
        <w:div w:id="1693922370">
          <w:marLeft w:val="0"/>
          <w:marRight w:val="0"/>
          <w:marTop w:val="0"/>
          <w:marBottom w:val="0"/>
          <w:divBdr>
            <w:top w:val="none" w:sz="0" w:space="0" w:color="auto"/>
            <w:left w:val="none" w:sz="0" w:space="0" w:color="auto"/>
            <w:bottom w:val="none" w:sz="0" w:space="0" w:color="auto"/>
            <w:right w:val="none" w:sz="0" w:space="0" w:color="auto"/>
          </w:divBdr>
        </w:div>
        <w:div w:id="1955089570">
          <w:marLeft w:val="0"/>
          <w:marRight w:val="0"/>
          <w:marTop w:val="0"/>
          <w:marBottom w:val="0"/>
          <w:divBdr>
            <w:top w:val="none" w:sz="0" w:space="0" w:color="auto"/>
            <w:left w:val="none" w:sz="0" w:space="0" w:color="auto"/>
            <w:bottom w:val="none" w:sz="0" w:space="0" w:color="auto"/>
            <w:right w:val="none" w:sz="0" w:space="0" w:color="auto"/>
          </w:divBdr>
        </w:div>
        <w:div w:id="2036494017">
          <w:marLeft w:val="0"/>
          <w:marRight w:val="0"/>
          <w:marTop w:val="0"/>
          <w:marBottom w:val="0"/>
          <w:divBdr>
            <w:top w:val="none" w:sz="0" w:space="0" w:color="auto"/>
            <w:left w:val="none" w:sz="0" w:space="0" w:color="auto"/>
            <w:bottom w:val="none" w:sz="0" w:space="0" w:color="auto"/>
            <w:right w:val="none" w:sz="0" w:space="0" w:color="auto"/>
          </w:divBdr>
        </w:div>
        <w:div w:id="2073652723">
          <w:marLeft w:val="0"/>
          <w:marRight w:val="0"/>
          <w:marTop w:val="0"/>
          <w:marBottom w:val="0"/>
          <w:divBdr>
            <w:top w:val="none" w:sz="0" w:space="0" w:color="auto"/>
            <w:left w:val="none" w:sz="0" w:space="0" w:color="auto"/>
            <w:bottom w:val="none" w:sz="0" w:space="0" w:color="auto"/>
            <w:right w:val="none" w:sz="0" w:space="0" w:color="auto"/>
          </w:divBdr>
        </w:div>
      </w:divsChild>
    </w:div>
    <w:div w:id="132255029">
      <w:bodyDiv w:val="1"/>
      <w:marLeft w:val="0"/>
      <w:marRight w:val="0"/>
      <w:marTop w:val="0"/>
      <w:marBottom w:val="0"/>
      <w:divBdr>
        <w:top w:val="none" w:sz="0" w:space="0" w:color="auto"/>
        <w:left w:val="none" w:sz="0" w:space="0" w:color="auto"/>
        <w:bottom w:val="none" w:sz="0" w:space="0" w:color="auto"/>
        <w:right w:val="none" w:sz="0" w:space="0" w:color="auto"/>
      </w:divBdr>
      <w:divsChild>
        <w:div w:id="217206841">
          <w:marLeft w:val="0"/>
          <w:marRight w:val="0"/>
          <w:marTop w:val="0"/>
          <w:marBottom w:val="0"/>
          <w:divBdr>
            <w:top w:val="none" w:sz="0" w:space="0" w:color="auto"/>
            <w:left w:val="none" w:sz="0" w:space="0" w:color="auto"/>
            <w:bottom w:val="none" w:sz="0" w:space="0" w:color="auto"/>
            <w:right w:val="none" w:sz="0" w:space="0" w:color="auto"/>
          </w:divBdr>
        </w:div>
        <w:div w:id="396050205">
          <w:marLeft w:val="0"/>
          <w:marRight w:val="0"/>
          <w:marTop w:val="0"/>
          <w:marBottom w:val="0"/>
          <w:divBdr>
            <w:top w:val="none" w:sz="0" w:space="0" w:color="auto"/>
            <w:left w:val="none" w:sz="0" w:space="0" w:color="auto"/>
            <w:bottom w:val="none" w:sz="0" w:space="0" w:color="auto"/>
            <w:right w:val="none" w:sz="0" w:space="0" w:color="auto"/>
          </w:divBdr>
        </w:div>
        <w:div w:id="424502510">
          <w:marLeft w:val="0"/>
          <w:marRight w:val="0"/>
          <w:marTop w:val="0"/>
          <w:marBottom w:val="0"/>
          <w:divBdr>
            <w:top w:val="none" w:sz="0" w:space="0" w:color="auto"/>
            <w:left w:val="none" w:sz="0" w:space="0" w:color="auto"/>
            <w:bottom w:val="none" w:sz="0" w:space="0" w:color="auto"/>
            <w:right w:val="none" w:sz="0" w:space="0" w:color="auto"/>
          </w:divBdr>
        </w:div>
        <w:div w:id="429744953">
          <w:marLeft w:val="0"/>
          <w:marRight w:val="0"/>
          <w:marTop w:val="0"/>
          <w:marBottom w:val="0"/>
          <w:divBdr>
            <w:top w:val="none" w:sz="0" w:space="0" w:color="auto"/>
            <w:left w:val="none" w:sz="0" w:space="0" w:color="auto"/>
            <w:bottom w:val="none" w:sz="0" w:space="0" w:color="auto"/>
            <w:right w:val="none" w:sz="0" w:space="0" w:color="auto"/>
          </w:divBdr>
        </w:div>
        <w:div w:id="479152931">
          <w:marLeft w:val="0"/>
          <w:marRight w:val="0"/>
          <w:marTop w:val="0"/>
          <w:marBottom w:val="0"/>
          <w:divBdr>
            <w:top w:val="none" w:sz="0" w:space="0" w:color="auto"/>
            <w:left w:val="none" w:sz="0" w:space="0" w:color="auto"/>
            <w:bottom w:val="none" w:sz="0" w:space="0" w:color="auto"/>
            <w:right w:val="none" w:sz="0" w:space="0" w:color="auto"/>
          </w:divBdr>
        </w:div>
        <w:div w:id="965891174">
          <w:marLeft w:val="0"/>
          <w:marRight w:val="0"/>
          <w:marTop w:val="0"/>
          <w:marBottom w:val="0"/>
          <w:divBdr>
            <w:top w:val="none" w:sz="0" w:space="0" w:color="auto"/>
            <w:left w:val="none" w:sz="0" w:space="0" w:color="auto"/>
            <w:bottom w:val="none" w:sz="0" w:space="0" w:color="auto"/>
            <w:right w:val="none" w:sz="0" w:space="0" w:color="auto"/>
          </w:divBdr>
        </w:div>
        <w:div w:id="1064180057">
          <w:marLeft w:val="0"/>
          <w:marRight w:val="0"/>
          <w:marTop w:val="0"/>
          <w:marBottom w:val="0"/>
          <w:divBdr>
            <w:top w:val="none" w:sz="0" w:space="0" w:color="auto"/>
            <w:left w:val="none" w:sz="0" w:space="0" w:color="auto"/>
            <w:bottom w:val="none" w:sz="0" w:space="0" w:color="auto"/>
            <w:right w:val="none" w:sz="0" w:space="0" w:color="auto"/>
          </w:divBdr>
        </w:div>
        <w:div w:id="1074544811">
          <w:marLeft w:val="0"/>
          <w:marRight w:val="0"/>
          <w:marTop w:val="0"/>
          <w:marBottom w:val="0"/>
          <w:divBdr>
            <w:top w:val="none" w:sz="0" w:space="0" w:color="auto"/>
            <w:left w:val="none" w:sz="0" w:space="0" w:color="auto"/>
            <w:bottom w:val="none" w:sz="0" w:space="0" w:color="auto"/>
            <w:right w:val="none" w:sz="0" w:space="0" w:color="auto"/>
          </w:divBdr>
        </w:div>
        <w:div w:id="1269122217">
          <w:marLeft w:val="0"/>
          <w:marRight w:val="0"/>
          <w:marTop w:val="0"/>
          <w:marBottom w:val="0"/>
          <w:divBdr>
            <w:top w:val="none" w:sz="0" w:space="0" w:color="auto"/>
            <w:left w:val="none" w:sz="0" w:space="0" w:color="auto"/>
            <w:bottom w:val="none" w:sz="0" w:space="0" w:color="auto"/>
            <w:right w:val="none" w:sz="0" w:space="0" w:color="auto"/>
          </w:divBdr>
        </w:div>
        <w:div w:id="1271164497">
          <w:marLeft w:val="0"/>
          <w:marRight w:val="0"/>
          <w:marTop w:val="0"/>
          <w:marBottom w:val="0"/>
          <w:divBdr>
            <w:top w:val="none" w:sz="0" w:space="0" w:color="auto"/>
            <w:left w:val="none" w:sz="0" w:space="0" w:color="auto"/>
            <w:bottom w:val="none" w:sz="0" w:space="0" w:color="auto"/>
            <w:right w:val="none" w:sz="0" w:space="0" w:color="auto"/>
          </w:divBdr>
        </w:div>
        <w:div w:id="1329333491">
          <w:marLeft w:val="0"/>
          <w:marRight w:val="0"/>
          <w:marTop w:val="0"/>
          <w:marBottom w:val="0"/>
          <w:divBdr>
            <w:top w:val="none" w:sz="0" w:space="0" w:color="auto"/>
            <w:left w:val="none" w:sz="0" w:space="0" w:color="auto"/>
            <w:bottom w:val="none" w:sz="0" w:space="0" w:color="auto"/>
            <w:right w:val="none" w:sz="0" w:space="0" w:color="auto"/>
          </w:divBdr>
        </w:div>
        <w:div w:id="1638991077">
          <w:marLeft w:val="0"/>
          <w:marRight w:val="0"/>
          <w:marTop w:val="0"/>
          <w:marBottom w:val="0"/>
          <w:divBdr>
            <w:top w:val="none" w:sz="0" w:space="0" w:color="auto"/>
            <w:left w:val="none" w:sz="0" w:space="0" w:color="auto"/>
            <w:bottom w:val="none" w:sz="0" w:space="0" w:color="auto"/>
            <w:right w:val="none" w:sz="0" w:space="0" w:color="auto"/>
          </w:divBdr>
        </w:div>
        <w:div w:id="1752316578">
          <w:marLeft w:val="0"/>
          <w:marRight w:val="0"/>
          <w:marTop w:val="0"/>
          <w:marBottom w:val="0"/>
          <w:divBdr>
            <w:top w:val="none" w:sz="0" w:space="0" w:color="auto"/>
            <w:left w:val="none" w:sz="0" w:space="0" w:color="auto"/>
            <w:bottom w:val="none" w:sz="0" w:space="0" w:color="auto"/>
            <w:right w:val="none" w:sz="0" w:space="0" w:color="auto"/>
          </w:divBdr>
        </w:div>
        <w:div w:id="1779059394">
          <w:marLeft w:val="0"/>
          <w:marRight w:val="0"/>
          <w:marTop w:val="0"/>
          <w:marBottom w:val="0"/>
          <w:divBdr>
            <w:top w:val="none" w:sz="0" w:space="0" w:color="auto"/>
            <w:left w:val="none" w:sz="0" w:space="0" w:color="auto"/>
            <w:bottom w:val="none" w:sz="0" w:space="0" w:color="auto"/>
            <w:right w:val="none" w:sz="0" w:space="0" w:color="auto"/>
          </w:divBdr>
        </w:div>
        <w:div w:id="1876498373">
          <w:marLeft w:val="0"/>
          <w:marRight w:val="0"/>
          <w:marTop w:val="0"/>
          <w:marBottom w:val="0"/>
          <w:divBdr>
            <w:top w:val="none" w:sz="0" w:space="0" w:color="auto"/>
            <w:left w:val="none" w:sz="0" w:space="0" w:color="auto"/>
            <w:bottom w:val="none" w:sz="0" w:space="0" w:color="auto"/>
            <w:right w:val="none" w:sz="0" w:space="0" w:color="auto"/>
          </w:divBdr>
        </w:div>
        <w:div w:id="1951088105">
          <w:marLeft w:val="0"/>
          <w:marRight w:val="0"/>
          <w:marTop w:val="0"/>
          <w:marBottom w:val="0"/>
          <w:divBdr>
            <w:top w:val="none" w:sz="0" w:space="0" w:color="auto"/>
            <w:left w:val="none" w:sz="0" w:space="0" w:color="auto"/>
            <w:bottom w:val="none" w:sz="0" w:space="0" w:color="auto"/>
            <w:right w:val="none" w:sz="0" w:space="0" w:color="auto"/>
          </w:divBdr>
        </w:div>
        <w:div w:id="1986231066">
          <w:marLeft w:val="0"/>
          <w:marRight w:val="0"/>
          <w:marTop w:val="0"/>
          <w:marBottom w:val="0"/>
          <w:divBdr>
            <w:top w:val="none" w:sz="0" w:space="0" w:color="auto"/>
            <w:left w:val="none" w:sz="0" w:space="0" w:color="auto"/>
            <w:bottom w:val="none" w:sz="0" w:space="0" w:color="auto"/>
            <w:right w:val="none" w:sz="0" w:space="0" w:color="auto"/>
          </w:divBdr>
        </w:div>
      </w:divsChild>
    </w:div>
    <w:div w:id="135218460">
      <w:bodyDiv w:val="1"/>
      <w:marLeft w:val="0"/>
      <w:marRight w:val="0"/>
      <w:marTop w:val="0"/>
      <w:marBottom w:val="0"/>
      <w:divBdr>
        <w:top w:val="none" w:sz="0" w:space="0" w:color="auto"/>
        <w:left w:val="none" w:sz="0" w:space="0" w:color="auto"/>
        <w:bottom w:val="none" w:sz="0" w:space="0" w:color="auto"/>
        <w:right w:val="none" w:sz="0" w:space="0" w:color="auto"/>
      </w:divBdr>
    </w:div>
    <w:div w:id="150174196">
      <w:bodyDiv w:val="1"/>
      <w:marLeft w:val="0"/>
      <w:marRight w:val="0"/>
      <w:marTop w:val="0"/>
      <w:marBottom w:val="0"/>
      <w:divBdr>
        <w:top w:val="none" w:sz="0" w:space="0" w:color="auto"/>
        <w:left w:val="none" w:sz="0" w:space="0" w:color="auto"/>
        <w:bottom w:val="none" w:sz="0" w:space="0" w:color="auto"/>
        <w:right w:val="none" w:sz="0" w:space="0" w:color="auto"/>
      </w:divBdr>
      <w:divsChild>
        <w:div w:id="509023921">
          <w:marLeft w:val="0"/>
          <w:marRight w:val="0"/>
          <w:marTop w:val="0"/>
          <w:marBottom w:val="0"/>
          <w:divBdr>
            <w:top w:val="none" w:sz="0" w:space="0" w:color="auto"/>
            <w:left w:val="none" w:sz="0" w:space="0" w:color="auto"/>
            <w:bottom w:val="none" w:sz="0" w:space="0" w:color="auto"/>
            <w:right w:val="none" w:sz="0" w:space="0" w:color="auto"/>
          </w:divBdr>
        </w:div>
        <w:div w:id="1511407304">
          <w:marLeft w:val="0"/>
          <w:marRight w:val="0"/>
          <w:marTop w:val="0"/>
          <w:marBottom w:val="0"/>
          <w:divBdr>
            <w:top w:val="none" w:sz="0" w:space="0" w:color="auto"/>
            <w:left w:val="none" w:sz="0" w:space="0" w:color="auto"/>
            <w:bottom w:val="none" w:sz="0" w:space="0" w:color="auto"/>
            <w:right w:val="none" w:sz="0" w:space="0" w:color="auto"/>
          </w:divBdr>
        </w:div>
      </w:divsChild>
    </w:div>
    <w:div w:id="174392689">
      <w:bodyDiv w:val="1"/>
      <w:marLeft w:val="0"/>
      <w:marRight w:val="0"/>
      <w:marTop w:val="0"/>
      <w:marBottom w:val="0"/>
      <w:divBdr>
        <w:top w:val="none" w:sz="0" w:space="0" w:color="auto"/>
        <w:left w:val="none" w:sz="0" w:space="0" w:color="auto"/>
        <w:bottom w:val="none" w:sz="0" w:space="0" w:color="auto"/>
        <w:right w:val="none" w:sz="0" w:space="0" w:color="auto"/>
      </w:divBdr>
    </w:div>
    <w:div w:id="181404609">
      <w:bodyDiv w:val="1"/>
      <w:marLeft w:val="0"/>
      <w:marRight w:val="0"/>
      <w:marTop w:val="0"/>
      <w:marBottom w:val="0"/>
      <w:divBdr>
        <w:top w:val="none" w:sz="0" w:space="0" w:color="auto"/>
        <w:left w:val="none" w:sz="0" w:space="0" w:color="auto"/>
        <w:bottom w:val="none" w:sz="0" w:space="0" w:color="auto"/>
        <w:right w:val="none" w:sz="0" w:space="0" w:color="auto"/>
      </w:divBdr>
    </w:div>
    <w:div w:id="190071297">
      <w:bodyDiv w:val="1"/>
      <w:marLeft w:val="0"/>
      <w:marRight w:val="0"/>
      <w:marTop w:val="0"/>
      <w:marBottom w:val="0"/>
      <w:divBdr>
        <w:top w:val="none" w:sz="0" w:space="0" w:color="auto"/>
        <w:left w:val="none" w:sz="0" w:space="0" w:color="auto"/>
        <w:bottom w:val="none" w:sz="0" w:space="0" w:color="auto"/>
        <w:right w:val="none" w:sz="0" w:space="0" w:color="auto"/>
      </w:divBdr>
    </w:div>
    <w:div w:id="191461052">
      <w:bodyDiv w:val="1"/>
      <w:marLeft w:val="0"/>
      <w:marRight w:val="0"/>
      <w:marTop w:val="0"/>
      <w:marBottom w:val="0"/>
      <w:divBdr>
        <w:top w:val="none" w:sz="0" w:space="0" w:color="auto"/>
        <w:left w:val="none" w:sz="0" w:space="0" w:color="auto"/>
        <w:bottom w:val="none" w:sz="0" w:space="0" w:color="auto"/>
        <w:right w:val="none" w:sz="0" w:space="0" w:color="auto"/>
      </w:divBdr>
      <w:divsChild>
        <w:div w:id="869993136">
          <w:marLeft w:val="1080"/>
          <w:marRight w:val="0"/>
          <w:marTop w:val="100"/>
          <w:marBottom w:val="0"/>
          <w:divBdr>
            <w:top w:val="none" w:sz="0" w:space="0" w:color="auto"/>
            <w:left w:val="none" w:sz="0" w:space="0" w:color="auto"/>
            <w:bottom w:val="none" w:sz="0" w:space="0" w:color="auto"/>
            <w:right w:val="none" w:sz="0" w:space="0" w:color="auto"/>
          </w:divBdr>
        </w:div>
      </w:divsChild>
    </w:div>
    <w:div w:id="217977579">
      <w:bodyDiv w:val="1"/>
      <w:marLeft w:val="0"/>
      <w:marRight w:val="0"/>
      <w:marTop w:val="0"/>
      <w:marBottom w:val="0"/>
      <w:divBdr>
        <w:top w:val="none" w:sz="0" w:space="0" w:color="auto"/>
        <w:left w:val="none" w:sz="0" w:space="0" w:color="auto"/>
        <w:bottom w:val="none" w:sz="0" w:space="0" w:color="auto"/>
        <w:right w:val="none" w:sz="0" w:space="0" w:color="auto"/>
      </w:divBdr>
      <w:divsChild>
        <w:div w:id="137115278">
          <w:marLeft w:val="2250"/>
          <w:marRight w:val="0"/>
          <w:marTop w:val="375"/>
          <w:marBottom w:val="375"/>
          <w:divBdr>
            <w:top w:val="none" w:sz="0" w:space="0" w:color="auto"/>
            <w:left w:val="none" w:sz="0" w:space="0" w:color="auto"/>
            <w:bottom w:val="none" w:sz="0" w:space="0" w:color="auto"/>
            <w:right w:val="none" w:sz="0" w:space="0" w:color="auto"/>
          </w:divBdr>
        </w:div>
        <w:div w:id="502546828">
          <w:marLeft w:val="2250"/>
          <w:marRight w:val="0"/>
          <w:marTop w:val="375"/>
          <w:marBottom w:val="375"/>
          <w:divBdr>
            <w:top w:val="none" w:sz="0" w:space="0" w:color="auto"/>
            <w:left w:val="none" w:sz="0" w:space="0" w:color="auto"/>
            <w:bottom w:val="none" w:sz="0" w:space="0" w:color="auto"/>
            <w:right w:val="none" w:sz="0" w:space="0" w:color="auto"/>
          </w:divBdr>
        </w:div>
        <w:div w:id="1610889918">
          <w:marLeft w:val="2250"/>
          <w:marRight w:val="0"/>
          <w:marTop w:val="375"/>
          <w:marBottom w:val="375"/>
          <w:divBdr>
            <w:top w:val="none" w:sz="0" w:space="0" w:color="auto"/>
            <w:left w:val="none" w:sz="0" w:space="0" w:color="auto"/>
            <w:bottom w:val="none" w:sz="0" w:space="0" w:color="auto"/>
            <w:right w:val="none" w:sz="0" w:space="0" w:color="auto"/>
          </w:divBdr>
        </w:div>
        <w:div w:id="1842549320">
          <w:marLeft w:val="2250"/>
          <w:marRight w:val="0"/>
          <w:marTop w:val="375"/>
          <w:marBottom w:val="375"/>
          <w:divBdr>
            <w:top w:val="none" w:sz="0" w:space="0" w:color="auto"/>
            <w:left w:val="none" w:sz="0" w:space="0" w:color="auto"/>
            <w:bottom w:val="none" w:sz="0" w:space="0" w:color="auto"/>
            <w:right w:val="none" w:sz="0" w:space="0" w:color="auto"/>
          </w:divBdr>
        </w:div>
        <w:div w:id="1924945612">
          <w:marLeft w:val="2250"/>
          <w:marRight w:val="0"/>
          <w:marTop w:val="375"/>
          <w:marBottom w:val="375"/>
          <w:divBdr>
            <w:top w:val="none" w:sz="0" w:space="0" w:color="auto"/>
            <w:left w:val="none" w:sz="0" w:space="0" w:color="auto"/>
            <w:bottom w:val="none" w:sz="0" w:space="0" w:color="auto"/>
            <w:right w:val="none" w:sz="0" w:space="0" w:color="auto"/>
          </w:divBdr>
        </w:div>
        <w:div w:id="1955669936">
          <w:marLeft w:val="2250"/>
          <w:marRight w:val="0"/>
          <w:marTop w:val="375"/>
          <w:marBottom w:val="375"/>
          <w:divBdr>
            <w:top w:val="none" w:sz="0" w:space="0" w:color="auto"/>
            <w:left w:val="none" w:sz="0" w:space="0" w:color="auto"/>
            <w:bottom w:val="none" w:sz="0" w:space="0" w:color="auto"/>
            <w:right w:val="none" w:sz="0" w:space="0" w:color="auto"/>
          </w:divBdr>
        </w:div>
      </w:divsChild>
    </w:div>
    <w:div w:id="262802854">
      <w:bodyDiv w:val="1"/>
      <w:marLeft w:val="0"/>
      <w:marRight w:val="0"/>
      <w:marTop w:val="0"/>
      <w:marBottom w:val="0"/>
      <w:divBdr>
        <w:top w:val="none" w:sz="0" w:space="0" w:color="auto"/>
        <w:left w:val="none" w:sz="0" w:space="0" w:color="auto"/>
        <w:bottom w:val="none" w:sz="0" w:space="0" w:color="auto"/>
        <w:right w:val="none" w:sz="0" w:space="0" w:color="auto"/>
      </w:divBdr>
    </w:div>
    <w:div w:id="266546737">
      <w:bodyDiv w:val="1"/>
      <w:marLeft w:val="0"/>
      <w:marRight w:val="0"/>
      <w:marTop w:val="0"/>
      <w:marBottom w:val="0"/>
      <w:divBdr>
        <w:top w:val="none" w:sz="0" w:space="0" w:color="auto"/>
        <w:left w:val="none" w:sz="0" w:space="0" w:color="auto"/>
        <w:bottom w:val="none" w:sz="0" w:space="0" w:color="auto"/>
        <w:right w:val="none" w:sz="0" w:space="0" w:color="auto"/>
      </w:divBdr>
      <w:divsChild>
        <w:div w:id="1027829178">
          <w:marLeft w:val="274"/>
          <w:marRight w:val="0"/>
          <w:marTop w:val="0"/>
          <w:marBottom w:val="0"/>
          <w:divBdr>
            <w:top w:val="none" w:sz="0" w:space="0" w:color="auto"/>
            <w:left w:val="none" w:sz="0" w:space="0" w:color="auto"/>
            <w:bottom w:val="none" w:sz="0" w:space="0" w:color="auto"/>
            <w:right w:val="none" w:sz="0" w:space="0" w:color="auto"/>
          </w:divBdr>
        </w:div>
        <w:div w:id="1461387411">
          <w:marLeft w:val="274"/>
          <w:marRight w:val="0"/>
          <w:marTop w:val="0"/>
          <w:marBottom w:val="0"/>
          <w:divBdr>
            <w:top w:val="none" w:sz="0" w:space="0" w:color="auto"/>
            <w:left w:val="none" w:sz="0" w:space="0" w:color="auto"/>
            <w:bottom w:val="none" w:sz="0" w:space="0" w:color="auto"/>
            <w:right w:val="none" w:sz="0" w:space="0" w:color="auto"/>
          </w:divBdr>
        </w:div>
        <w:div w:id="1756396675">
          <w:marLeft w:val="274"/>
          <w:marRight w:val="0"/>
          <w:marTop w:val="0"/>
          <w:marBottom w:val="0"/>
          <w:divBdr>
            <w:top w:val="none" w:sz="0" w:space="0" w:color="auto"/>
            <w:left w:val="none" w:sz="0" w:space="0" w:color="auto"/>
            <w:bottom w:val="none" w:sz="0" w:space="0" w:color="auto"/>
            <w:right w:val="none" w:sz="0" w:space="0" w:color="auto"/>
          </w:divBdr>
        </w:div>
      </w:divsChild>
    </w:div>
    <w:div w:id="271715310">
      <w:bodyDiv w:val="1"/>
      <w:marLeft w:val="0"/>
      <w:marRight w:val="0"/>
      <w:marTop w:val="0"/>
      <w:marBottom w:val="0"/>
      <w:divBdr>
        <w:top w:val="none" w:sz="0" w:space="0" w:color="auto"/>
        <w:left w:val="none" w:sz="0" w:space="0" w:color="auto"/>
        <w:bottom w:val="none" w:sz="0" w:space="0" w:color="auto"/>
        <w:right w:val="none" w:sz="0" w:space="0" w:color="auto"/>
      </w:divBdr>
      <w:divsChild>
        <w:div w:id="587159381">
          <w:marLeft w:val="547"/>
          <w:marRight w:val="0"/>
          <w:marTop w:val="0"/>
          <w:marBottom w:val="0"/>
          <w:divBdr>
            <w:top w:val="none" w:sz="0" w:space="0" w:color="auto"/>
            <w:left w:val="none" w:sz="0" w:space="0" w:color="auto"/>
            <w:bottom w:val="none" w:sz="0" w:space="0" w:color="auto"/>
            <w:right w:val="none" w:sz="0" w:space="0" w:color="auto"/>
          </w:divBdr>
        </w:div>
        <w:div w:id="639387046">
          <w:marLeft w:val="547"/>
          <w:marRight w:val="0"/>
          <w:marTop w:val="0"/>
          <w:marBottom w:val="0"/>
          <w:divBdr>
            <w:top w:val="none" w:sz="0" w:space="0" w:color="auto"/>
            <w:left w:val="none" w:sz="0" w:space="0" w:color="auto"/>
            <w:bottom w:val="none" w:sz="0" w:space="0" w:color="auto"/>
            <w:right w:val="none" w:sz="0" w:space="0" w:color="auto"/>
          </w:divBdr>
        </w:div>
        <w:div w:id="772826296">
          <w:marLeft w:val="547"/>
          <w:marRight w:val="0"/>
          <w:marTop w:val="0"/>
          <w:marBottom w:val="0"/>
          <w:divBdr>
            <w:top w:val="none" w:sz="0" w:space="0" w:color="auto"/>
            <w:left w:val="none" w:sz="0" w:space="0" w:color="auto"/>
            <w:bottom w:val="none" w:sz="0" w:space="0" w:color="auto"/>
            <w:right w:val="none" w:sz="0" w:space="0" w:color="auto"/>
          </w:divBdr>
        </w:div>
        <w:div w:id="2016685789">
          <w:marLeft w:val="547"/>
          <w:marRight w:val="0"/>
          <w:marTop w:val="0"/>
          <w:marBottom w:val="0"/>
          <w:divBdr>
            <w:top w:val="none" w:sz="0" w:space="0" w:color="auto"/>
            <w:left w:val="none" w:sz="0" w:space="0" w:color="auto"/>
            <w:bottom w:val="none" w:sz="0" w:space="0" w:color="auto"/>
            <w:right w:val="none" w:sz="0" w:space="0" w:color="auto"/>
          </w:divBdr>
        </w:div>
      </w:divsChild>
    </w:div>
    <w:div w:id="278488660">
      <w:bodyDiv w:val="1"/>
      <w:marLeft w:val="0"/>
      <w:marRight w:val="0"/>
      <w:marTop w:val="0"/>
      <w:marBottom w:val="0"/>
      <w:divBdr>
        <w:top w:val="none" w:sz="0" w:space="0" w:color="auto"/>
        <w:left w:val="none" w:sz="0" w:space="0" w:color="auto"/>
        <w:bottom w:val="none" w:sz="0" w:space="0" w:color="auto"/>
        <w:right w:val="none" w:sz="0" w:space="0" w:color="auto"/>
      </w:divBdr>
      <w:divsChild>
        <w:div w:id="1459488689">
          <w:marLeft w:val="274"/>
          <w:marRight w:val="0"/>
          <w:marTop w:val="0"/>
          <w:marBottom w:val="0"/>
          <w:divBdr>
            <w:top w:val="none" w:sz="0" w:space="0" w:color="auto"/>
            <w:left w:val="none" w:sz="0" w:space="0" w:color="auto"/>
            <w:bottom w:val="none" w:sz="0" w:space="0" w:color="auto"/>
            <w:right w:val="none" w:sz="0" w:space="0" w:color="auto"/>
          </w:divBdr>
        </w:div>
        <w:div w:id="1640768772">
          <w:marLeft w:val="274"/>
          <w:marRight w:val="0"/>
          <w:marTop w:val="0"/>
          <w:marBottom w:val="0"/>
          <w:divBdr>
            <w:top w:val="none" w:sz="0" w:space="0" w:color="auto"/>
            <w:left w:val="none" w:sz="0" w:space="0" w:color="auto"/>
            <w:bottom w:val="none" w:sz="0" w:space="0" w:color="auto"/>
            <w:right w:val="none" w:sz="0" w:space="0" w:color="auto"/>
          </w:divBdr>
        </w:div>
      </w:divsChild>
    </w:div>
    <w:div w:id="282536506">
      <w:bodyDiv w:val="1"/>
      <w:marLeft w:val="0"/>
      <w:marRight w:val="0"/>
      <w:marTop w:val="0"/>
      <w:marBottom w:val="0"/>
      <w:divBdr>
        <w:top w:val="none" w:sz="0" w:space="0" w:color="auto"/>
        <w:left w:val="none" w:sz="0" w:space="0" w:color="auto"/>
        <w:bottom w:val="none" w:sz="0" w:space="0" w:color="auto"/>
        <w:right w:val="none" w:sz="0" w:space="0" w:color="auto"/>
      </w:divBdr>
    </w:div>
    <w:div w:id="289868874">
      <w:bodyDiv w:val="1"/>
      <w:marLeft w:val="0"/>
      <w:marRight w:val="0"/>
      <w:marTop w:val="0"/>
      <w:marBottom w:val="0"/>
      <w:divBdr>
        <w:top w:val="none" w:sz="0" w:space="0" w:color="auto"/>
        <w:left w:val="none" w:sz="0" w:space="0" w:color="auto"/>
        <w:bottom w:val="none" w:sz="0" w:space="0" w:color="auto"/>
        <w:right w:val="none" w:sz="0" w:space="0" w:color="auto"/>
      </w:divBdr>
      <w:divsChild>
        <w:div w:id="225144411">
          <w:marLeft w:val="547"/>
          <w:marRight w:val="0"/>
          <w:marTop w:val="82"/>
          <w:marBottom w:val="0"/>
          <w:divBdr>
            <w:top w:val="none" w:sz="0" w:space="0" w:color="auto"/>
            <w:left w:val="none" w:sz="0" w:space="0" w:color="auto"/>
            <w:bottom w:val="none" w:sz="0" w:space="0" w:color="auto"/>
            <w:right w:val="none" w:sz="0" w:space="0" w:color="auto"/>
          </w:divBdr>
        </w:div>
        <w:div w:id="1030035825">
          <w:marLeft w:val="1166"/>
          <w:marRight w:val="0"/>
          <w:marTop w:val="82"/>
          <w:marBottom w:val="0"/>
          <w:divBdr>
            <w:top w:val="none" w:sz="0" w:space="0" w:color="auto"/>
            <w:left w:val="none" w:sz="0" w:space="0" w:color="auto"/>
            <w:bottom w:val="none" w:sz="0" w:space="0" w:color="auto"/>
            <w:right w:val="none" w:sz="0" w:space="0" w:color="auto"/>
          </w:divBdr>
        </w:div>
        <w:div w:id="1078140271">
          <w:marLeft w:val="1166"/>
          <w:marRight w:val="0"/>
          <w:marTop w:val="82"/>
          <w:marBottom w:val="0"/>
          <w:divBdr>
            <w:top w:val="none" w:sz="0" w:space="0" w:color="auto"/>
            <w:left w:val="none" w:sz="0" w:space="0" w:color="auto"/>
            <w:bottom w:val="none" w:sz="0" w:space="0" w:color="auto"/>
            <w:right w:val="none" w:sz="0" w:space="0" w:color="auto"/>
          </w:divBdr>
        </w:div>
        <w:div w:id="1889608730">
          <w:marLeft w:val="1166"/>
          <w:marRight w:val="0"/>
          <w:marTop w:val="82"/>
          <w:marBottom w:val="0"/>
          <w:divBdr>
            <w:top w:val="none" w:sz="0" w:space="0" w:color="auto"/>
            <w:left w:val="none" w:sz="0" w:space="0" w:color="auto"/>
            <w:bottom w:val="none" w:sz="0" w:space="0" w:color="auto"/>
            <w:right w:val="none" w:sz="0" w:space="0" w:color="auto"/>
          </w:divBdr>
        </w:div>
      </w:divsChild>
    </w:div>
    <w:div w:id="296449028">
      <w:bodyDiv w:val="1"/>
      <w:marLeft w:val="0"/>
      <w:marRight w:val="0"/>
      <w:marTop w:val="0"/>
      <w:marBottom w:val="0"/>
      <w:divBdr>
        <w:top w:val="none" w:sz="0" w:space="0" w:color="auto"/>
        <w:left w:val="none" w:sz="0" w:space="0" w:color="auto"/>
        <w:bottom w:val="none" w:sz="0" w:space="0" w:color="auto"/>
        <w:right w:val="none" w:sz="0" w:space="0" w:color="auto"/>
      </w:divBdr>
    </w:div>
    <w:div w:id="314995379">
      <w:bodyDiv w:val="1"/>
      <w:marLeft w:val="0"/>
      <w:marRight w:val="0"/>
      <w:marTop w:val="0"/>
      <w:marBottom w:val="0"/>
      <w:divBdr>
        <w:top w:val="none" w:sz="0" w:space="0" w:color="auto"/>
        <w:left w:val="none" w:sz="0" w:space="0" w:color="auto"/>
        <w:bottom w:val="none" w:sz="0" w:space="0" w:color="auto"/>
        <w:right w:val="none" w:sz="0" w:space="0" w:color="auto"/>
      </w:divBdr>
    </w:div>
    <w:div w:id="316498217">
      <w:bodyDiv w:val="1"/>
      <w:marLeft w:val="0"/>
      <w:marRight w:val="0"/>
      <w:marTop w:val="0"/>
      <w:marBottom w:val="0"/>
      <w:divBdr>
        <w:top w:val="none" w:sz="0" w:space="0" w:color="auto"/>
        <w:left w:val="none" w:sz="0" w:space="0" w:color="auto"/>
        <w:bottom w:val="none" w:sz="0" w:space="0" w:color="auto"/>
        <w:right w:val="none" w:sz="0" w:space="0" w:color="auto"/>
      </w:divBdr>
    </w:div>
    <w:div w:id="321006878">
      <w:bodyDiv w:val="1"/>
      <w:marLeft w:val="0"/>
      <w:marRight w:val="0"/>
      <w:marTop w:val="0"/>
      <w:marBottom w:val="0"/>
      <w:divBdr>
        <w:top w:val="none" w:sz="0" w:space="0" w:color="auto"/>
        <w:left w:val="none" w:sz="0" w:space="0" w:color="auto"/>
        <w:bottom w:val="none" w:sz="0" w:space="0" w:color="auto"/>
        <w:right w:val="none" w:sz="0" w:space="0" w:color="auto"/>
      </w:divBdr>
      <w:divsChild>
        <w:div w:id="1329332685">
          <w:marLeft w:val="0"/>
          <w:marRight w:val="0"/>
          <w:marTop w:val="0"/>
          <w:marBottom w:val="0"/>
          <w:divBdr>
            <w:top w:val="none" w:sz="0" w:space="0" w:color="auto"/>
            <w:left w:val="none" w:sz="0" w:space="0" w:color="auto"/>
            <w:bottom w:val="none" w:sz="0" w:space="0" w:color="auto"/>
            <w:right w:val="none" w:sz="0" w:space="0" w:color="auto"/>
          </w:divBdr>
        </w:div>
      </w:divsChild>
    </w:div>
    <w:div w:id="327486929">
      <w:bodyDiv w:val="1"/>
      <w:marLeft w:val="0"/>
      <w:marRight w:val="0"/>
      <w:marTop w:val="0"/>
      <w:marBottom w:val="0"/>
      <w:divBdr>
        <w:top w:val="none" w:sz="0" w:space="0" w:color="auto"/>
        <w:left w:val="none" w:sz="0" w:space="0" w:color="auto"/>
        <w:bottom w:val="none" w:sz="0" w:space="0" w:color="auto"/>
        <w:right w:val="none" w:sz="0" w:space="0" w:color="auto"/>
      </w:divBdr>
    </w:div>
    <w:div w:id="330526100">
      <w:bodyDiv w:val="1"/>
      <w:marLeft w:val="0"/>
      <w:marRight w:val="0"/>
      <w:marTop w:val="0"/>
      <w:marBottom w:val="0"/>
      <w:divBdr>
        <w:top w:val="none" w:sz="0" w:space="0" w:color="auto"/>
        <w:left w:val="none" w:sz="0" w:space="0" w:color="auto"/>
        <w:bottom w:val="none" w:sz="0" w:space="0" w:color="auto"/>
        <w:right w:val="none" w:sz="0" w:space="0" w:color="auto"/>
      </w:divBdr>
    </w:div>
    <w:div w:id="337466953">
      <w:bodyDiv w:val="1"/>
      <w:marLeft w:val="0"/>
      <w:marRight w:val="0"/>
      <w:marTop w:val="0"/>
      <w:marBottom w:val="0"/>
      <w:divBdr>
        <w:top w:val="none" w:sz="0" w:space="0" w:color="auto"/>
        <w:left w:val="none" w:sz="0" w:space="0" w:color="auto"/>
        <w:bottom w:val="none" w:sz="0" w:space="0" w:color="auto"/>
        <w:right w:val="none" w:sz="0" w:space="0" w:color="auto"/>
      </w:divBdr>
      <w:divsChild>
        <w:div w:id="1046220747">
          <w:marLeft w:val="0"/>
          <w:marRight w:val="0"/>
          <w:marTop w:val="0"/>
          <w:marBottom w:val="0"/>
          <w:divBdr>
            <w:top w:val="none" w:sz="0" w:space="0" w:color="auto"/>
            <w:left w:val="none" w:sz="0" w:space="0" w:color="auto"/>
            <w:bottom w:val="none" w:sz="0" w:space="0" w:color="auto"/>
            <w:right w:val="none" w:sz="0" w:space="0" w:color="auto"/>
          </w:divBdr>
        </w:div>
        <w:div w:id="1523350870">
          <w:marLeft w:val="0"/>
          <w:marRight w:val="0"/>
          <w:marTop w:val="0"/>
          <w:marBottom w:val="0"/>
          <w:divBdr>
            <w:top w:val="none" w:sz="0" w:space="0" w:color="auto"/>
            <w:left w:val="none" w:sz="0" w:space="0" w:color="auto"/>
            <w:bottom w:val="none" w:sz="0" w:space="0" w:color="auto"/>
            <w:right w:val="none" w:sz="0" w:space="0" w:color="auto"/>
          </w:divBdr>
        </w:div>
        <w:div w:id="1924870826">
          <w:marLeft w:val="0"/>
          <w:marRight w:val="0"/>
          <w:marTop w:val="0"/>
          <w:marBottom w:val="0"/>
          <w:divBdr>
            <w:top w:val="none" w:sz="0" w:space="0" w:color="auto"/>
            <w:left w:val="none" w:sz="0" w:space="0" w:color="auto"/>
            <w:bottom w:val="none" w:sz="0" w:space="0" w:color="auto"/>
            <w:right w:val="none" w:sz="0" w:space="0" w:color="auto"/>
          </w:divBdr>
        </w:div>
        <w:div w:id="1993949062">
          <w:marLeft w:val="0"/>
          <w:marRight w:val="0"/>
          <w:marTop w:val="0"/>
          <w:marBottom w:val="0"/>
          <w:divBdr>
            <w:top w:val="none" w:sz="0" w:space="0" w:color="auto"/>
            <w:left w:val="none" w:sz="0" w:space="0" w:color="auto"/>
            <w:bottom w:val="none" w:sz="0" w:space="0" w:color="auto"/>
            <w:right w:val="none" w:sz="0" w:space="0" w:color="auto"/>
          </w:divBdr>
        </w:div>
      </w:divsChild>
    </w:div>
    <w:div w:id="362748855">
      <w:bodyDiv w:val="1"/>
      <w:marLeft w:val="0"/>
      <w:marRight w:val="0"/>
      <w:marTop w:val="0"/>
      <w:marBottom w:val="0"/>
      <w:divBdr>
        <w:top w:val="none" w:sz="0" w:space="0" w:color="auto"/>
        <w:left w:val="none" w:sz="0" w:space="0" w:color="auto"/>
        <w:bottom w:val="none" w:sz="0" w:space="0" w:color="auto"/>
        <w:right w:val="none" w:sz="0" w:space="0" w:color="auto"/>
      </w:divBdr>
      <w:divsChild>
        <w:div w:id="164900634">
          <w:marLeft w:val="0"/>
          <w:marRight w:val="0"/>
          <w:marTop w:val="0"/>
          <w:marBottom w:val="0"/>
          <w:divBdr>
            <w:top w:val="none" w:sz="0" w:space="0" w:color="auto"/>
            <w:left w:val="none" w:sz="0" w:space="0" w:color="auto"/>
            <w:bottom w:val="none" w:sz="0" w:space="0" w:color="auto"/>
            <w:right w:val="none" w:sz="0" w:space="0" w:color="auto"/>
          </w:divBdr>
        </w:div>
      </w:divsChild>
    </w:div>
    <w:div w:id="362902775">
      <w:bodyDiv w:val="1"/>
      <w:marLeft w:val="0"/>
      <w:marRight w:val="0"/>
      <w:marTop w:val="0"/>
      <w:marBottom w:val="0"/>
      <w:divBdr>
        <w:top w:val="none" w:sz="0" w:space="0" w:color="auto"/>
        <w:left w:val="none" w:sz="0" w:space="0" w:color="auto"/>
        <w:bottom w:val="none" w:sz="0" w:space="0" w:color="auto"/>
        <w:right w:val="none" w:sz="0" w:space="0" w:color="auto"/>
      </w:divBdr>
    </w:div>
    <w:div w:id="366178842">
      <w:bodyDiv w:val="1"/>
      <w:marLeft w:val="0"/>
      <w:marRight w:val="0"/>
      <w:marTop w:val="0"/>
      <w:marBottom w:val="0"/>
      <w:divBdr>
        <w:top w:val="none" w:sz="0" w:space="0" w:color="auto"/>
        <w:left w:val="none" w:sz="0" w:space="0" w:color="auto"/>
        <w:bottom w:val="none" w:sz="0" w:space="0" w:color="auto"/>
        <w:right w:val="none" w:sz="0" w:space="0" w:color="auto"/>
      </w:divBdr>
    </w:div>
    <w:div w:id="367533917">
      <w:bodyDiv w:val="1"/>
      <w:marLeft w:val="0"/>
      <w:marRight w:val="0"/>
      <w:marTop w:val="0"/>
      <w:marBottom w:val="0"/>
      <w:divBdr>
        <w:top w:val="none" w:sz="0" w:space="0" w:color="auto"/>
        <w:left w:val="none" w:sz="0" w:space="0" w:color="auto"/>
        <w:bottom w:val="none" w:sz="0" w:space="0" w:color="auto"/>
        <w:right w:val="none" w:sz="0" w:space="0" w:color="auto"/>
      </w:divBdr>
    </w:div>
    <w:div w:id="397631674">
      <w:bodyDiv w:val="1"/>
      <w:marLeft w:val="0"/>
      <w:marRight w:val="0"/>
      <w:marTop w:val="0"/>
      <w:marBottom w:val="0"/>
      <w:divBdr>
        <w:top w:val="none" w:sz="0" w:space="0" w:color="auto"/>
        <w:left w:val="none" w:sz="0" w:space="0" w:color="auto"/>
        <w:bottom w:val="none" w:sz="0" w:space="0" w:color="auto"/>
        <w:right w:val="none" w:sz="0" w:space="0" w:color="auto"/>
      </w:divBdr>
      <w:divsChild>
        <w:div w:id="61755148">
          <w:marLeft w:val="994"/>
          <w:marRight w:val="0"/>
          <w:marTop w:val="86"/>
          <w:marBottom w:val="0"/>
          <w:divBdr>
            <w:top w:val="none" w:sz="0" w:space="0" w:color="auto"/>
            <w:left w:val="none" w:sz="0" w:space="0" w:color="auto"/>
            <w:bottom w:val="none" w:sz="0" w:space="0" w:color="auto"/>
            <w:right w:val="none" w:sz="0" w:space="0" w:color="auto"/>
          </w:divBdr>
        </w:div>
        <w:div w:id="102501478">
          <w:marLeft w:val="994"/>
          <w:marRight w:val="0"/>
          <w:marTop w:val="0"/>
          <w:marBottom w:val="0"/>
          <w:divBdr>
            <w:top w:val="none" w:sz="0" w:space="0" w:color="auto"/>
            <w:left w:val="none" w:sz="0" w:space="0" w:color="auto"/>
            <w:bottom w:val="none" w:sz="0" w:space="0" w:color="auto"/>
            <w:right w:val="none" w:sz="0" w:space="0" w:color="auto"/>
          </w:divBdr>
        </w:div>
        <w:div w:id="157312134">
          <w:marLeft w:val="274"/>
          <w:marRight w:val="0"/>
          <w:marTop w:val="86"/>
          <w:marBottom w:val="0"/>
          <w:divBdr>
            <w:top w:val="none" w:sz="0" w:space="0" w:color="auto"/>
            <w:left w:val="none" w:sz="0" w:space="0" w:color="auto"/>
            <w:bottom w:val="none" w:sz="0" w:space="0" w:color="auto"/>
            <w:right w:val="none" w:sz="0" w:space="0" w:color="auto"/>
          </w:divBdr>
        </w:div>
        <w:div w:id="207424899">
          <w:marLeft w:val="274"/>
          <w:marRight w:val="0"/>
          <w:marTop w:val="0"/>
          <w:marBottom w:val="0"/>
          <w:divBdr>
            <w:top w:val="none" w:sz="0" w:space="0" w:color="auto"/>
            <w:left w:val="none" w:sz="0" w:space="0" w:color="auto"/>
            <w:bottom w:val="none" w:sz="0" w:space="0" w:color="auto"/>
            <w:right w:val="none" w:sz="0" w:space="0" w:color="auto"/>
          </w:divBdr>
        </w:div>
        <w:div w:id="537857936">
          <w:marLeft w:val="274"/>
          <w:marRight w:val="0"/>
          <w:marTop w:val="0"/>
          <w:marBottom w:val="0"/>
          <w:divBdr>
            <w:top w:val="none" w:sz="0" w:space="0" w:color="auto"/>
            <w:left w:val="none" w:sz="0" w:space="0" w:color="auto"/>
            <w:bottom w:val="none" w:sz="0" w:space="0" w:color="auto"/>
            <w:right w:val="none" w:sz="0" w:space="0" w:color="auto"/>
          </w:divBdr>
        </w:div>
        <w:div w:id="919602727">
          <w:marLeft w:val="994"/>
          <w:marRight w:val="0"/>
          <w:marTop w:val="86"/>
          <w:marBottom w:val="0"/>
          <w:divBdr>
            <w:top w:val="none" w:sz="0" w:space="0" w:color="auto"/>
            <w:left w:val="none" w:sz="0" w:space="0" w:color="auto"/>
            <w:bottom w:val="none" w:sz="0" w:space="0" w:color="auto"/>
            <w:right w:val="none" w:sz="0" w:space="0" w:color="auto"/>
          </w:divBdr>
        </w:div>
        <w:div w:id="960964312">
          <w:marLeft w:val="274"/>
          <w:marRight w:val="0"/>
          <w:marTop w:val="0"/>
          <w:marBottom w:val="0"/>
          <w:divBdr>
            <w:top w:val="none" w:sz="0" w:space="0" w:color="auto"/>
            <w:left w:val="none" w:sz="0" w:space="0" w:color="auto"/>
            <w:bottom w:val="none" w:sz="0" w:space="0" w:color="auto"/>
            <w:right w:val="none" w:sz="0" w:space="0" w:color="auto"/>
          </w:divBdr>
        </w:div>
        <w:div w:id="1065449773">
          <w:marLeft w:val="274"/>
          <w:marRight w:val="0"/>
          <w:marTop w:val="0"/>
          <w:marBottom w:val="0"/>
          <w:divBdr>
            <w:top w:val="none" w:sz="0" w:space="0" w:color="auto"/>
            <w:left w:val="none" w:sz="0" w:space="0" w:color="auto"/>
            <w:bottom w:val="none" w:sz="0" w:space="0" w:color="auto"/>
            <w:right w:val="none" w:sz="0" w:space="0" w:color="auto"/>
          </w:divBdr>
        </w:div>
        <w:div w:id="1087919235">
          <w:marLeft w:val="274"/>
          <w:marRight w:val="0"/>
          <w:marTop w:val="0"/>
          <w:marBottom w:val="0"/>
          <w:divBdr>
            <w:top w:val="none" w:sz="0" w:space="0" w:color="auto"/>
            <w:left w:val="none" w:sz="0" w:space="0" w:color="auto"/>
            <w:bottom w:val="none" w:sz="0" w:space="0" w:color="auto"/>
            <w:right w:val="none" w:sz="0" w:space="0" w:color="auto"/>
          </w:divBdr>
        </w:div>
        <w:div w:id="1140222481">
          <w:marLeft w:val="274"/>
          <w:marRight w:val="0"/>
          <w:marTop w:val="86"/>
          <w:marBottom w:val="0"/>
          <w:divBdr>
            <w:top w:val="none" w:sz="0" w:space="0" w:color="auto"/>
            <w:left w:val="none" w:sz="0" w:space="0" w:color="auto"/>
            <w:bottom w:val="none" w:sz="0" w:space="0" w:color="auto"/>
            <w:right w:val="none" w:sz="0" w:space="0" w:color="auto"/>
          </w:divBdr>
        </w:div>
        <w:div w:id="1479609248">
          <w:marLeft w:val="274"/>
          <w:marRight w:val="0"/>
          <w:marTop w:val="0"/>
          <w:marBottom w:val="0"/>
          <w:divBdr>
            <w:top w:val="none" w:sz="0" w:space="0" w:color="auto"/>
            <w:left w:val="none" w:sz="0" w:space="0" w:color="auto"/>
            <w:bottom w:val="none" w:sz="0" w:space="0" w:color="auto"/>
            <w:right w:val="none" w:sz="0" w:space="0" w:color="auto"/>
          </w:divBdr>
        </w:div>
        <w:div w:id="1779836838">
          <w:marLeft w:val="994"/>
          <w:marRight w:val="0"/>
          <w:marTop w:val="0"/>
          <w:marBottom w:val="0"/>
          <w:divBdr>
            <w:top w:val="none" w:sz="0" w:space="0" w:color="auto"/>
            <w:left w:val="none" w:sz="0" w:space="0" w:color="auto"/>
            <w:bottom w:val="none" w:sz="0" w:space="0" w:color="auto"/>
            <w:right w:val="none" w:sz="0" w:space="0" w:color="auto"/>
          </w:divBdr>
        </w:div>
        <w:div w:id="1889296915">
          <w:marLeft w:val="274"/>
          <w:marRight w:val="0"/>
          <w:marTop w:val="0"/>
          <w:marBottom w:val="0"/>
          <w:divBdr>
            <w:top w:val="none" w:sz="0" w:space="0" w:color="auto"/>
            <w:left w:val="none" w:sz="0" w:space="0" w:color="auto"/>
            <w:bottom w:val="none" w:sz="0" w:space="0" w:color="auto"/>
            <w:right w:val="none" w:sz="0" w:space="0" w:color="auto"/>
          </w:divBdr>
        </w:div>
        <w:div w:id="2099860510">
          <w:marLeft w:val="274"/>
          <w:marRight w:val="0"/>
          <w:marTop w:val="0"/>
          <w:marBottom w:val="0"/>
          <w:divBdr>
            <w:top w:val="none" w:sz="0" w:space="0" w:color="auto"/>
            <w:left w:val="none" w:sz="0" w:space="0" w:color="auto"/>
            <w:bottom w:val="none" w:sz="0" w:space="0" w:color="auto"/>
            <w:right w:val="none" w:sz="0" w:space="0" w:color="auto"/>
          </w:divBdr>
        </w:div>
      </w:divsChild>
    </w:div>
    <w:div w:id="402530661">
      <w:bodyDiv w:val="1"/>
      <w:marLeft w:val="0"/>
      <w:marRight w:val="0"/>
      <w:marTop w:val="0"/>
      <w:marBottom w:val="0"/>
      <w:divBdr>
        <w:top w:val="none" w:sz="0" w:space="0" w:color="auto"/>
        <w:left w:val="none" w:sz="0" w:space="0" w:color="auto"/>
        <w:bottom w:val="none" w:sz="0" w:space="0" w:color="auto"/>
        <w:right w:val="none" w:sz="0" w:space="0" w:color="auto"/>
      </w:divBdr>
    </w:div>
    <w:div w:id="417404752">
      <w:bodyDiv w:val="1"/>
      <w:marLeft w:val="0"/>
      <w:marRight w:val="0"/>
      <w:marTop w:val="0"/>
      <w:marBottom w:val="0"/>
      <w:divBdr>
        <w:top w:val="none" w:sz="0" w:space="0" w:color="auto"/>
        <w:left w:val="none" w:sz="0" w:space="0" w:color="auto"/>
        <w:bottom w:val="none" w:sz="0" w:space="0" w:color="auto"/>
        <w:right w:val="none" w:sz="0" w:space="0" w:color="auto"/>
      </w:divBdr>
      <w:divsChild>
        <w:div w:id="1959333059">
          <w:marLeft w:val="1166"/>
          <w:marRight w:val="0"/>
          <w:marTop w:val="91"/>
          <w:marBottom w:val="0"/>
          <w:divBdr>
            <w:top w:val="none" w:sz="0" w:space="0" w:color="auto"/>
            <w:left w:val="none" w:sz="0" w:space="0" w:color="auto"/>
            <w:bottom w:val="none" w:sz="0" w:space="0" w:color="auto"/>
            <w:right w:val="none" w:sz="0" w:space="0" w:color="auto"/>
          </w:divBdr>
        </w:div>
      </w:divsChild>
    </w:div>
    <w:div w:id="434132606">
      <w:bodyDiv w:val="1"/>
      <w:marLeft w:val="0"/>
      <w:marRight w:val="0"/>
      <w:marTop w:val="0"/>
      <w:marBottom w:val="0"/>
      <w:divBdr>
        <w:top w:val="none" w:sz="0" w:space="0" w:color="auto"/>
        <w:left w:val="none" w:sz="0" w:space="0" w:color="auto"/>
        <w:bottom w:val="none" w:sz="0" w:space="0" w:color="auto"/>
        <w:right w:val="none" w:sz="0" w:space="0" w:color="auto"/>
      </w:divBdr>
    </w:div>
    <w:div w:id="435710719">
      <w:bodyDiv w:val="1"/>
      <w:marLeft w:val="0"/>
      <w:marRight w:val="0"/>
      <w:marTop w:val="0"/>
      <w:marBottom w:val="0"/>
      <w:divBdr>
        <w:top w:val="none" w:sz="0" w:space="0" w:color="auto"/>
        <w:left w:val="none" w:sz="0" w:space="0" w:color="auto"/>
        <w:bottom w:val="none" w:sz="0" w:space="0" w:color="auto"/>
        <w:right w:val="none" w:sz="0" w:space="0" w:color="auto"/>
      </w:divBdr>
      <w:divsChild>
        <w:div w:id="227300513">
          <w:marLeft w:val="0"/>
          <w:marRight w:val="0"/>
          <w:marTop w:val="0"/>
          <w:marBottom w:val="0"/>
          <w:divBdr>
            <w:top w:val="none" w:sz="0" w:space="0" w:color="auto"/>
            <w:left w:val="none" w:sz="0" w:space="0" w:color="auto"/>
            <w:bottom w:val="none" w:sz="0" w:space="0" w:color="auto"/>
            <w:right w:val="none" w:sz="0" w:space="0" w:color="auto"/>
          </w:divBdr>
        </w:div>
        <w:div w:id="1031036608">
          <w:marLeft w:val="0"/>
          <w:marRight w:val="0"/>
          <w:marTop w:val="0"/>
          <w:marBottom w:val="0"/>
          <w:divBdr>
            <w:top w:val="none" w:sz="0" w:space="0" w:color="auto"/>
            <w:left w:val="none" w:sz="0" w:space="0" w:color="auto"/>
            <w:bottom w:val="none" w:sz="0" w:space="0" w:color="auto"/>
            <w:right w:val="none" w:sz="0" w:space="0" w:color="auto"/>
          </w:divBdr>
        </w:div>
      </w:divsChild>
    </w:div>
    <w:div w:id="464199268">
      <w:bodyDiv w:val="1"/>
      <w:marLeft w:val="0"/>
      <w:marRight w:val="0"/>
      <w:marTop w:val="0"/>
      <w:marBottom w:val="0"/>
      <w:divBdr>
        <w:top w:val="none" w:sz="0" w:space="0" w:color="auto"/>
        <w:left w:val="none" w:sz="0" w:space="0" w:color="auto"/>
        <w:bottom w:val="none" w:sz="0" w:space="0" w:color="auto"/>
        <w:right w:val="none" w:sz="0" w:space="0" w:color="auto"/>
      </w:divBdr>
      <w:divsChild>
        <w:div w:id="224949780">
          <w:marLeft w:val="274"/>
          <w:marRight w:val="0"/>
          <w:marTop w:val="0"/>
          <w:marBottom w:val="0"/>
          <w:divBdr>
            <w:top w:val="none" w:sz="0" w:space="0" w:color="auto"/>
            <w:left w:val="none" w:sz="0" w:space="0" w:color="auto"/>
            <w:bottom w:val="none" w:sz="0" w:space="0" w:color="auto"/>
            <w:right w:val="none" w:sz="0" w:space="0" w:color="auto"/>
          </w:divBdr>
        </w:div>
        <w:div w:id="593634705">
          <w:marLeft w:val="274"/>
          <w:marRight w:val="0"/>
          <w:marTop w:val="0"/>
          <w:marBottom w:val="0"/>
          <w:divBdr>
            <w:top w:val="none" w:sz="0" w:space="0" w:color="auto"/>
            <w:left w:val="none" w:sz="0" w:space="0" w:color="auto"/>
            <w:bottom w:val="none" w:sz="0" w:space="0" w:color="auto"/>
            <w:right w:val="none" w:sz="0" w:space="0" w:color="auto"/>
          </w:divBdr>
        </w:div>
        <w:div w:id="1100101583">
          <w:marLeft w:val="274"/>
          <w:marRight w:val="0"/>
          <w:marTop w:val="0"/>
          <w:marBottom w:val="0"/>
          <w:divBdr>
            <w:top w:val="none" w:sz="0" w:space="0" w:color="auto"/>
            <w:left w:val="none" w:sz="0" w:space="0" w:color="auto"/>
            <w:bottom w:val="none" w:sz="0" w:space="0" w:color="auto"/>
            <w:right w:val="none" w:sz="0" w:space="0" w:color="auto"/>
          </w:divBdr>
        </w:div>
        <w:div w:id="1272324190">
          <w:marLeft w:val="274"/>
          <w:marRight w:val="0"/>
          <w:marTop w:val="0"/>
          <w:marBottom w:val="0"/>
          <w:divBdr>
            <w:top w:val="none" w:sz="0" w:space="0" w:color="auto"/>
            <w:left w:val="none" w:sz="0" w:space="0" w:color="auto"/>
            <w:bottom w:val="none" w:sz="0" w:space="0" w:color="auto"/>
            <w:right w:val="none" w:sz="0" w:space="0" w:color="auto"/>
          </w:divBdr>
        </w:div>
        <w:div w:id="1300960981">
          <w:marLeft w:val="274"/>
          <w:marRight w:val="0"/>
          <w:marTop w:val="0"/>
          <w:marBottom w:val="0"/>
          <w:divBdr>
            <w:top w:val="none" w:sz="0" w:space="0" w:color="auto"/>
            <w:left w:val="none" w:sz="0" w:space="0" w:color="auto"/>
            <w:bottom w:val="none" w:sz="0" w:space="0" w:color="auto"/>
            <w:right w:val="none" w:sz="0" w:space="0" w:color="auto"/>
          </w:divBdr>
        </w:div>
      </w:divsChild>
    </w:div>
    <w:div w:id="465398614">
      <w:bodyDiv w:val="1"/>
      <w:marLeft w:val="0"/>
      <w:marRight w:val="0"/>
      <w:marTop w:val="0"/>
      <w:marBottom w:val="0"/>
      <w:divBdr>
        <w:top w:val="none" w:sz="0" w:space="0" w:color="auto"/>
        <w:left w:val="none" w:sz="0" w:space="0" w:color="auto"/>
        <w:bottom w:val="none" w:sz="0" w:space="0" w:color="auto"/>
        <w:right w:val="none" w:sz="0" w:space="0" w:color="auto"/>
      </w:divBdr>
      <w:divsChild>
        <w:div w:id="219364615">
          <w:marLeft w:val="0"/>
          <w:marRight w:val="0"/>
          <w:marTop w:val="0"/>
          <w:marBottom w:val="0"/>
          <w:divBdr>
            <w:top w:val="none" w:sz="0" w:space="0" w:color="auto"/>
            <w:left w:val="none" w:sz="0" w:space="0" w:color="auto"/>
            <w:bottom w:val="none" w:sz="0" w:space="0" w:color="auto"/>
            <w:right w:val="none" w:sz="0" w:space="0" w:color="auto"/>
          </w:divBdr>
        </w:div>
        <w:div w:id="338191484">
          <w:marLeft w:val="0"/>
          <w:marRight w:val="0"/>
          <w:marTop w:val="0"/>
          <w:marBottom w:val="0"/>
          <w:divBdr>
            <w:top w:val="none" w:sz="0" w:space="0" w:color="auto"/>
            <w:left w:val="none" w:sz="0" w:space="0" w:color="auto"/>
            <w:bottom w:val="none" w:sz="0" w:space="0" w:color="auto"/>
            <w:right w:val="none" w:sz="0" w:space="0" w:color="auto"/>
          </w:divBdr>
        </w:div>
        <w:div w:id="414278723">
          <w:marLeft w:val="0"/>
          <w:marRight w:val="0"/>
          <w:marTop w:val="0"/>
          <w:marBottom w:val="0"/>
          <w:divBdr>
            <w:top w:val="none" w:sz="0" w:space="0" w:color="auto"/>
            <w:left w:val="none" w:sz="0" w:space="0" w:color="auto"/>
            <w:bottom w:val="none" w:sz="0" w:space="0" w:color="auto"/>
            <w:right w:val="none" w:sz="0" w:space="0" w:color="auto"/>
          </w:divBdr>
        </w:div>
        <w:div w:id="421686817">
          <w:marLeft w:val="0"/>
          <w:marRight w:val="0"/>
          <w:marTop w:val="0"/>
          <w:marBottom w:val="0"/>
          <w:divBdr>
            <w:top w:val="none" w:sz="0" w:space="0" w:color="auto"/>
            <w:left w:val="none" w:sz="0" w:space="0" w:color="auto"/>
            <w:bottom w:val="none" w:sz="0" w:space="0" w:color="auto"/>
            <w:right w:val="none" w:sz="0" w:space="0" w:color="auto"/>
          </w:divBdr>
        </w:div>
        <w:div w:id="535851622">
          <w:marLeft w:val="0"/>
          <w:marRight w:val="0"/>
          <w:marTop w:val="0"/>
          <w:marBottom w:val="0"/>
          <w:divBdr>
            <w:top w:val="none" w:sz="0" w:space="0" w:color="auto"/>
            <w:left w:val="none" w:sz="0" w:space="0" w:color="auto"/>
            <w:bottom w:val="none" w:sz="0" w:space="0" w:color="auto"/>
            <w:right w:val="none" w:sz="0" w:space="0" w:color="auto"/>
          </w:divBdr>
        </w:div>
        <w:div w:id="1057126442">
          <w:marLeft w:val="0"/>
          <w:marRight w:val="0"/>
          <w:marTop w:val="0"/>
          <w:marBottom w:val="0"/>
          <w:divBdr>
            <w:top w:val="none" w:sz="0" w:space="0" w:color="auto"/>
            <w:left w:val="none" w:sz="0" w:space="0" w:color="auto"/>
            <w:bottom w:val="none" w:sz="0" w:space="0" w:color="auto"/>
            <w:right w:val="none" w:sz="0" w:space="0" w:color="auto"/>
          </w:divBdr>
        </w:div>
        <w:div w:id="1495996717">
          <w:marLeft w:val="0"/>
          <w:marRight w:val="0"/>
          <w:marTop w:val="0"/>
          <w:marBottom w:val="0"/>
          <w:divBdr>
            <w:top w:val="none" w:sz="0" w:space="0" w:color="auto"/>
            <w:left w:val="none" w:sz="0" w:space="0" w:color="auto"/>
            <w:bottom w:val="none" w:sz="0" w:space="0" w:color="auto"/>
            <w:right w:val="none" w:sz="0" w:space="0" w:color="auto"/>
          </w:divBdr>
        </w:div>
        <w:div w:id="1779639930">
          <w:marLeft w:val="0"/>
          <w:marRight w:val="0"/>
          <w:marTop w:val="0"/>
          <w:marBottom w:val="0"/>
          <w:divBdr>
            <w:top w:val="none" w:sz="0" w:space="0" w:color="auto"/>
            <w:left w:val="none" w:sz="0" w:space="0" w:color="auto"/>
            <w:bottom w:val="none" w:sz="0" w:space="0" w:color="auto"/>
            <w:right w:val="none" w:sz="0" w:space="0" w:color="auto"/>
          </w:divBdr>
        </w:div>
        <w:div w:id="1846282343">
          <w:marLeft w:val="0"/>
          <w:marRight w:val="0"/>
          <w:marTop w:val="0"/>
          <w:marBottom w:val="0"/>
          <w:divBdr>
            <w:top w:val="none" w:sz="0" w:space="0" w:color="auto"/>
            <w:left w:val="none" w:sz="0" w:space="0" w:color="auto"/>
            <w:bottom w:val="none" w:sz="0" w:space="0" w:color="auto"/>
            <w:right w:val="none" w:sz="0" w:space="0" w:color="auto"/>
          </w:divBdr>
        </w:div>
        <w:div w:id="2011060257">
          <w:marLeft w:val="0"/>
          <w:marRight w:val="0"/>
          <w:marTop w:val="0"/>
          <w:marBottom w:val="0"/>
          <w:divBdr>
            <w:top w:val="none" w:sz="0" w:space="0" w:color="auto"/>
            <w:left w:val="none" w:sz="0" w:space="0" w:color="auto"/>
            <w:bottom w:val="none" w:sz="0" w:space="0" w:color="auto"/>
            <w:right w:val="none" w:sz="0" w:space="0" w:color="auto"/>
          </w:divBdr>
        </w:div>
        <w:div w:id="2011591358">
          <w:marLeft w:val="0"/>
          <w:marRight w:val="0"/>
          <w:marTop w:val="0"/>
          <w:marBottom w:val="0"/>
          <w:divBdr>
            <w:top w:val="none" w:sz="0" w:space="0" w:color="auto"/>
            <w:left w:val="none" w:sz="0" w:space="0" w:color="auto"/>
            <w:bottom w:val="none" w:sz="0" w:space="0" w:color="auto"/>
            <w:right w:val="none" w:sz="0" w:space="0" w:color="auto"/>
          </w:divBdr>
        </w:div>
        <w:div w:id="2062900033">
          <w:marLeft w:val="0"/>
          <w:marRight w:val="0"/>
          <w:marTop w:val="0"/>
          <w:marBottom w:val="0"/>
          <w:divBdr>
            <w:top w:val="none" w:sz="0" w:space="0" w:color="auto"/>
            <w:left w:val="none" w:sz="0" w:space="0" w:color="auto"/>
            <w:bottom w:val="none" w:sz="0" w:space="0" w:color="auto"/>
            <w:right w:val="none" w:sz="0" w:space="0" w:color="auto"/>
          </w:divBdr>
        </w:div>
      </w:divsChild>
    </w:div>
    <w:div w:id="467667547">
      <w:bodyDiv w:val="1"/>
      <w:marLeft w:val="0"/>
      <w:marRight w:val="0"/>
      <w:marTop w:val="0"/>
      <w:marBottom w:val="0"/>
      <w:divBdr>
        <w:top w:val="none" w:sz="0" w:space="0" w:color="auto"/>
        <w:left w:val="none" w:sz="0" w:space="0" w:color="auto"/>
        <w:bottom w:val="none" w:sz="0" w:space="0" w:color="auto"/>
        <w:right w:val="none" w:sz="0" w:space="0" w:color="auto"/>
      </w:divBdr>
    </w:div>
    <w:div w:id="485123978">
      <w:bodyDiv w:val="1"/>
      <w:marLeft w:val="0"/>
      <w:marRight w:val="0"/>
      <w:marTop w:val="0"/>
      <w:marBottom w:val="0"/>
      <w:divBdr>
        <w:top w:val="none" w:sz="0" w:space="0" w:color="auto"/>
        <w:left w:val="none" w:sz="0" w:space="0" w:color="auto"/>
        <w:bottom w:val="none" w:sz="0" w:space="0" w:color="auto"/>
        <w:right w:val="none" w:sz="0" w:space="0" w:color="auto"/>
      </w:divBdr>
    </w:div>
    <w:div w:id="495145405">
      <w:bodyDiv w:val="1"/>
      <w:marLeft w:val="0"/>
      <w:marRight w:val="0"/>
      <w:marTop w:val="0"/>
      <w:marBottom w:val="0"/>
      <w:divBdr>
        <w:top w:val="none" w:sz="0" w:space="0" w:color="auto"/>
        <w:left w:val="none" w:sz="0" w:space="0" w:color="auto"/>
        <w:bottom w:val="none" w:sz="0" w:space="0" w:color="auto"/>
        <w:right w:val="none" w:sz="0" w:space="0" w:color="auto"/>
      </w:divBdr>
    </w:div>
    <w:div w:id="518082513">
      <w:bodyDiv w:val="1"/>
      <w:marLeft w:val="0"/>
      <w:marRight w:val="0"/>
      <w:marTop w:val="0"/>
      <w:marBottom w:val="0"/>
      <w:divBdr>
        <w:top w:val="none" w:sz="0" w:space="0" w:color="auto"/>
        <w:left w:val="none" w:sz="0" w:space="0" w:color="auto"/>
        <w:bottom w:val="none" w:sz="0" w:space="0" w:color="auto"/>
        <w:right w:val="none" w:sz="0" w:space="0" w:color="auto"/>
      </w:divBdr>
      <w:divsChild>
        <w:div w:id="1118990443">
          <w:marLeft w:val="274"/>
          <w:marRight w:val="0"/>
          <w:marTop w:val="0"/>
          <w:marBottom w:val="0"/>
          <w:divBdr>
            <w:top w:val="none" w:sz="0" w:space="0" w:color="auto"/>
            <w:left w:val="none" w:sz="0" w:space="0" w:color="auto"/>
            <w:bottom w:val="none" w:sz="0" w:space="0" w:color="auto"/>
            <w:right w:val="none" w:sz="0" w:space="0" w:color="auto"/>
          </w:divBdr>
        </w:div>
        <w:div w:id="1365400494">
          <w:marLeft w:val="274"/>
          <w:marRight w:val="0"/>
          <w:marTop w:val="0"/>
          <w:marBottom w:val="0"/>
          <w:divBdr>
            <w:top w:val="none" w:sz="0" w:space="0" w:color="auto"/>
            <w:left w:val="none" w:sz="0" w:space="0" w:color="auto"/>
            <w:bottom w:val="none" w:sz="0" w:space="0" w:color="auto"/>
            <w:right w:val="none" w:sz="0" w:space="0" w:color="auto"/>
          </w:divBdr>
        </w:div>
        <w:div w:id="1407416550">
          <w:marLeft w:val="274"/>
          <w:marRight w:val="0"/>
          <w:marTop w:val="0"/>
          <w:marBottom w:val="0"/>
          <w:divBdr>
            <w:top w:val="none" w:sz="0" w:space="0" w:color="auto"/>
            <w:left w:val="none" w:sz="0" w:space="0" w:color="auto"/>
            <w:bottom w:val="none" w:sz="0" w:space="0" w:color="auto"/>
            <w:right w:val="none" w:sz="0" w:space="0" w:color="auto"/>
          </w:divBdr>
        </w:div>
        <w:div w:id="1630747093">
          <w:marLeft w:val="274"/>
          <w:marRight w:val="0"/>
          <w:marTop w:val="0"/>
          <w:marBottom w:val="0"/>
          <w:divBdr>
            <w:top w:val="none" w:sz="0" w:space="0" w:color="auto"/>
            <w:left w:val="none" w:sz="0" w:space="0" w:color="auto"/>
            <w:bottom w:val="none" w:sz="0" w:space="0" w:color="auto"/>
            <w:right w:val="none" w:sz="0" w:space="0" w:color="auto"/>
          </w:divBdr>
        </w:div>
        <w:div w:id="1799496273">
          <w:marLeft w:val="274"/>
          <w:marRight w:val="0"/>
          <w:marTop w:val="0"/>
          <w:marBottom w:val="0"/>
          <w:divBdr>
            <w:top w:val="none" w:sz="0" w:space="0" w:color="auto"/>
            <w:left w:val="none" w:sz="0" w:space="0" w:color="auto"/>
            <w:bottom w:val="none" w:sz="0" w:space="0" w:color="auto"/>
            <w:right w:val="none" w:sz="0" w:space="0" w:color="auto"/>
          </w:divBdr>
        </w:div>
      </w:divsChild>
    </w:div>
    <w:div w:id="545679249">
      <w:bodyDiv w:val="1"/>
      <w:marLeft w:val="0"/>
      <w:marRight w:val="0"/>
      <w:marTop w:val="0"/>
      <w:marBottom w:val="0"/>
      <w:divBdr>
        <w:top w:val="none" w:sz="0" w:space="0" w:color="auto"/>
        <w:left w:val="none" w:sz="0" w:space="0" w:color="auto"/>
        <w:bottom w:val="none" w:sz="0" w:space="0" w:color="auto"/>
        <w:right w:val="none" w:sz="0" w:space="0" w:color="auto"/>
      </w:divBdr>
    </w:div>
    <w:div w:id="548733308">
      <w:bodyDiv w:val="1"/>
      <w:marLeft w:val="0"/>
      <w:marRight w:val="0"/>
      <w:marTop w:val="0"/>
      <w:marBottom w:val="0"/>
      <w:divBdr>
        <w:top w:val="none" w:sz="0" w:space="0" w:color="auto"/>
        <w:left w:val="none" w:sz="0" w:space="0" w:color="auto"/>
        <w:bottom w:val="none" w:sz="0" w:space="0" w:color="auto"/>
        <w:right w:val="none" w:sz="0" w:space="0" w:color="auto"/>
      </w:divBdr>
      <w:divsChild>
        <w:div w:id="124088264">
          <w:marLeft w:val="0"/>
          <w:marRight w:val="0"/>
          <w:marTop w:val="0"/>
          <w:marBottom w:val="0"/>
          <w:divBdr>
            <w:top w:val="none" w:sz="0" w:space="0" w:color="auto"/>
            <w:left w:val="none" w:sz="0" w:space="0" w:color="auto"/>
            <w:bottom w:val="none" w:sz="0" w:space="0" w:color="auto"/>
            <w:right w:val="none" w:sz="0" w:space="0" w:color="auto"/>
          </w:divBdr>
        </w:div>
        <w:div w:id="124930941">
          <w:marLeft w:val="0"/>
          <w:marRight w:val="0"/>
          <w:marTop w:val="0"/>
          <w:marBottom w:val="0"/>
          <w:divBdr>
            <w:top w:val="none" w:sz="0" w:space="0" w:color="auto"/>
            <w:left w:val="none" w:sz="0" w:space="0" w:color="auto"/>
            <w:bottom w:val="none" w:sz="0" w:space="0" w:color="auto"/>
            <w:right w:val="none" w:sz="0" w:space="0" w:color="auto"/>
          </w:divBdr>
        </w:div>
        <w:div w:id="141776112">
          <w:marLeft w:val="0"/>
          <w:marRight w:val="0"/>
          <w:marTop w:val="0"/>
          <w:marBottom w:val="0"/>
          <w:divBdr>
            <w:top w:val="none" w:sz="0" w:space="0" w:color="auto"/>
            <w:left w:val="none" w:sz="0" w:space="0" w:color="auto"/>
            <w:bottom w:val="none" w:sz="0" w:space="0" w:color="auto"/>
            <w:right w:val="none" w:sz="0" w:space="0" w:color="auto"/>
          </w:divBdr>
        </w:div>
        <w:div w:id="569536473">
          <w:marLeft w:val="0"/>
          <w:marRight w:val="0"/>
          <w:marTop w:val="0"/>
          <w:marBottom w:val="0"/>
          <w:divBdr>
            <w:top w:val="none" w:sz="0" w:space="0" w:color="auto"/>
            <w:left w:val="none" w:sz="0" w:space="0" w:color="auto"/>
            <w:bottom w:val="none" w:sz="0" w:space="0" w:color="auto"/>
            <w:right w:val="none" w:sz="0" w:space="0" w:color="auto"/>
          </w:divBdr>
        </w:div>
      </w:divsChild>
    </w:div>
    <w:div w:id="555746610">
      <w:bodyDiv w:val="1"/>
      <w:marLeft w:val="0"/>
      <w:marRight w:val="0"/>
      <w:marTop w:val="0"/>
      <w:marBottom w:val="0"/>
      <w:divBdr>
        <w:top w:val="none" w:sz="0" w:space="0" w:color="auto"/>
        <w:left w:val="none" w:sz="0" w:space="0" w:color="auto"/>
        <w:bottom w:val="none" w:sz="0" w:space="0" w:color="auto"/>
        <w:right w:val="none" w:sz="0" w:space="0" w:color="auto"/>
      </w:divBdr>
      <w:divsChild>
        <w:div w:id="231157719">
          <w:marLeft w:val="0"/>
          <w:marRight w:val="0"/>
          <w:marTop w:val="0"/>
          <w:marBottom w:val="0"/>
          <w:divBdr>
            <w:top w:val="none" w:sz="0" w:space="0" w:color="auto"/>
            <w:left w:val="none" w:sz="0" w:space="0" w:color="auto"/>
            <w:bottom w:val="none" w:sz="0" w:space="0" w:color="auto"/>
            <w:right w:val="none" w:sz="0" w:space="0" w:color="auto"/>
          </w:divBdr>
        </w:div>
        <w:div w:id="361632183">
          <w:marLeft w:val="0"/>
          <w:marRight w:val="0"/>
          <w:marTop w:val="0"/>
          <w:marBottom w:val="0"/>
          <w:divBdr>
            <w:top w:val="none" w:sz="0" w:space="0" w:color="auto"/>
            <w:left w:val="none" w:sz="0" w:space="0" w:color="auto"/>
            <w:bottom w:val="none" w:sz="0" w:space="0" w:color="auto"/>
            <w:right w:val="none" w:sz="0" w:space="0" w:color="auto"/>
          </w:divBdr>
        </w:div>
        <w:div w:id="1324121920">
          <w:marLeft w:val="0"/>
          <w:marRight w:val="0"/>
          <w:marTop w:val="0"/>
          <w:marBottom w:val="0"/>
          <w:divBdr>
            <w:top w:val="none" w:sz="0" w:space="0" w:color="auto"/>
            <w:left w:val="none" w:sz="0" w:space="0" w:color="auto"/>
            <w:bottom w:val="none" w:sz="0" w:space="0" w:color="auto"/>
            <w:right w:val="none" w:sz="0" w:space="0" w:color="auto"/>
          </w:divBdr>
        </w:div>
        <w:div w:id="1690063281">
          <w:marLeft w:val="0"/>
          <w:marRight w:val="0"/>
          <w:marTop w:val="0"/>
          <w:marBottom w:val="0"/>
          <w:divBdr>
            <w:top w:val="none" w:sz="0" w:space="0" w:color="auto"/>
            <w:left w:val="none" w:sz="0" w:space="0" w:color="auto"/>
            <w:bottom w:val="none" w:sz="0" w:space="0" w:color="auto"/>
            <w:right w:val="none" w:sz="0" w:space="0" w:color="auto"/>
          </w:divBdr>
        </w:div>
        <w:div w:id="1931424103">
          <w:marLeft w:val="0"/>
          <w:marRight w:val="0"/>
          <w:marTop w:val="0"/>
          <w:marBottom w:val="0"/>
          <w:divBdr>
            <w:top w:val="none" w:sz="0" w:space="0" w:color="auto"/>
            <w:left w:val="none" w:sz="0" w:space="0" w:color="auto"/>
            <w:bottom w:val="none" w:sz="0" w:space="0" w:color="auto"/>
            <w:right w:val="none" w:sz="0" w:space="0" w:color="auto"/>
          </w:divBdr>
        </w:div>
      </w:divsChild>
    </w:div>
    <w:div w:id="556401370">
      <w:bodyDiv w:val="1"/>
      <w:marLeft w:val="0"/>
      <w:marRight w:val="0"/>
      <w:marTop w:val="0"/>
      <w:marBottom w:val="0"/>
      <w:divBdr>
        <w:top w:val="none" w:sz="0" w:space="0" w:color="auto"/>
        <w:left w:val="none" w:sz="0" w:space="0" w:color="auto"/>
        <w:bottom w:val="none" w:sz="0" w:space="0" w:color="auto"/>
        <w:right w:val="none" w:sz="0" w:space="0" w:color="auto"/>
      </w:divBdr>
      <w:divsChild>
        <w:div w:id="88821292">
          <w:marLeft w:val="994"/>
          <w:marRight w:val="0"/>
          <w:marTop w:val="0"/>
          <w:marBottom w:val="0"/>
          <w:divBdr>
            <w:top w:val="none" w:sz="0" w:space="0" w:color="auto"/>
            <w:left w:val="none" w:sz="0" w:space="0" w:color="auto"/>
            <w:bottom w:val="none" w:sz="0" w:space="0" w:color="auto"/>
            <w:right w:val="none" w:sz="0" w:space="0" w:color="auto"/>
          </w:divBdr>
        </w:div>
        <w:div w:id="222957035">
          <w:marLeft w:val="994"/>
          <w:marRight w:val="0"/>
          <w:marTop w:val="0"/>
          <w:marBottom w:val="0"/>
          <w:divBdr>
            <w:top w:val="none" w:sz="0" w:space="0" w:color="auto"/>
            <w:left w:val="none" w:sz="0" w:space="0" w:color="auto"/>
            <w:bottom w:val="none" w:sz="0" w:space="0" w:color="auto"/>
            <w:right w:val="none" w:sz="0" w:space="0" w:color="auto"/>
          </w:divBdr>
        </w:div>
        <w:div w:id="240332280">
          <w:marLeft w:val="994"/>
          <w:marRight w:val="0"/>
          <w:marTop w:val="0"/>
          <w:marBottom w:val="0"/>
          <w:divBdr>
            <w:top w:val="none" w:sz="0" w:space="0" w:color="auto"/>
            <w:left w:val="none" w:sz="0" w:space="0" w:color="auto"/>
            <w:bottom w:val="none" w:sz="0" w:space="0" w:color="auto"/>
            <w:right w:val="none" w:sz="0" w:space="0" w:color="auto"/>
          </w:divBdr>
        </w:div>
        <w:div w:id="481895345">
          <w:marLeft w:val="994"/>
          <w:marRight w:val="0"/>
          <w:marTop w:val="0"/>
          <w:marBottom w:val="0"/>
          <w:divBdr>
            <w:top w:val="none" w:sz="0" w:space="0" w:color="auto"/>
            <w:left w:val="none" w:sz="0" w:space="0" w:color="auto"/>
            <w:bottom w:val="none" w:sz="0" w:space="0" w:color="auto"/>
            <w:right w:val="none" w:sz="0" w:space="0" w:color="auto"/>
          </w:divBdr>
        </w:div>
        <w:div w:id="505293204">
          <w:marLeft w:val="994"/>
          <w:marRight w:val="0"/>
          <w:marTop w:val="0"/>
          <w:marBottom w:val="0"/>
          <w:divBdr>
            <w:top w:val="none" w:sz="0" w:space="0" w:color="auto"/>
            <w:left w:val="none" w:sz="0" w:space="0" w:color="auto"/>
            <w:bottom w:val="none" w:sz="0" w:space="0" w:color="auto"/>
            <w:right w:val="none" w:sz="0" w:space="0" w:color="auto"/>
          </w:divBdr>
        </w:div>
        <w:div w:id="611590908">
          <w:marLeft w:val="274"/>
          <w:marRight w:val="0"/>
          <w:marTop w:val="0"/>
          <w:marBottom w:val="0"/>
          <w:divBdr>
            <w:top w:val="none" w:sz="0" w:space="0" w:color="auto"/>
            <w:left w:val="none" w:sz="0" w:space="0" w:color="auto"/>
            <w:bottom w:val="none" w:sz="0" w:space="0" w:color="auto"/>
            <w:right w:val="none" w:sz="0" w:space="0" w:color="auto"/>
          </w:divBdr>
        </w:div>
        <w:div w:id="619529906">
          <w:marLeft w:val="274"/>
          <w:marRight w:val="0"/>
          <w:marTop w:val="0"/>
          <w:marBottom w:val="0"/>
          <w:divBdr>
            <w:top w:val="none" w:sz="0" w:space="0" w:color="auto"/>
            <w:left w:val="none" w:sz="0" w:space="0" w:color="auto"/>
            <w:bottom w:val="none" w:sz="0" w:space="0" w:color="auto"/>
            <w:right w:val="none" w:sz="0" w:space="0" w:color="auto"/>
          </w:divBdr>
        </w:div>
        <w:div w:id="1143812693">
          <w:marLeft w:val="274"/>
          <w:marRight w:val="0"/>
          <w:marTop w:val="0"/>
          <w:marBottom w:val="0"/>
          <w:divBdr>
            <w:top w:val="none" w:sz="0" w:space="0" w:color="auto"/>
            <w:left w:val="none" w:sz="0" w:space="0" w:color="auto"/>
            <w:bottom w:val="none" w:sz="0" w:space="0" w:color="auto"/>
            <w:right w:val="none" w:sz="0" w:space="0" w:color="auto"/>
          </w:divBdr>
        </w:div>
        <w:div w:id="1202328256">
          <w:marLeft w:val="994"/>
          <w:marRight w:val="0"/>
          <w:marTop w:val="0"/>
          <w:marBottom w:val="0"/>
          <w:divBdr>
            <w:top w:val="none" w:sz="0" w:space="0" w:color="auto"/>
            <w:left w:val="none" w:sz="0" w:space="0" w:color="auto"/>
            <w:bottom w:val="none" w:sz="0" w:space="0" w:color="auto"/>
            <w:right w:val="none" w:sz="0" w:space="0" w:color="auto"/>
          </w:divBdr>
        </w:div>
        <w:div w:id="1291085517">
          <w:marLeft w:val="994"/>
          <w:marRight w:val="0"/>
          <w:marTop w:val="0"/>
          <w:marBottom w:val="0"/>
          <w:divBdr>
            <w:top w:val="none" w:sz="0" w:space="0" w:color="auto"/>
            <w:left w:val="none" w:sz="0" w:space="0" w:color="auto"/>
            <w:bottom w:val="none" w:sz="0" w:space="0" w:color="auto"/>
            <w:right w:val="none" w:sz="0" w:space="0" w:color="auto"/>
          </w:divBdr>
        </w:div>
        <w:div w:id="1531263765">
          <w:marLeft w:val="994"/>
          <w:marRight w:val="0"/>
          <w:marTop w:val="0"/>
          <w:marBottom w:val="0"/>
          <w:divBdr>
            <w:top w:val="none" w:sz="0" w:space="0" w:color="auto"/>
            <w:left w:val="none" w:sz="0" w:space="0" w:color="auto"/>
            <w:bottom w:val="none" w:sz="0" w:space="0" w:color="auto"/>
            <w:right w:val="none" w:sz="0" w:space="0" w:color="auto"/>
          </w:divBdr>
        </w:div>
        <w:div w:id="1766799081">
          <w:marLeft w:val="994"/>
          <w:marRight w:val="0"/>
          <w:marTop w:val="0"/>
          <w:marBottom w:val="0"/>
          <w:divBdr>
            <w:top w:val="none" w:sz="0" w:space="0" w:color="auto"/>
            <w:left w:val="none" w:sz="0" w:space="0" w:color="auto"/>
            <w:bottom w:val="none" w:sz="0" w:space="0" w:color="auto"/>
            <w:right w:val="none" w:sz="0" w:space="0" w:color="auto"/>
          </w:divBdr>
        </w:div>
        <w:div w:id="1923221848">
          <w:marLeft w:val="994"/>
          <w:marRight w:val="0"/>
          <w:marTop w:val="0"/>
          <w:marBottom w:val="0"/>
          <w:divBdr>
            <w:top w:val="none" w:sz="0" w:space="0" w:color="auto"/>
            <w:left w:val="none" w:sz="0" w:space="0" w:color="auto"/>
            <w:bottom w:val="none" w:sz="0" w:space="0" w:color="auto"/>
            <w:right w:val="none" w:sz="0" w:space="0" w:color="auto"/>
          </w:divBdr>
        </w:div>
        <w:div w:id="2073500127">
          <w:marLeft w:val="274"/>
          <w:marRight w:val="0"/>
          <w:marTop w:val="0"/>
          <w:marBottom w:val="0"/>
          <w:divBdr>
            <w:top w:val="none" w:sz="0" w:space="0" w:color="auto"/>
            <w:left w:val="none" w:sz="0" w:space="0" w:color="auto"/>
            <w:bottom w:val="none" w:sz="0" w:space="0" w:color="auto"/>
            <w:right w:val="none" w:sz="0" w:space="0" w:color="auto"/>
          </w:divBdr>
        </w:div>
      </w:divsChild>
    </w:div>
    <w:div w:id="558707490">
      <w:bodyDiv w:val="1"/>
      <w:marLeft w:val="0"/>
      <w:marRight w:val="0"/>
      <w:marTop w:val="0"/>
      <w:marBottom w:val="0"/>
      <w:divBdr>
        <w:top w:val="none" w:sz="0" w:space="0" w:color="auto"/>
        <w:left w:val="none" w:sz="0" w:space="0" w:color="auto"/>
        <w:bottom w:val="none" w:sz="0" w:space="0" w:color="auto"/>
        <w:right w:val="none" w:sz="0" w:space="0" w:color="auto"/>
      </w:divBdr>
    </w:div>
    <w:div w:id="559484986">
      <w:bodyDiv w:val="1"/>
      <w:marLeft w:val="0"/>
      <w:marRight w:val="0"/>
      <w:marTop w:val="0"/>
      <w:marBottom w:val="0"/>
      <w:divBdr>
        <w:top w:val="none" w:sz="0" w:space="0" w:color="auto"/>
        <w:left w:val="none" w:sz="0" w:space="0" w:color="auto"/>
        <w:bottom w:val="none" w:sz="0" w:space="0" w:color="auto"/>
        <w:right w:val="none" w:sz="0" w:space="0" w:color="auto"/>
      </w:divBdr>
      <w:divsChild>
        <w:div w:id="60909092">
          <w:marLeft w:val="0"/>
          <w:marRight w:val="0"/>
          <w:marTop w:val="0"/>
          <w:marBottom w:val="0"/>
          <w:divBdr>
            <w:top w:val="none" w:sz="0" w:space="0" w:color="auto"/>
            <w:left w:val="none" w:sz="0" w:space="0" w:color="auto"/>
            <w:bottom w:val="none" w:sz="0" w:space="0" w:color="auto"/>
            <w:right w:val="none" w:sz="0" w:space="0" w:color="auto"/>
          </w:divBdr>
        </w:div>
        <w:div w:id="234048218">
          <w:marLeft w:val="0"/>
          <w:marRight w:val="0"/>
          <w:marTop w:val="0"/>
          <w:marBottom w:val="0"/>
          <w:divBdr>
            <w:top w:val="none" w:sz="0" w:space="0" w:color="auto"/>
            <w:left w:val="none" w:sz="0" w:space="0" w:color="auto"/>
            <w:bottom w:val="none" w:sz="0" w:space="0" w:color="auto"/>
            <w:right w:val="none" w:sz="0" w:space="0" w:color="auto"/>
          </w:divBdr>
        </w:div>
        <w:div w:id="952327270">
          <w:marLeft w:val="0"/>
          <w:marRight w:val="0"/>
          <w:marTop w:val="0"/>
          <w:marBottom w:val="0"/>
          <w:divBdr>
            <w:top w:val="none" w:sz="0" w:space="0" w:color="auto"/>
            <w:left w:val="none" w:sz="0" w:space="0" w:color="auto"/>
            <w:bottom w:val="none" w:sz="0" w:space="0" w:color="auto"/>
            <w:right w:val="none" w:sz="0" w:space="0" w:color="auto"/>
          </w:divBdr>
        </w:div>
        <w:div w:id="1208564640">
          <w:marLeft w:val="0"/>
          <w:marRight w:val="0"/>
          <w:marTop w:val="0"/>
          <w:marBottom w:val="0"/>
          <w:divBdr>
            <w:top w:val="none" w:sz="0" w:space="0" w:color="auto"/>
            <w:left w:val="none" w:sz="0" w:space="0" w:color="auto"/>
            <w:bottom w:val="none" w:sz="0" w:space="0" w:color="auto"/>
            <w:right w:val="none" w:sz="0" w:space="0" w:color="auto"/>
          </w:divBdr>
        </w:div>
      </w:divsChild>
    </w:div>
    <w:div w:id="560021587">
      <w:bodyDiv w:val="1"/>
      <w:marLeft w:val="0"/>
      <w:marRight w:val="0"/>
      <w:marTop w:val="0"/>
      <w:marBottom w:val="0"/>
      <w:divBdr>
        <w:top w:val="none" w:sz="0" w:space="0" w:color="auto"/>
        <w:left w:val="none" w:sz="0" w:space="0" w:color="auto"/>
        <w:bottom w:val="none" w:sz="0" w:space="0" w:color="auto"/>
        <w:right w:val="none" w:sz="0" w:space="0" w:color="auto"/>
      </w:divBdr>
      <w:divsChild>
        <w:div w:id="255794869">
          <w:marLeft w:val="0"/>
          <w:marRight w:val="0"/>
          <w:marTop w:val="0"/>
          <w:marBottom w:val="0"/>
          <w:divBdr>
            <w:top w:val="none" w:sz="0" w:space="0" w:color="auto"/>
            <w:left w:val="none" w:sz="0" w:space="0" w:color="auto"/>
            <w:bottom w:val="none" w:sz="0" w:space="0" w:color="auto"/>
            <w:right w:val="none" w:sz="0" w:space="0" w:color="auto"/>
          </w:divBdr>
        </w:div>
        <w:div w:id="557129563">
          <w:marLeft w:val="0"/>
          <w:marRight w:val="0"/>
          <w:marTop w:val="0"/>
          <w:marBottom w:val="0"/>
          <w:divBdr>
            <w:top w:val="none" w:sz="0" w:space="0" w:color="auto"/>
            <w:left w:val="none" w:sz="0" w:space="0" w:color="auto"/>
            <w:bottom w:val="none" w:sz="0" w:space="0" w:color="auto"/>
            <w:right w:val="none" w:sz="0" w:space="0" w:color="auto"/>
          </w:divBdr>
        </w:div>
        <w:div w:id="2145583805">
          <w:marLeft w:val="0"/>
          <w:marRight w:val="0"/>
          <w:marTop w:val="0"/>
          <w:marBottom w:val="0"/>
          <w:divBdr>
            <w:top w:val="none" w:sz="0" w:space="0" w:color="auto"/>
            <w:left w:val="none" w:sz="0" w:space="0" w:color="auto"/>
            <w:bottom w:val="none" w:sz="0" w:space="0" w:color="auto"/>
            <w:right w:val="none" w:sz="0" w:space="0" w:color="auto"/>
          </w:divBdr>
        </w:div>
      </w:divsChild>
    </w:div>
    <w:div w:id="565528345">
      <w:bodyDiv w:val="1"/>
      <w:marLeft w:val="0"/>
      <w:marRight w:val="0"/>
      <w:marTop w:val="0"/>
      <w:marBottom w:val="0"/>
      <w:divBdr>
        <w:top w:val="none" w:sz="0" w:space="0" w:color="auto"/>
        <w:left w:val="none" w:sz="0" w:space="0" w:color="auto"/>
        <w:bottom w:val="none" w:sz="0" w:space="0" w:color="auto"/>
        <w:right w:val="none" w:sz="0" w:space="0" w:color="auto"/>
      </w:divBdr>
    </w:div>
    <w:div w:id="592320309">
      <w:bodyDiv w:val="1"/>
      <w:marLeft w:val="0"/>
      <w:marRight w:val="0"/>
      <w:marTop w:val="0"/>
      <w:marBottom w:val="0"/>
      <w:divBdr>
        <w:top w:val="none" w:sz="0" w:space="0" w:color="auto"/>
        <w:left w:val="none" w:sz="0" w:space="0" w:color="auto"/>
        <w:bottom w:val="none" w:sz="0" w:space="0" w:color="auto"/>
        <w:right w:val="none" w:sz="0" w:space="0" w:color="auto"/>
      </w:divBdr>
    </w:div>
    <w:div w:id="607346746">
      <w:bodyDiv w:val="1"/>
      <w:marLeft w:val="0"/>
      <w:marRight w:val="0"/>
      <w:marTop w:val="0"/>
      <w:marBottom w:val="0"/>
      <w:divBdr>
        <w:top w:val="none" w:sz="0" w:space="0" w:color="auto"/>
        <w:left w:val="none" w:sz="0" w:space="0" w:color="auto"/>
        <w:bottom w:val="none" w:sz="0" w:space="0" w:color="auto"/>
        <w:right w:val="none" w:sz="0" w:space="0" w:color="auto"/>
      </w:divBdr>
      <w:divsChild>
        <w:div w:id="179395751">
          <w:marLeft w:val="0"/>
          <w:marRight w:val="0"/>
          <w:marTop w:val="0"/>
          <w:marBottom w:val="0"/>
          <w:divBdr>
            <w:top w:val="none" w:sz="0" w:space="0" w:color="auto"/>
            <w:left w:val="none" w:sz="0" w:space="0" w:color="auto"/>
            <w:bottom w:val="none" w:sz="0" w:space="0" w:color="auto"/>
            <w:right w:val="none" w:sz="0" w:space="0" w:color="auto"/>
          </w:divBdr>
        </w:div>
        <w:div w:id="849444503">
          <w:marLeft w:val="0"/>
          <w:marRight w:val="0"/>
          <w:marTop w:val="0"/>
          <w:marBottom w:val="0"/>
          <w:divBdr>
            <w:top w:val="none" w:sz="0" w:space="0" w:color="auto"/>
            <w:left w:val="none" w:sz="0" w:space="0" w:color="auto"/>
            <w:bottom w:val="none" w:sz="0" w:space="0" w:color="auto"/>
            <w:right w:val="none" w:sz="0" w:space="0" w:color="auto"/>
          </w:divBdr>
        </w:div>
        <w:div w:id="1609773424">
          <w:marLeft w:val="0"/>
          <w:marRight w:val="0"/>
          <w:marTop w:val="0"/>
          <w:marBottom w:val="0"/>
          <w:divBdr>
            <w:top w:val="none" w:sz="0" w:space="0" w:color="auto"/>
            <w:left w:val="none" w:sz="0" w:space="0" w:color="auto"/>
            <w:bottom w:val="none" w:sz="0" w:space="0" w:color="auto"/>
            <w:right w:val="none" w:sz="0" w:space="0" w:color="auto"/>
          </w:divBdr>
        </w:div>
      </w:divsChild>
    </w:div>
    <w:div w:id="613101933">
      <w:bodyDiv w:val="1"/>
      <w:marLeft w:val="0"/>
      <w:marRight w:val="0"/>
      <w:marTop w:val="0"/>
      <w:marBottom w:val="0"/>
      <w:divBdr>
        <w:top w:val="none" w:sz="0" w:space="0" w:color="auto"/>
        <w:left w:val="none" w:sz="0" w:space="0" w:color="auto"/>
        <w:bottom w:val="none" w:sz="0" w:space="0" w:color="auto"/>
        <w:right w:val="none" w:sz="0" w:space="0" w:color="auto"/>
      </w:divBdr>
    </w:div>
    <w:div w:id="616109903">
      <w:bodyDiv w:val="1"/>
      <w:marLeft w:val="0"/>
      <w:marRight w:val="0"/>
      <w:marTop w:val="0"/>
      <w:marBottom w:val="0"/>
      <w:divBdr>
        <w:top w:val="none" w:sz="0" w:space="0" w:color="auto"/>
        <w:left w:val="none" w:sz="0" w:space="0" w:color="auto"/>
        <w:bottom w:val="none" w:sz="0" w:space="0" w:color="auto"/>
        <w:right w:val="none" w:sz="0" w:space="0" w:color="auto"/>
      </w:divBdr>
      <w:divsChild>
        <w:div w:id="1648778221">
          <w:marLeft w:val="547"/>
          <w:marRight w:val="0"/>
          <w:marTop w:val="106"/>
          <w:marBottom w:val="0"/>
          <w:divBdr>
            <w:top w:val="none" w:sz="0" w:space="0" w:color="auto"/>
            <w:left w:val="none" w:sz="0" w:space="0" w:color="auto"/>
            <w:bottom w:val="none" w:sz="0" w:space="0" w:color="auto"/>
            <w:right w:val="none" w:sz="0" w:space="0" w:color="auto"/>
          </w:divBdr>
        </w:div>
        <w:div w:id="1873759213">
          <w:marLeft w:val="547"/>
          <w:marRight w:val="0"/>
          <w:marTop w:val="106"/>
          <w:marBottom w:val="0"/>
          <w:divBdr>
            <w:top w:val="none" w:sz="0" w:space="0" w:color="auto"/>
            <w:left w:val="none" w:sz="0" w:space="0" w:color="auto"/>
            <w:bottom w:val="none" w:sz="0" w:space="0" w:color="auto"/>
            <w:right w:val="none" w:sz="0" w:space="0" w:color="auto"/>
          </w:divBdr>
        </w:div>
      </w:divsChild>
    </w:div>
    <w:div w:id="635914647">
      <w:bodyDiv w:val="1"/>
      <w:marLeft w:val="0"/>
      <w:marRight w:val="0"/>
      <w:marTop w:val="0"/>
      <w:marBottom w:val="0"/>
      <w:divBdr>
        <w:top w:val="none" w:sz="0" w:space="0" w:color="auto"/>
        <w:left w:val="none" w:sz="0" w:space="0" w:color="auto"/>
        <w:bottom w:val="none" w:sz="0" w:space="0" w:color="auto"/>
        <w:right w:val="none" w:sz="0" w:space="0" w:color="auto"/>
      </w:divBdr>
      <w:divsChild>
        <w:div w:id="273249769">
          <w:marLeft w:val="0"/>
          <w:marRight w:val="0"/>
          <w:marTop w:val="0"/>
          <w:marBottom w:val="0"/>
          <w:divBdr>
            <w:top w:val="none" w:sz="0" w:space="0" w:color="auto"/>
            <w:left w:val="none" w:sz="0" w:space="0" w:color="auto"/>
            <w:bottom w:val="none" w:sz="0" w:space="0" w:color="auto"/>
            <w:right w:val="none" w:sz="0" w:space="0" w:color="auto"/>
          </w:divBdr>
        </w:div>
        <w:div w:id="1148205354">
          <w:marLeft w:val="0"/>
          <w:marRight w:val="0"/>
          <w:marTop w:val="0"/>
          <w:marBottom w:val="0"/>
          <w:divBdr>
            <w:top w:val="none" w:sz="0" w:space="0" w:color="auto"/>
            <w:left w:val="none" w:sz="0" w:space="0" w:color="auto"/>
            <w:bottom w:val="none" w:sz="0" w:space="0" w:color="auto"/>
            <w:right w:val="none" w:sz="0" w:space="0" w:color="auto"/>
          </w:divBdr>
        </w:div>
      </w:divsChild>
    </w:div>
    <w:div w:id="655032952">
      <w:bodyDiv w:val="1"/>
      <w:marLeft w:val="0"/>
      <w:marRight w:val="0"/>
      <w:marTop w:val="0"/>
      <w:marBottom w:val="0"/>
      <w:divBdr>
        <w:top w:val="none" w:sz="0" w:space="0" w:color="auto"/>
        <w:left w:val="none" w:sz="0" w:space="0" w:color="auto"/>
        <w:bottom w:val="none" w:sz="0" w:space="0" w:color="auto"/>
        <w:right w:val="none" w:sz="0" w:space="0" w:color="auto"/>
      </w:divBdr>
    </w:div>
    <w:div w:id="659308998">
      <w:bodyDiv w:val="1"/>
      <w:marLeft w:val="0"/>
      <w:marRight w:val="0"/>
      <w:marTop w:val="0"/>
      <w:marBottom w:val="0"/>
      <w:divBdr>
        <w:top w:val="none" w:sz="0" w:space="0" w:color="auto"/>
        <w:left w:val="none" w:sz="0" w:space="0" w:color="auto"/>
        <w:bottom w:val="none" w:sz="0" w:space="0" w:color="auto"/>
        <w:right w:val="none" w:sz="0" w:space="0" w:color="auto"/>
      </w:divBdr>
      <w:divsChild>
        <w:div w:id="30498745">
          <w:marLeft w:val="274"/>
          <w:marRight w:val="0"/>
          <w:marTop w:val="86"/>
          <w:marBottom w:val="0"/>
          <w:divBdr>
            <w:top w:val="none" w:sz="0" w:space="0" w:color="auto"/>
            <w:left w:val="none" w:sz="0" w:space="0" w:color="auto"/>
            <w:bottom w:val="none" w:sz="0" w:space="0" w:color="auto"/>
            <w:right w:val="none" w:sz="0" w:space="0" w:color="auto"/>
          </w:divBdr>
        </w:div>
        <w:div w:id="226380302">
          <w:marLeft w:val="274"/>
          <w:marRight w:val="0"/>
          <w:marTop w:val="0"/>
          <w:marBottom w:val="0"/>
          <w:divBdr>
            <w:top w:val="none" w:sz="0" w:space="0" w:color="auto"/>
            <w:left w:val="none" w:sz="0" w:space="0" w:color="auto"/>
            <w:bottom w:val="none" w:sz="0" w:space="0" w:color="auto"/>
            <w:right w:val="none" w:sz="0" w:space="0" w:color="auto"/>
          </w:divBdr>
        </w:div>
        <w:div w:id="333919884">
          <w:marLeft w:val="274"/>
          <w:marRight w:val="0"/>
          <w:marTop w:val="0"/>
          <w:marBottom w:val="0"/>
          <w:divBdr>
            <w:top w:val="none" w:sz="0" w:space="0" w:color="auto"/>
            <w:left w:val="none" w:sz="0" w:space="0" w:color="auto"/>
            <w:bottom w:val="none" w:sz="0" w:space="0" w:color="auto"/>
            <w:right w:val="none" w:sz="0" w:space="0" w:color="auto"/>
          </w:divBdr>
        </w:div>
        <w:div w:id="356350198">
          <w:marLeft w:val="274"/>
          <w:marRight w:val="0"/>
          <w:marTop w:val="0"/>
          <w:marBottom w:val="0"/>
          <w:divBdr>
            <w:top w:val="none" w:sz="0" w:space="0" w:color="auto"/>
            <w:left w:val="none" w:sz="0" w:space="0" w:color="auto"/>
            <w:bottom w:val="none" w:sz="0" w:space="0" w:color="auto"/>
            <w:right w:val="none" w:sz="0" w:space="0" w:color="auto"/>
          </w:divBdr>
        </w:div>
        <w:div w:id="926884884">
          <w:marLeft w:val="274"/>
          <w:marRight w:val="0"/>
          <w:marTop w:val="86"/>
          <w:marBottom w:val="0"/>
          <w:divBdr>
            <w:top w:val="none" w:sz="0" w:space="0" w:color="auto"/>
            <w:left w:val="none" w:sz="0" w:space="0" w:color="auto"/>
            <w:bottom w:val="none" w:sz="0" w:space="0" w:color="auto"/>
            <w:right w:val="none" w:sz="0" w:space="0" w:color="auto"/>
          </w:divBdr>
        </w:div>
        <w:div w:id="1007054615">
          <w:marLeft w:val="274"/>
          <w:marRight w:val="0"/>
          <w:marTop w:val="86"/>
          <w:marBottom w:val="0"/>
          <w:divBdr>
            <w:top w:val="none" w:sz="0" w:space="0" w:color="auto"/>
            <w:left w:val="none" w:sz="0" w:space="0" w:color="auto"/>
            <w:bottom w:val="none" w:sz="0" w:space="0" w:color="auto"/>
            <w:right w:val="none" w:sz="0" w:space="0" w:color="auto"/>
          </w:divBdr>
        </w:div>
        <w:div w:id="1101952620">
          <w:marLeft w:val="274"/>
          <w:marRight w:val="0"/>
          <w:marTop w:val="86"/>
          <w:marBottom w:val="0"/>
          <w:divBdr>
            <w:top w:val="none" w:sz="0" w:space="0" w:color="auto"/>
            <w:left w:val="none" w:sz="0" w:space="0" w:color="auto"/>
            <w:bottom w:val="none" w:sz="0" w:space="0" w:color="auto"/>
            <w:right w:val="none" w:sz="0" w:space="0" w:color="auto"/>
          </w:divBdr>
        </w:div>
        <w:div w:id="1135099169">
          <w:marLeft w:val="274"/>
          <w:marRight w:val="0"/>
          <w:marTop w:val="0"/>
          <w:marBottom w:val="0"/>
          <w:divBdr>
            <w:top w:val="none" w:sz="0" w:space="0" w:color="auto"/>
            <w:left w:val="none" w:sz="0" w:space="0" w:color="auto"/>
            <w:bottom w:val="none" w:sz="0" w:space="0" w:color="auto"/>
            <w:right w:val="none" w:sz="0" w:space="0" w:color="auto"/>
          </w:divBdr>
        </w:div>
        <w:div w:id="1685551992">
          <w:marLeft w:val="274"/>
          <w:marRight w:val="0"/>
          <w:marTop w:val="0"/>
          <w:marBottom w:val="0"/>
          <w:divBdr>
            <w:top w:val="none" w:sz="0" w:space="0" w:color="auto"/>
            <w:left w:val="none" w:sz="0" w:space="0" w:color="auto"/>
            <w:bottom w:val="none" w:sz="0" w:space="0" w:color="auto"/>
            <w:right w:val="none" w:sz="0" w:space="0" w:color="auto"/>
          </w:divBdr>
        </w:div>
        <w:div w:id="1696809482">
          <w:marLeft w:val="274"/>
          <w:marRight w:val="0"/>
          <w:marTop w:val="86"/>
          <w:marBottom w:val="0"/>
          <w:divBdr>
            <w:top w:val="none" w:sz="0" w:space="0" w:color="auto"/>
            <w:left w:val="none" w:sz="0" w:space="0" w:color="auto"/>
            <w:bottom w:val="none" w:sz="0" w:space="0" w:color="auto"/>
            <w:right w:val="none" w:sz="0" w:space="0" w:color="auto"/>
          </w:divBdr>
        </w:div>
        <w:div w:id="1968317681">
          <w:marLeft w:val="274"/>
          <w:marRight w:val="0"/>
          <w:marTop w:val="86"/>
          <w:marBottom w:val="0"/>
          <w:divBdr>
            <w:top w:val="none" w:sz="0" w:space="0" w:color="auto"/>
            <w:left w:val="none" w:sz="0" w:space="0" w:color="auto"/>
            <w:bottom w:val="none" w:sz="0" w:space="0" w:color="auto"/>
            <w:right w:val="none" w:sz="0" w:space="0" w:color="auto"/>
          </w:divBdr>
        </w:div>
        <w:div w:id="1994409782">
          <w:marLeft w:val="274"/>
          <w:marRight w:val="0"/>
          <w:marTop w:val="0"/>
          <w:marBottom w:val="0"/>
          <w:divBdr>
            <w:top w:val="none" w:sz="0" w:space="0" w:color="auto"/>
            <w:left w:val="none" w:sz="0" w:space="0" w:color="auto"/>
            <w:bottom w:val="none" w:sz="0" w:space="0" w:color="auto"/>
            <w:right w:val="none" w:sz="0" w:space="0" w:color="auto"/>
          </w:divBdr>
        </w:div>
        <w:div w:id="2015451536">
          <w:marLeft w:val="274"/>
          <w:marRight w:val="0"/>
          <w:marTop w:val="0"/>
          <w:marBottom w:val="0"/>
          <w:divBdr>
            <w:top w:val="none" w:sz="0" w:space="0" w:color="auto"/>
            <w:left w:val="none" w:sz="0" w:space="0" w:color="auto"/>
            <w:bottom w:val="none" w:sz="0" w:space="0" w:color="auto"/>
            <w:right w:val="none" w:sz="0" w:space="0" w:color="auto"/>
          </w:divBdr>
        </w:div>
      </w:divsChild>
    </w:div>
    <w:div w:id="662244185">
      <w:bodyDiv w:val="1"/>
      <w:marLeft w:val="0"/>
      <w:marRight w:val="0"/>
      <w:marTop w:val="0"/>
      <w:marBottom w:val="0"/>
      <w:divBdr>
        <w:top w:val="none" w:sz="0" w:space="0" w:color="auto"/>
        <w:left w:val="none" w:sz="0" w:space="0" w:color="auto"/>
        <w:bottom w:val="none" w:sz="0" w:space="0" w:color="auto"/>
        <w:right w:val="none" w:sz="0" w:space="0" w:color="auto"/>
      </w:divBdr>
    </w:div>
    <w:div w:id="666520498">
      <w:bodyDiv w:val="1"/>
      <w:marLeft w:val="0"/>
      <w:marRight w:val="0"/>
      <w:marTop w:val="0"/>
      <w:marBottom w:val="0"/>
      <w:divBdr>
        <w:top w:val="none" w:sz="0" w:space="0" w:color="auto"/>
        <w:left w:val="none" w:sz="0" w:space="0" w:color="auto"/>
        <w:bottom w:val="none" w:sz="0" w:space="0" w:color="auto"/>
        <w:right w:val="none" w:sz="0" w:space="0" w:color="auto"/>
      </w:divBdr>
      <w:divsChild>
        <w:div w:id="1407609971">
          <w:marLeft w:val="0"/>
          <w:marRight w:val="0"/>
          <w:marTop w:val="0"/>
          <w:marBottom w:val="0"/>
          <w:divBdr>
            <w:top w:val="none" w:sz="0" w:space="0" w:color="auto"/>
            <w:left w:val="none" w:sz="0" w:space="0" w:color="auto"/>
            <w:bottom w:val="none" w:sz="0" w:space="0" w:color="auto"/>
            <w:right w:val="none" w:sz="0" w:space="0" w:color="auto"/>
          </w:divBdr>
        </w:div>
        <w:div w:id="1738816508">
          <w:marLeft w:val="0"/>
          <w:marRight w:val="0"/>
          <w:marTop w:val="0"/>
          <w:marBottom w:val="0"/>
          <w:divBdr>
            <w:top w:val="none" w:sz="0" w:space="0" w:color="auto"/>
            <w:left w:val="none" w:sz="0" w:space="0" w:color="auto"/>
            <w:bottom w:val="none" w:sz="0" w:space="0" w:color="auto"/>
            <w:right w:val="none" w:sz="0" w:space="0" w:color="auto"/>
          </w:divBdr>
        </w:div>
      </w:divsChild>
    </w:div>
    <w:div w:id="672680493">
      <w:bodyDiv w:val="1"/>
      <w:marLeft w:val="0"/>
      <w:marRight w:val="0"/>
      <w:marTop w:val="0"/>
      <w:marBottom w:val="0"/>
      <w:divBdr>
        <w:top w:val="none" w:sz="0" w:space="0" w:color="auto"/>
        <w:left w:val="none" w:sz="0" w:space="0" w:color="auto"/>
        <w:bottom w:val="none" w:sz="0" w:space="0" w:color="auto"/>
        <w:right w:val="none" w:sz="0" w:space="0" w:color="auto"/>
      </w:divBdr>
    </w:div>
    <w:div w:id="676888341">
      <w:bodyDiv w:val="1"/>
      <w:marLeft w:val="0"/>
      <w:marRight w:val="0"/>
      <w:marTop w:val="0"/>
      <w:marBottom w:val="0"/>
      <w:divBdr>
        <w:top w:val="none" w:sz="0" w:space="0" w:color="auto"/>
        <w:left w:val="none" w:sz="0" w:space="0" w:color="auto"/>
        <w:bottom w:val="none" w:sz="0" w:space="0" w:color="auto"/>
        <w:right w:val="none" w:sz="0" w:space="0" w:color="auto"/>
      </w:divBdr>
    </w:div>
    <w:div w:id="682246289">
      <w:bodyDiv w:val="1"/>
      <w:marLeft w:val="0"/>
      <w:marRight w:val="0"/>
      <w:marTop w:val="0"/>
      <w:marBottom w:val="0"/>
      <w:divBdr>
        <w:top w:val="none" w:sz="0" w:space="0" w:color="auto"/>
        <w:left w:val="none" w:sz="0" w:space="0" w:color="auto"/>
        <w:bottom w:val="none" w:sz="0" w:space="0" w:color="auto"/>
        <w:right w:val="none" w:sz="0" w:space="0" w:color="auto"/>
      </w:divBdr>
      <w:divsChild>
        <w:div w:id="444153872">
          <w:marLeft w:val="274"/>
          <w:marRight w:val="0"/>
          <w:marTop w:val="0"/>
          <w:marBottom w:val="0"/>
          <w:divBdr>
            <w:top w:val="none" w:sz="0" w:space="0" w:color="auto"/>
            <w:left w:val="none" w:sz="0" w:space="0" w:color="auto"/>
            <w:bottom w:val="none" w:sz="0" w:space="0" w:color="auto"/>
            <w:right w:val="none" w:sz="0" w:space="0" w:color="auto"/>
          </w:divBdr>
        </w:div>
        <w:div w:id="674772041">
          <w:marLeft w:val="274"/>
          <w:marRight w:val="0"/>
          <w:marTop w:val="86"/>
          <w:marBottom w:val="0"/>
          <w:divBdr>
            <w:top w:val="none" w:sz="0" w:space="0" w:color="auto"/>
            <w:left w:val="none" w:sz="0" w:space="0" w:color="auto"/>
            <w:bottom w:val="none" w:sz="0" w:space="0" w:color="auto"/>
            <w:right w:val="none" w:sz="0" w:space="0" w:color="auto"/>
          </w:divBdr>
        </w:div>
        <w:div w:id="716591261">
          <w:marLeft w:val="274"/>
          <w:marRight w:val="0"/>
          <w:marTop w:val="86"/>
          <w:marBottom w:val="0"/>
          <w:divBdr>
            <w:top w:val="none" w:sz="0" w:space="0" w:color="auto"/>
            <w:left w:val="none" w:sz="0" w:space="0" w:color="auto"/>
            <w:bottom w:val="none" w:sz="0" w:space="0" w:color="auto"/>
            <w:right w:val="none" w:sz="0" w:space="0" w:color="auto"/>
          </w:divBdr>
        </w:div>
        <w:div w:id="717169996">
          <w:marLeft w:val="274"/>
          <w:marRight w:val="0"/>
          <w:marTop w:val="0"/>
          <w:marBottom w:val="0"/>
          <w:divBdr>
            <w:top w:val="none" w:sz="0" w:space="0" w:color="auto"/>
            <w:left w:val="none" w:sz="0" w:space="0" w:color="auto"/>
            <w:bottom w:val="none" w:sz="0" w:space="0" w:color="auto"/>
            <w:right w:val="none" w:sz="0" w:space="0" w:color="auto"/>
          </w:divBdr>
        </w:div>
        <w:div w:id="758335096">
          <w:marLeft w:val="274"/>
          <w:marRight w:val="0"/>
          <w:marTop w:val="0"/>
          <w:marBottom w:val="0"/>
          <w:divBdr>
            <w:top w:val="none" w:sz="0" w:space="0" w:color="auto"/>
            <w:left w:val="none" w:sz="0" w:space="0" w:color="auto"/>
            <w:bottom w:val="none" w:sz="0" w:space="0" w:color="auto"/>
            <w:right w:val="none" w:sz="0" w:space="0" w:color="auto"/>
          </w:divBdr>
        </w:div>
        <w:div w:id="777143295">
          <w:marLeft w:val="274"/>
          <w:marRight w:val="0"/>
          <w:marTop w:val="0"/>
          <w:marBottom w:val="0"/>
          <w:divBdr>
            <w:top w:val="none" w:sz="0" w:space="0" w:color="auto"/>
            <w:left w:val="none" w:sz="0" w:space="0" w:color="auto"/>
            <w:bottom w:val="none" w:sz="0" w:space="0" w:color="auto"/>
            <w:right w:val="none" w:sz="0" w:space="0" w:color="auto"/>
          </w:divBdr>
        </w:div>
        <w:div w:id="809597079">
          <w:marLeft w:val="274"/>
          <w:marRight w:val="0"/>
          <w:marTop w:val="0"/>
          <w:marBottom w:val="0"/>
          <w:divBdr>
            <w:top w:val="none" w:sz="0" w:space="0" w:color="auto"/>
            <w:left w:val="none" w:sz="0" w:space="0" w:color="auto"/>
            <w:bottom w:val="none" w:sz="0" w:space="0" w:color="auto"/>
            <w:right w:val="none" w:sz="0" w:space="0" w:color="auto"/>
          </w:divBdr>
        </w:div>
        <w:div w:id="822430035">
          <w:marLeft w:val="274"/>
          <w:marRight w:val="0"/>
          <w:marTop w:val="86"/>
          <w:marBottom w:val="0"/>
          <w:divBdr>
            <w:top w:val="none" w:sz="0" w:space="0" w:color="auto"/>
            <w:left w:val="none" w:sz="0" w:space="0" w:color="auto"/>
            <w:bottom w:val="none" w:sz="0" w:space="0" w:color="auto"/>
            <w:right w:val="none" w:sz="0" w:space="0" w:color="auto"/>
          </w:divBdr>
        </w:div>
        <w:div w:id="839663939">
          <w:marLeft w:val="274"/>
          <w:marRight w:val="0"/>
          <w:marTop w:val="86"/>
          <w:marBottom w:val="0"/>
          <w:divBdr>
            <w:top w:val="none" w:sz="0" w:space="0" w:color="auto"/>
            <w:left w:val="none" w:sz="0" w:space="0" w:color="auto"/>
            <w:bottom w:val="none" w:sz="0" w:space="0" w:color="auto"/>
            <w:right w:val="none" w:sz="0" w:space="0" w:color="auto"/>
          </w:divBdr>
        </w:div>
        <w:div w:id="940336972">
          <w:marLeft w:val="274"/>
          <w:marRight w:val="0"/>
          <w:marTop w:val="86"/>
          <w:marBottom w:val="0"/>
          <w:divBdr>
            <w:top w:val="none" w:sz="0" w:space="0" w:color="auto"/>
            <w:left w:val="none" w:sz="0" w:space="0" w:color="auto"/>
            <w:bottom w:val="none" w:sz="0" w:space="0" w:color="auto"/>
            <w:right w:val="none" w:sz="0" w:space="0" w:color="auto"/>
          </w:divBdr>
        </w:div>
        <w:div w:id="969555322">
          <w:marLeft w:val="274"/>
          <w:marRight w:val="0"/>
          <w:marTop w:val="86"/>
          <w:marBottom w:val="0"/>
          <w:divBdr>
            <w:top w:val="none" w:sz="0" w:space="0" w:color="auto"/>
            <w:left w:val="none" w:sz="0" w:space="0" w:color="auto"/>
            <w:bottom w:val="none" w:sz="0" w:space="0" w:color="auto"/>
            <w:right w:val="none" w:sz="0" w:space="0" w:color="auto"/>
          </w:divBdr>
        </w:div>
        <w:div w:id="1656907128">
          <w:marLeft w:val="274"/>
          <w:marRight w:val="0"/>
          <w:marTop w:val="0"/>
          <w:marBottom w:val="0"/>
          <w:divBdr>
            <w:top w:val="none" w:sz="0" w:space="0" w:color="auto"/>
            <w:left w:val="none" w:sz="0" w:space="0" w:color="auto"/>
            <w:bottom w:val="none" w:sz="0" w:space="0" w:color="auto"/>
            <w:right w:val="none" w:sz="0" w:space="0" w:color="auto"/>
          </w:divBdr>
        </w:div>
        <w:div w:id="1832989945">
          <w:marLeft w:val="274"/>
          <w:marRight w:val="0"/>
          <w:marTop w:val="0"/>
          <w:marBottom w:val="0"/>
          <w:divBdr>
            <w:top w:val="none" w:sz="0" w:space="0" w:color="auto"/>
            <w:left w:val="none" w:sz="0" w:space="0" w:color="auto"/>
            <w:bottom w:val="none" w:sz="0" w:space="0" w:color="auto"/>
            <w:right w:val="none" w:sz="0" w:space="0" w:color="auto"/>
          </w:divBdr>
        </w:div>
      </w:divsChild>
    </w:div>
    <w:div w:id="684938453">
      <w:bodyDiv w:val="1"/>
      <w:marLeft w:val="0"/>
      <w:marRight w:val="0"/>
      <w:marTop w:val="0"/>
      <w:marBottom w:val="0"/>
      <w:divBdr>
        <w:top w:val="none" w:sz="0" w:space="0" w:color="auto"/>
        <w:left w:val="none" w:sz="0" w:space="0" w:color="auto"/>
        <w:bottom w:val="none" w:sz="0" w:space="0" w:color="auto"/>
        <w:right w:val="none" w:sz="0" w:space="0" w:color="auto"/>
      </w:divBdr>
      <w:divsChild>
        <w:div w:id="9185196">
          <w:marLeft w:val="0"/>
          <w:marRight w:val="0"/>
          <w:marTop w:val="0"/>
          <w:marBottom w:val="0"/>
          <w:divBdr>
            <w:top w:val="none" w:sz="0" w:space="0" w:color="auto"/>
            <w:left w:val="none" w:sz="0" w:space="0" w:color="auto"/>
            <w:bottom w:val="none" w:sz="0" w:space="0" w:color="auto"/>
            <w:right w:val="none" w:sz="0" w:space="0" w:color="auto"/>
          </w:divBdr>
        </w:div>
        <w:div w:id="213397780">
          <w:marLeft w:val="0"/>
          <w:marRight w:val="0"/>
          <w:marTop w:val="0"/>
          <w:marBottom w:val="0"/>
          <w:divBdr>
            <w:top w:val="none" w:sz="0" w:space="0" w:color="auto"/>
            <w:left w:val="none" w:sz="0" w:space="0" w:color="auto"/>
            <w:bottom w:val="none" w:sz="0" w:space="0" w:color="auto"/>
            <w:right w:val="none" w:sz="0" w:space="0" w:color="auto"/>
          </w:divBdr>
        </w:div>
        <w:div w:id="370157677">
          <w:marLeft w:val="0"/>
          <w:marRight w:val="0"/>
          <w:marTop w:val="0"/>
          <w:marBottom w:val="0"/>
          <w:divBdr>
            <w:top w:val="none" w:sz="0" w:space="0" w:color="auto"/>
            <w:left w:val="none" w:sz="0" w:space="0" w:color="auto"/>
            <w:bottom w:val="none" w:sz="0" w:space="0" w:color="auto"/>
            <w:right w:val="none" w:sz="0" w:space="0" w:color="auto"/>
          </w:divBdr>
        </w:div>
        <w:div w:id="1518692540">
          <w:marLeft w:val="0"/>
          <w:marRight w:val="0"/>
          <w:marTop w:val="0"/>
          <w:marBottom w:val="0"/>
          <w:divBdr>
            <w:top w:val="none" w:sz="0" w:space="0" w:color="auto"/>
            <w:left w:val="none" w:sz="0" w:space="0" w:color="auto"/>
            <w:bottom w:val="none" w:sz="0" w:space="0" w:color="auto"/>
            <w:right w:val="none" w:sz="0" w:space="0" w:color="auto"/>
          </w:divBdr>
        </w:div>
        <w:div w:id="1778216544">
          <w:marLeft w:val="0"/>
          <w:marRight w:val="0"/>
          <w:marTop w:val="0"/>
          <w:marBottom w:val="0"/>
          <w:divBdr>
            <w:top w:val="none" w:sz="0" w:space="0" w:color="auto"/>
            <w:left w:val="none" w:sz="0" w:space="0" w:color="auto"/>
            <w:bottom w:val="none" w:sz="0" w:space="0" w:color="auto"/>
            <w:right w:val="none" w:sz="0" w:space="0" w:color="auto"/>
          </w:divBdr>
        </w:div>
        <w:div w:id="1837650500">
          <w:marLeft w:val="0"/>
          <w:marRight w:val="0"/>
          <w:marTop w:val="0"/>
          <w:marBottom w:val="0"/>
          <w:divBdr>
            <w:top w:val="none" w:sz="0" w:space="0" w:color="auto"/>
            <w:left w:val="none" w:sz="0" w:space="0" w:color="auto"/>
            <w:bottom w:val="none" w:sz="0" w:space="0" w:color="auto"/>
            <w:right w:val="none" w:sz="0" w:space="0" w:color="auto"/>
          </w:divBdr>
        </w:div>
      </w:divsChild>
    </w:div>
    <w:div w:id="735786839">
      <w:bodyDiv w:val="1"/>
      <w:marLeft w:val="0"/>
      <w:marRight w:val="0"/>
      <w:marTop w:val="0"/>
      <w:marBottom w:val="0"/>
      <w:divBdr>
        <w:top w:val="none" w:sz="0" w:space="0" w:color="auto"/>
        <w:left w:val="none" w:sz="0" w:space="0" w:color="auto"/>
        <w:bottom w:val="none" w:sz="0" w:space="0" w:color="auto"/>
        <w:right w:val="none" w:sz="0" w:space="0" w:color="auto"/>
      </w:divBdr>
    </w:div>
    <w:div w:id="736245843">
      <w:bodyDiv w:val="1"/>
      <w:marLeft w:val="0"/>
      <w:marRight w:val="0"/>
      <w:marTop w:val="0"/>
      <w:marBottom w:val="0"/>
      <w:divBdr>
        <w:top w:val="none" w:sz="0" w:space="0" w:color="auto"/>
        <w:left w:val="none" w:sz="0" w:space="0" w:color="auto"/>
        <w:bottom w:val="none" w:sz="0" w:space="0" w:color="auto"/>
        <w:right w:val="none" w:sz="0" w:space="0" w:color="auto"/>
      </w:divBdr>
      <w:divsChild>
        <w:div w:id="12002530">
          <w:marLeft w:val="994"/>
          <w:marRight w:val="0"/>
          <w:marTop w:val="0"/>
          <w:marBottom w:val="0"/>
          <w:divBdr>
            <w:top w:val="none" w:sz="0" w:space="0" w:color="auto"/>
            <w:left w:val="none" w:sz="0" w:space="0" w:color="auto"/>
            <w:bottom w:val="none" w:sz="0" w:space="0" w:color="auto"/>
            <w:right w:val="none" w:sz="0" w:space="0" w:color="auto"/>
          </w:divBdr>
        </w:div>
        <w:div w:id="39786032">
          <w:marLeft w:val="994"/>
          <w:marRight w:val="0"/>
          <w:marTop w:val="0"/>
          <w:marBottom w:val="0"/>
          <w:divBdr>
            <w:top w:val="none" w:sz="0" w:space="0" w:color="auto"/>
            <w:left w:val="none" w:sz="0" w:space="0" w:color="auto"/>
            <w:bottom w:val="none" w:sz="0" w:space="0" w:color="auto"/>
            <w:right w:val="none" w:sz="0" w:space="0" w:color="auto"/>
          </w:divBdr>
        </w:div>
        <w:div w:id="507527560">
          <w:marLeft w:val="274"/>
          <w:marRight w:val="0"/>
          <w:marTop w:val="0"/>
          <w:marBottom w:val="0"/>
          <w:divBdr>
            <w:top w:val="none" w:sz="0" w:space="0" w:color="auto"/>
            <w:left w:val="none" w:sz="0" w:space="0" w:color="auto"/>
            <w:bottom w:val="none" w:sz="0" w:space="0" w:color="auto"/>
            <w:right w:val="none" w:sz="0" w:space="0" w:color="auto"/>
          </w:divBdr>
        </w:div>
        <w:div w:id="515729194">
          <w:marLeft w:val="274"/>
          <w:marRight w:val="0"/>
          <w:marTop w:val="0"/>
          <w:marBottom w:val="0"/>
          <w:divBdr>
            <w:top w:val="none" w:sz="0" w:space="0" w:color="auto"/>
            <w:left w:val="none" w:sz="0" w:space="0" w:color="auto"/>
            <w:bottom w:val="none" w:sz="0" w:space="0" w:color="auto"/>
            <w:right w:val="none" w:sz="0" w:space="0" w:color="auto"/>
          </w:divBdr>
        </w:div>
        <w:div w:id="682174401">
          <w:marLeft w:val="274"/>
          <w:marRight w:val="0"/>
          <w:marTop w:val="0"/>
          <w:marBottom w:val="0"/>
          <w:divBdr>
            <w:top w:val="none" w:sz="0" w:space="0" w:color="auto"/>
            <w:left w:val="none" w:sz="0" w:space="0" w:color="auto"/>
            <w:bottom w:val="none" w:sz="0" w:space="0" w:color="auto"/>
            <w:right w:val="none" w:sz="0" w:space="0" w:color="auto"/>
          </w:divBdr>
        </w:div>
        <w:div w:id="1598176184">
          <w:marLeft w:val="274"/>
          <w:marRight w:val="0"/>
          <w:marTop w:val="0"/>
          <w:marBottom w:val="0"/>
          <w:divBdr>
            <w:top w:val="none" w:sz="0" w:space="0" w:color="auto"/>
            <w:left w:val="none" w:sz="0" w:space="0" w:color="auto"/>
            <w:bottom w:val="none" w:sz="0" w:space="0" w:color="auto"/>
            <w:right w:val="none" w:sz="0" w:space="0" w:color="auto"/>
          </w:divBdr>
        </w:div>
      </w:divsChild>
    </w:div>
    <w:div w:id="743340304">
      <w:bodyDiv w:val="1"/>
      <w:marLeft w:val="0"/>
      <w:marRight w:val="0"/>
      <w:marTop w:val="0"/>
      <w:marBottom w:val="0"/>
      <w:divBdr>
        <w:top w:val="none" w:sz="0" w:space="0" w:color="auto"/>
        <w:left w:val="none" w:sz="0" w:space="0" w:color="auto"/>
        <w:bottom w:val="none" w:sz="0" w:space="0" w:color="auto"/>
        <w:right w:val="none" w:sz="0" w:space="0" w:color="auto"/>
      </w:divBdr>
      <w:divsChild>
        <w:div w:id="156651793">
          <w:marLeft w:val="994"/>
          <w:marRight w:val="0"/>
          <w:marTop w:val="0"/>
          <w:marBottom w:val="0"/>
          <w:divBdr>
            <w:top w:val="none" w:sz="0" w:space="0" w:color="auto"/>
            <w:left w:val="none" w:sz="0" w:space="0" w:color="auto"/>
            <w:bottom w:val="none" w:sz="0" w:space="0" w:color="auto"/>
            <w:right w:val="none" w:sz="0" w:space="0" w:color="auto"/>
          </w:divBdr>
        </w:div>
        <w:div w:id="764307709">
          <w:marLeft w:val="274"/>
          <w:marRight w:val="0"/>
          <w:marTop w:val="0"/>
          <w:marBottom w:val="0"/>
          <w:divBdr>
            <w:top w:val="none" w:sz="0" w:space="0" w:color="auto"/>
            <w:left w:val="none" w:sz="0" w:space="0" w:color="auto"/>
            <w:bottom w:val="none" w:sz="0" w:space="0" w:color="auto"/>
            <w:right w:val="none" w:sz="0" w:space="0" w:color="auto"/>
          </w:divBdr>
        </w:div>
        <w:div w:id="1094402984">
          <w:marLeft w:val="994"/>
          <w:marRight w:val="0"/>
          <w:marTop w:val="0"/>
          <w:marBottom w:val="0"/>
          <w:divBdr>
            <w:top w:val="none" w:sz="0" w:space="0" w:color="auto"/>
            <w:left w:val="none" w:sz="0" w:space="0" w:color="auto"/>
            <w:bottom w:val="none" w:sz="0" w:space="0" w:color="auto"/>
            <w:right w:val="none" w:sz="0" w:space="0" w:color="auto"/>
          </w:divBdr>
        </w:div>
        <w:div w:id="1360358208">
          <w:marLeft w:val="274"/>
          <w:marRight w:val="0"/>
          <w:marTop w:val="0"/>
          <w:marBottom w:val="0"/>
          <w:divBdr>
            <w:top w:val="none" w:sz="0" w:space="0" w:color="auto"/>
            <w:left w:val="none" w:sz="0" w:space="0" w:color="auto"/>
            <w:bottom w:val="none" w:sz="0" w:space="0" w:color="auto"/>
            <w:right w:val="none" w:sz="0" w:space="0" w:color="auto"/>
          </w:divBdr>
        </w:div>
      </w:divsChild>
    </w:div>
    <w:div w:id="751512421">
      <w:bodyDiv w:val="1"/>
      <w:marLeft w:val="0"/>
      <w:marRight w:val="0"/>
      <w:marTop w:val="0"/>
      <w:marBottom w:val="0"/>
      <w:divBdr>
        <w:top w:val="none" w:sz="0" w:space="0" w:color="auto"/>
        <w:left w:val="none" w:sz="0" w:space="0" w:color="auto"/>
        <w:bottom w:val="none" w:sz="0" w:space="0" w:color="auto"/>
        <w:right w:val="none" w:sz="0" w:space="0" w:color="auto"/>
      </w:divBdr>
    </w:div>
    <w:div w:id="755512958">
      <w:bodyDiv w:val="1"/>
      <w:marLeft w:val="0"/>
      <w:marRight w:val="0"/>
      <w:marTop w:val="0"/>
      <w:marBottom w:val="0"/>
      <w:divBdr>
        <w:top w:val="none" w:sz="0" w:space="0" w:color="auto"/>
        <w:left w:val="none" w:sz="0" w:space="0" w:color="auto"/>
        <w:bottom w:val="none" w:sz="0" w:space="0" w:color="auto"/>
        <w:right w:val="none" w:sz="0" w:space="0" w:color="auto"/>
      </w:divBdr>
    </w:div>
    <w:div w:id="779642050">
      <w:bodyDiv w:val="1"/>
      <w:marLeft w:val="0"/>
      <w:marRight w:val="0"/>
      <w:marTop w:val="0"/>
      <w:marBottom w:val="0"/>
      <w:divBdr>
        <w:top w:val="none" w:sz="0" w:space="0" w:color="auto"/>
        <w:left w:val="none" w:sz="0" w:space="0" w:color="auto"/>
        <w:bottom w:val="none" w:sz="0" w:space="0" w:color="auto"/>
        <w:right w:val="none" w:sz="0" w:space="0" w:color="auto"/>
      </w:divBdr>
      <w:divsChild>
        <w:div w:id="564874694">
          <w:marLeft w:val="2250"/>
          <w:marRight w:val="0"/>
          <w:marTop w:val="375"/>
          <w:marBottom w:val="375"/>
          <w:divBdr>
            <w:top w:val="none" w:sz="0" w:space="0" w:color="auto"/>
            <w:left w:val="none" w:sz="0" w:space="0" w:color="auto"/>
            <w:bottom w:val="none" w:sz="0" w:space="0" w:color="auto"/>
            <w:right w:val="none" w:sz="0" w:space="0" w:color="auto"/>
          </w:divBdr>
        </w:div>
        <w:div w:id="984776489">
          <w:marLeft w:val="2250"/>
          <w:marRight w:val="0"/>
          <w:marTop w:val="375"/>
          <w:marBottom w:val="375"/>
          <w:divBdr>
            <w:top w:val="none" w:sz="0" w:space="0" w:color="auto"/>
            <w:left w:val="none" w:sz="0" w:space="0" w:color="auto"/>
            <w:bottom w:val="none" w:sz="0" w:space="0" w:color="auto"/>
            <w:right w:val="none" w:sz="0" w:space="0" w:color="auto"/>
          </w:divBdr>
        </w:div>
        <w:div w:id="1844272231">
          <w:marLeft w:val="2250"/>
          <w:marRight w:val="0"/>
          <w:marTop w:val="375"/>
          <w:marBottom w:val="375"/>
          <w:divBdr>
            <w:top w:val="none" w:sz="0" w:space="0" w:color="auto"/>
            <w:left w:val="none" w:sz="0" w:space="0" w:color="auto"/>
            <w:bottom w:val="none" w:sz="0" w:space="0" w:color="auto"/>
            <w:right w:val="none" w:sz="0" w:space="0" w:color="auto"/>
          </w:divBdr>
        </w:div>
      </w:divsChild>
    </w:div>
    <w:div w:id="791634877">
      <w:bodyDiv w:val="1"/>
      <w:marLeft w:val="0"/>
      <w:marRight w:val="0"/>
      <w:marTop w:val="0"/>
      <w:marBottom w:val="0"/>
      <w:divBdr>
        <w:top w:val="none" w:sz="0" w:space="0" w:color="auto"/>
        <w:left w:val="none" w:sz="0" w:space="0" w:color="auto"/>
        <w:bottom w:val="none" w:sz="0" w:space="0" w:color="auto"/>
        <w:right w:val="none" w:sz="0" w:space="0" w:color="auto"/>
      </w:divBdr>
    </w:div>
    <w:div w:id="800000545">
      <w:bodyDiv w:val="1"/>
      <w:marLeft w:val="0"/>
      <w:marRight w:val="0"/>
      <w:marTop w:val="0"/>
      <w:marBottom w:val="0"/>
      <w:divBdr>
        <w:top w:val="none" w:sz="0" w:space="0" w:color="auto"/>
        <w:left w:val="none" w:sz="0" w:space="0" w:color="auto"/>
        <w:bottom w:val="none" w:sz="0" w:space="0" w:color="auto"/>
        <w:right w:val="none" w:sz="0" w:space="0" w:color="auto"/>
      </w:divBdr>
      <w:divsChild>
        <w:div w:id="90012243">
          <w:marLeft w:val="0"/>
          <w:marRight w:val="0"/>
          <w:marTop w:val="0"/>
          <w:marBottom w:val="0"/>
          <w:divBdr>
            <w:top w:val="none" w:sz="0" w:space="0" w:color="auto"/>
            <w:left w:val="none" w:sz="0" w:space="0" w:color="auto"/>
            <w:bottom w:val="none" w:sz="0" w:space="0" w:color="auto"/>
            <w:right w:val="none" w:sz="0" w:space="0" w:color="auto"/>
          </w:divBdr>
        </w:div>
        <w:div w:id="1317222852">
          <w:marLeft w:val="0"/>
          <w:marRight w:val="0"/>
          <w:marTop w:val="0"/>
          <w:marBottom w:val="0"/>
          <w:divBdr>
            <w:top w:val="none" w:sz="0" w:space="0" w:color="auto"/>
            <w:left w:val="none" w:sz="0" w:space="0" w:color="auto"/>
            <w:bottom w:val="none" w:sz="0" w:space="0" w:color="auto"/>
            <w:right w:val="none" w:sz="0" w:space="0" w:color="auto"/>
          </w:divBdr>
        </w:div>
        <w:div w:id="1962223357">
          <w:marLeft w:val="0"/>
          <w:marRight w:val="0"/>
          <w:marTop w:val="0"/>
          <w:marBottom w:val="0"/>
          <w:divBdr>
            <w:top w:val="none" w:sz="0" w:space="0" w:color="auto"/>
            <w:left w:val="none" w:sz="0" w:space="0" w:color="auto"/>
            <w:bottom w:val="none" w:sz="0" w:space="0" w:color="auto"/>
            <w:right w:val="none" w:sz="0" w:space="0" w:color="auto"/>
          </w:divBdr>
        </w:div>
      </w:divsChild>
    </w:div>
    <w:div w:id="800461550">
      <w:bodyDiv w:val="1"/>
      <w:marLeft w:val="0"/>
      <w:marRight w:val="0"/>
      <w:marTop w:val="0"/>
      <w:marBottom w:val="0"/>
      <w:divBdr>
        <w:top w:val="none" w:sz="0" w:space="0" w:color="auto"/>
        <w:left w:val="none" w:sz="0" w:space="0" w:color="auto"/>
        <w:bottom w:val="none" w:sz="0" w:space="0" w:color="auto"/>
        <w:right w:val="none" w:sz="0" w:space="0" w:color="auto"/>
      </w:divBdr>
      <w:divsChild>
        <w:div w:id="36778576">
          <w:marLeft w:val="0"/>
          <w:marRight w:val="0"/>
          <w:marTop w:val="0"/>
          <w:marBottom w:val="0"/>
          <w:divBdr>
            <w:top w:val="none" w:sz="0" w:space="0" w:color="auto"/>
            <w:left w:val="none" w:sz="0" w:space="0" w:color="auto"/>
            <w:bottom w:val="none" w:sz="0" w:space="0" w:color="auto"/>
            <w:right w:val="none" w:sz="0" w:space="0" w:color="auto"/>
          </w:divBdr>
        </w:div>
        <w:div w:id="162403286">
          <w:marLeft w:val="0"/>
          <w:marRight w:val="0"/>
          <w:marTop w:val="0"/>
          <w:marBottom w:val="0"/>
          <w:divBdr>
            <w:top w:val="none" w:sz="0" w:space="0" w:color="auto"/>
            <w:left w:val="none" w:sz="0" w:space="0" w:color="auto"/>
            <w:bottom w:val="none" w:sz="0" w:space="0" w:color="auto"/>
            <w:right w:val="none" w:sz="0" w:space="0" w:color="auto"/>
          </w:divBdr>
        </w:div>
        <w:div w:id="229048910">
          <w:marLeft w:val="0"/>
          <w:marRight w:val="0"/>
          <w:marTop w:val="0"/>
          <w:marBottom w:val="0"/>
          <w:divBdr>
            <w:top w:val="none" w:sz="0" w:space="0" w:color="auto"/>
            <w:left w:val="none" w:sz="0" w:space="0" w:color="auto"/>
            <w:bottom w:val="none" w:sz="0" w:space="0" w:color="auto"/>
            <w:right w:val="none" w:sz="0" w:space="0" w:color="auto"/>
          </w:divBdr>
        </w:div>
        <w:div w:id="230432496">
          <w:marLeft w:val="0"/>
          <w:marRight w:val="0"/>
          <w:marTop w:val="0"/>
          <w:marBottom w:val="0"/>
          <w:divBdr>
            <w:top w:val="none" w:sz="0" w:space="0" w:color="auto"/>
            <w:left w:val="none" w:sz="0" w:space="0" w:color="auto"/>
            <w:bottom w:val="none" w:sz="0" w:space="0" w:color="auto"/>
            <w:right w:val="none" w:sz="0" w:space="0" w:color="auto"/>
          </w:divBdr>
        </w:div>
        <w:div w:id="231085659">
          <w:marLeft w:val="0"/>
          <w:marRight w:val="0"/>
          <w:marTop w:val="0"/>
          <w:marBottom w:val="0"/>
          <w:divBdr>
            <w:top w:val="none" w:sz="0" w:space="0" w:color="auto"/>
            <w:left w:val="none" w:sz="0" w:space="0" w:color="auto"/>
            <w:bottom w:val="none" w:sz="0" w:space="0" w:color="auto"/>
            <w:right w:val="none" w:sz="0" w:space="0" w:color="auto"/>
          </w:divBdr>
        </w:div>
        <w:div w:id="310523733">
          <w:marLeft w:val="0"/>
          <w:marRight w:val="0"/>
          <w:marTop w:val="0"/>
          <w:marBottom w:val="0"/>
          <w:divBdr>
            <w:top w:val="none" w:sz="0" w:space="0" w:color="auto"/>
            <w:left w:val="none" w:sz="0" w:space="0" w:color="auto"/>
            <w:bottom w:val="none" w:sz="0" w:space="0" w:color="auto"/>
            <w:right w:val="none" w:sz="0" w:space="0" w:color="auto"/>
          </w:divBdr>
        </w:div>
        <w:div w:id="656147451">
          <w:marLeft w:val="0"/>
          <w:marRight w:val="0"/>
          <w:marTop w:val="0"/>
          <w:marBottom w:val="0"/>
          <w:divBdr>
            <w:top w:val="none" w:sz="0" w:space="0" w:color="auto"/>
            <w:left w:val="none" w:sz="0" w:space="0" w:color="auto"/>
            <w:bottom w:val="none" w:sz="0" w:space="0" w:color="auto"/>
            <w:right w:val="none" w:sz="0" w:space="0" w:color="auto"/>
          </w:divBdr>
        </w:div>
        <w:div w:id="856381485">
          <w:marLeft w:val="0"/>
          <w:marRight w:val="0"/>
          <w:marTop w:val="0"/>
          <w:marBottom w:val="0"/>
          <w:divBdr>
            <w:top w:val="none" w:sz="0" w:space="0" w:color="auto"/>
            <w:left w:val="none" w:sz="0" w:space="0" w:color="auto"/>
            <w:bottom w:val="none" w:sz="0" w:space="0" w:color="auto"/>
            <w:right w:val="none" w:sz="0" w:space="0" w:color="auto"/>
          </w:divBdr>
        </w:div>
        <w:div w:id="868908625">
          <w:marLeft w:val="0"/>
          <w:marRight w:val="0"/>
          <w:marTop w:val="0"/>
          <w:marBottom w:val="0"/>
          <w:divBdr>
            <w:top w:val="none" w:sz="0" w:space="0" w:color="auto"/>
            <w:left w:val="none" w:sz="0" w:space="0" w:color="auto"/>
            <w:bottom w:val="none" w:sz="0" w:space="0" w:color="auto"/>
            <w:right w:val="none" w:sz="0" w:space="0" w:color="auto"/>
          </w:divBdr>
        </w:div>
        <w:div w:id="924221365">
          <w:marLeft w:val="0"/>
          <w:marRight w:val="0"/>
          <w:marTop w:val="0"/>
          <w:marBottom w:val="0"/>
          <w:divBdr>
            <w:top w:val="none" w:sz="0" w:space="0" w:color="auto"/>
            <w:left w:val="none" w:sz="0" w:space="0" w:color="auto"/>
            <w:bottom w:val="none" w:sz="0" w:space="0" w:color="auto"/>
            <w:right w:val="none" w:sz="0" w:space="0" w:color="auto"/>
          </w:divBdr>
        </w:div>
        <w:div w:id="1005476262">
          <w:marLeft w:val="0"/>
          <w:marRight w:val="0"/>
          <w:marTop w:val="0"/>
          <w:marBottom w:val="0"/>
          <w:divBdr>
            <w:top w:val="none" w:sz="0" w:space="0" w:color="auto"/>
            <w:left w:val="none" w:sz="0" w:space="0" w:color="auto"/>
            <w:bottom w:val="none" w:sz="0" w:space="0" w:color="auto"/>
            <w:right w:val="none" w:sz="0" w:space="0" w:color="auto"/>
          </w:divBdr>
        </w:div>
        <w:div w:id="1049375582">
          <w:marLeft w:val="0"/>
          <w:marRight w:val="0"/>
          <w:marTop w:val="0"/>
          <w:marBottom w:val="0"/>
          <w:divBdr>
            <w:top w:val="none" w:sz="0" w:space="0" w:color="auto"/>
            <w:left w:val="none" w:sz="0" w:space="0" w:color="auto"/>
            <w:bottom w:val="none" w:sz="0" w:space="0" w:color="auto"/>
            <w:right w:val="none" w:sz="0" w:space="0" w:color="auto"/>
          </w:divBdr>
        </w:div>
        <w:div w:id="1208033062">
          <w:marLeft w:val="0"/>
          <w:marRight w:val="0"/>
          <w:marTop w:val="0"/>
          <w:marBottom w:val="0"/>
          <w:divBdr>
            <w:top w:val="none" w:sz="0" w:space="0" w:color="auto"/>
            <w:left w:val="none" w:sz="0" w:space="0" w:color="auto"/>
            <w:bottom w:val="none" w:sz="0" w:space="0" w:color="auto"/>
            <w:right w:val="none" w:sz="0" w:space="0" w:color="auto"/>
          </w:divBdr>
        </w:div>
        <w:div w:id="1251430244">
          <w:marLeft w:val="0"/>
          <w:marRight w:val="0"/>
          <w:marTop w:val="0"/>
          <w:marBottom w:val="0"/>
          <w:divBdr>
            <w:top w:val="none" w:sz="0" w:space="0" w:color="auto"/>
            <w:left w:val="none" w:sz="0" w:space="0" w:color="auto"/>
            <w:bottom w:val="none" w:sz="0" w:space="0" w:color="auto"/>
            <w:right w:val="none" w:sz="0" w:space="0" w:color="auto"/>
          </w:divBdr>
        </w:div>
        <w:div w:id="1262252534">
          <w:marLeft w:val="0"/>
          <w:marRight w:val="0"/>
          <w:marTop w:val="0"/>
          <w:marBottom w:val="0"/>
          <w:divBdr>
            <w:top w:val="none" w:sz="0" w:space="0" w:color="auto"/>
            <w:left w:val="none" w:sz="0" w:space="0" w:color="auto"/>
            <w:bottom w:val="none" w:sz="0" w:space="0" w:color="auto"/>
            <w:right w:val="none" w:sz="0" w:space="0" w:color="auto"/>
          </w:divBdr>
        </w:div>
        <w:div w:id="1271165868">
          <w:marLeft w:val="0"/>
          <w:marRight w:val="0"/>
          <w:marTop w:val="0"/>
          <w:marBottom w:val="0"/>
          <w:divBdr>
            <w:top w:val="none" w:sz="0" w:space="0" w:color="auto"/>
            <w:left w:val="none" w:sz="0" w:space="0" w:color="auto"/>
            <w:bottom w:val="none" w:sz="0" w:space="0" w:color="auto"/>
            <w:right w:val="none" w:sz="0" w:space="0" w:color="auto"/>
          </w:divBdr>
        </w:div>
        <w:div w:id="1322466185">
          <w:marLeft w:val="0"/>
          <w:marRight w:val="0"/>
          <w:marTop w:val="0"/>
          <w:marBottom w:val="0"/>
          <w:divBdr>
            <w:top w:val="none" w:sz="0" w:space="0" w:color="auto"/>
            <w:left w:val="none" w:sz="0" w:space="0" w:color="auto"/>
            <w:bottom w:val="none" w:sz="0" w:space="0" w:color="auto"/>
            <w:right w:val="none" w:sz="0" w:space="0" w:color="auto"/>
          </w:divBdr>
        </w:div>
        <w:div w:id="1343701133">
          <w:marLeft w:val="0"/>
          <w:marRight w:val="0"/>
          <w:marTop w:val="0"/>
          <w:marBottom w:val="0"/>
          <w:divBdr>
            <w:top w:val="none" w:sz="0" w:space="0" w:color="auto"/>
            <w:left w:val="none" w:sz="0" w:space="0" w:color="auto"/>
            <w:bottom w:val="none" w:sz="0" w:space="0" w:color="auto"/>
            <w:right w:val="none" w:sz="0" w:space="0" w:color="auto"/>
          </w:divBdr>
        </w:div>
        <w:div w:id="1639215700">
          <w:marLeft w:val="0"/>
          <w:marRight w:val="0"/>
          <w:marTop w:val="0"/>
          <w:marBottom w:val="0"/>
          <w:divBdr>
            <w:top w:val="none" w:sz="0" w:space="0" w:color="auto"/>
            <w:left w:val="none" w:sz="0" w:space="0" w:color="auto"/>
            <w:bottom w:val="none" w:sz="0" w:space="0" w:color="auto"/>
            <w:right w:val="none" w:sz="0" w:space="0" w:color="auto"/>
          </w:divBdr>
        </w:div>
        <w:div w:id="1735155573">
          <w:marLeft w:val="0"/>
          <w:marRight w:val="0"/>
          <w:marTop w:val="0"/>
          <w:marBottom w:val="0"/>
          <w:divBdr>
            <w:top w:val="none" w:sz="0" w:space="0" w:color="auto"/>
            <w:left w:val="none" w:sz="0" w:space="0" w:color="auto"/>
            <w:bottom w:val="none" w:sz="0" w:space="0" w:color="auto"/>
            <w:right w:val="none" w:sz="0" w:space="0" w:color="auto"/>
          </w:divBdr>
        </w:div>
        <w:div w:id="2042509180">
          <w:marLeft w:val="0"/>
          <w:marRight w:val="0"/>
          <w:marTop w:val="0"/>
          <w:marBottom w:val="0"/>
          <w:divBdr>
            <w:top w:val="none" w:sz="0" w:space="0" w:color="auto"/>
            <w:left w:val="none" w:sz="0" w:space="0" w:color="auto"/>
            <w:bottom w:val="none" w:sz="0" w:space="0" w:color="auto"/>
            <w:right w:val="none" w:sz="0" w:space="0" w:color="auto"/>
          </w:divBdr>
        </w:div>
      </w:divsChild>
    </w:div>
    <w:div w:id="803278845">
      <w:bodyDiv w:val="1"/>
      <w:marLeft w:val="0"/>
      <w:marRight w:val="0"/>
      <w:marTop w:val="0"/>
      <w:marBottom w:val="0"/>
      <w:divBdr>
        <w:top w:val="none" w:sz="0" w:space="0" w:color="auto"/>
        <w:left w:val="none" w:sz="0" w:space="0" w:color="auto"/>
        <w:bottom w:val="none" w:sz="0" w:space="0" w:color="auto"/>
        <w:right w:val="none" w:sz="0" w:space="0" w:color="auto"/>
      </w:divBdr>
    </w:div>
    <w:div w:id="830364721">
      <w:bodyDiv w:val="1"/>
      <w:marLeft w:val="0"/>
      <w:marRight w:val="0"/>
      <w:marTop w:val="0"/>
      <w:marBottom w:val="0"/>
      <w:divBdr>
        <w:top w:val="none" w:sz="0" w:space="0" w:color="auto"/>
        <w:left w:val="none" w:sz="0" w:space="0" w:color="auto"/>
        <w:bottom w:val="none" w:sz="0" w:space="0" w:color="auto"/>
        <w:right w:val="none" w:sz="0" w:space="0" w:color="auto"/>
      </w:divBdr>
      <w:divsChild>
        <w:div w:id="195048092">
          <w:marLeft w:val="0"/>
          <w:marRight w:val="0"/>
          <w:marTop w:val="375"/>
          <w:marBottom w:val="0"/>
          <w:divBdr>
            <w:top w:val="none" w:sz="0" w:space="0" w:color="auto"/>
            <w:left w:val="none" w:sz="0" w:space="0" w:color="auto"/>
            <w:bottom w:val="none" w:sz="0" w:space="0" w:color="auto"/>
            <w:right w:val="none" w:sz="0" w:space="0" w:color="auto"/>
          </w:divBdr>
        </w:div>
      </w:divsChild>
    </w:div>
    <w:div w:id="845902849">
      <w:bodyDiv w:val="1"/>
      <w:marLeft w:val="0"/>
      <w:marRight w:val="0"/>
      <w:marTop w:val="0"/>
      <w:marBottom w:val="0"/>
      <w:divBdr>
        <w:top w:val="none" w:sz="0" w:space="0" w:color="auto"/>
        <w:left w:val="none" w:sz="0" w:space="0" w:color="auto"/>
        <w:bottom w:val="none" w:sz="0" w:space="0" w:color="auto"/>
        <w:right w:val="none" w:sz="0" w:space="0" w:color="auto"/>
      </w:divBdr>
      <w:divsChild>
        <w:div w:id="1338771325">
          <w:marLeft w:val="0"/>
          <w:marRight w:val="0"/>
          <w:marTop w:val="0"/>
          <w:marBottom w:val="0"/>
          <w:divBdr>
            <w:top w:val="none" w:sz="0" w:space="0" w:color="auto"/>
            <w:left w:val="none" w:sz="0" w:space="0" w:color="auto"/>
            <w:bottom w:val="none" w:sz="0" w:space="0" w:color="auto"/>
            <w:right w:val="none" w:sz="0" w:space="0" w:color="auto"/>
          </w:divBdr>
        </w:div>
        <w:div w:id="1523081531">
          <w:marLeft w:val="0"/>
          <w:marRight w:val="0"/>
          <w:marTop w:val="0"/>
          <w:marBottom w:val="0"/>
          <w:divBdr>
            <w:top w:val="none" w:sz="0" w:space="0" w:color="auto"/>
            <w:left w:val="none" w:sz="0" w:space="0" w:color="auto"/>
            <w:bottom w:val="none" w:sz="0" w:space="0" w:color="auto"/>
            <w:right w:val="none" w:sz="0" w:space="0" w:color="auto"/>
          </w:divBdr>
        </w:div>
        <w:div w:id="2056389668">
          <w:marLeft w:val="0"/>
          <w:marRight w:val="0"/>
          <w:marTop w:val="0"/>
          <w:marBottom w:val="0"/>
          <w:divBdr>
            <w:top w:val="none" w:sz="0" w:space="0" w:color="auto"/>
            <w:left w:val="none" w:sz="0" w:space="0" w:color="auto"/>
            <w:bottom w:val="none" w:sz="0" w:space="0" w:color="auto"/>
            <w:right w:val="none" w:sz="0" w:space="0" w:color="auto"/>
          </w:divBdr>
        </w:div>
      </w:divsChild>
    </w:div>
    <w:div w:id="846362145">
      <w:bodyDiv w:val="1"/>
      <w:marLeft w:val="0"/>
      <w:marRight w:val="0"/>
      <w:marTop w:val="0"/>
      <w:marBottom w:val="0"/>
      <w:divBdr>
        <w:top w:val="none" w:sz="0" w:space="0" w:color="auto"/>
        <w:left w:val="none" w:sz="0" w:space="0" w:color="auto"/>
        <w:bottom w:val="none" w:sz="0" w:space="0" w:color="auto"/>
        <w:right w:val="none" w:sz="0" w:space="0" w:color="auto"/>
      </w:divBdr>
      <w:divsChild>
        <w:div w:id="1799644832">
          <w:marLeft w:val="0"/>
          <w:marRight w:val="0"/>
          <w:marTop w:val="0"/>
          <w:marBottom w:val="0"/>
          <w:divBdr>
            <w:top w:val="none" w:sz="0" w:space="0" w:color="auto"/>
            <w:left w:val="none" w:sz="0" w:space="0" w:color="auto"/>
            <w:bottom w:val="none" w:sz="0" w:space="0" w:color="auto"/>
            <w:right w:val="none" w:sz="0" w:space="0" w:color="auto"/>
          </w:divBdr>
        </w:div>
      </w:divsChild>
    </w:div>
    <w:div w:id="846748569">
      <w:bodyDiv w:val="1"/>
      <w:marLeft w:val="0"/>
      <w:marRight w:val="0"/>
      <w:marTop w:val="0"/>
      <w:marBottom w:val="0"/>
      <w:divBdr>
        <w:top w:val="none" w:sz="0" w:space="0" w:color="auto"/>
        <w:left w:val="none" w:sz="0" w:space="0" w:color="auto"/>
        <w:bottom w:val="none" w:sz="0" w:space="0" w:color="auto"/>
        <w:right w:val="none" w:sz="0" w:space="0" w:color="auto"/>
      </w:divBdr>
    </w:div>
    <w:div w:id="849563138">
      <w:bodyDiv w:val="1"/>
      <w:marLeft w:val="0"/>
      <w:marRight w:val="0"/>
      <w:marTop w:val="0"/>
      <w:marBottom w:val="0"/>
      <w:divBdr>
        <w:top w:val="none" w:sz="0" w:space="0" w:color="auto"/>
        <w:left w:val="none" w:sz="0" w:space="0" w:color="auto"/>
        <w:bottom w:val="none" w:sz="0" w:space="0" w:color="auto"/>
        <w:right w:val="none" w:sz="0" w:space="0" w:color="auto"/>
      </w:divBdr>
      <w:divsChild>
        <w:div w:id="386294916">
          <w:marLeft w:val="0"/>
          <w:marRight w:val="0"/>
          <w:marTop w:val="0"/>
          <w:marBottom w:val="0"/>
          <w:divBdr>
            <w:top w:val="none" w:sz="0" w:space="0" w:color="auto"/>
            <w:left w:val="none" w:sz="0" w:space="0" w:color="auto"/>
            <w:bottom w:val="none" w:sz="0" w:space="0" w:color="auto"/>
            <w:right w:val="none" w:sz="0" w:space="0" w:color="auto"/>
          </w:divBdr>
          <w:divsChild>
            <w:div w:id="1012299458">
              <w:marLeft w:val="0"/>
              <w:marRight w:val="0"/>
              <w:marTop w:val="0"/>
              <w:marBottom w:val="0"/>
              <w:divBdr>
                <w:top w:val="none" w:sz="0" w:space="0" w:color="auto"/>
                <w:left w:val="none" w:sz="0" w:space="0" w:color="auto"/>
                <w:bottom w:val="none" w:sz="0" w:space="0" w:color="auto"/>
                <w:right w:val="none" w:sz="0" w:space="0" w:color="auto"/>
              </w:divBdr>
              <w:divsChild>
                <w:div w:id="1284187987">
                  <w:marLeft w:val="0"/>
                  <w:marRight w:val="0"/>
                  <w:marTop w:val="0"/>
                  <w:marBottom w:val="0"/>
                  <w:divBdr>
                    <w:top w:val="none" w:sz="0" w:space="0" w:color="auto"/>
                    <w:left w:val="none" w:sz="0" w:space="0" w:color="auto"/>
                    <w:bottom w:val="none" w:sz="0" w:space="0" w:color="auto"/>
                    <w:right w:val="none" w:sz="0" w:space="0" w:color="auto"/>
                  </w:divBdr>
                  <w:divsChild>
                    <w:div w:id="31733065">
                      <w:marLeft w:val="0"/>
                      <w:marRight w:val="0"/>
                      <w:marTop w:val="0"/>
                      <w:marBottom w:val="0"/>
                      <w:divBdr>
                        <w:top w:val="none" w:sz="0" w:space="0" w:color="auto"/>
                        <w:left w:val="none" w:sz="0" w:space="0" w:color="auto"/>
                        <w:bottom w:val="none" w:sz="0" w:space="0" w:color="auto"/>
                        <w:right w:val="none" w:sz="0" w:space="0" w:color="auto"/>
                      </w:divBdr>
                    </w:div>
                    <w:div w:id="489951434">
                      <w:marLeft w:val="0"/>
                      <w:marRight w:val="0"/>
                      <w:marTop w:val="0"/>
                      <w:marBottom w:val="0"/>
                      <w:divBdr>
                        <w:top w:val="none" w:sz="0" w:space="0" w:color="auto"/>
                        <w:left w:val="none" w:sz="0" w:space="0" w:color="auto"/>
                        <w:bottom w:val="none" w:sz="0" w:space="0" w:color="auto"/>
                        <w:right w:val="none" w:sz="0" w:space="0" w:color="auto"/>
                      </w:divBdr>
                    </w:div>
                    <w:div w:id="73354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49488">
          <w:marLeft w:val="0"/>
          <w:marRight w:val="0"/>
          <w:marTop w:val="0"/>
          <w:marBottom w:val="0"/>
          <w:divBdr>
            <w:top w:val="none" w:sz="0" w:space="0" w:color="auto"/>
            <w:left w:val="none" w:sz="0" w:space="0" w:color="auto"/>
            <w:bottom w:val="none" w:sz="0" w:space="0" w:color="auto"/>
            <w:right w:val="none" w:sz="0" w:space="0" w:color="auto"/>
          </w:divBdr>
          <w:divsChild>
            <w:div w:id="856388928">
              <w:marLeft w:val="0"/>
              <w:marRight w:val="0"/>
              <w:marTop w:val="0"/>
              <w:marBottom w:val="0"/>
              <w:divBdr>
                <w:top w:val="none" w:sz="0" w:space="0" w:color="auto"/>
                <w:left w:val="none" w:sz="0" w:space="0" w:color="auto"/>
                <w:bottom w:val="none" w:sz="0" w:space="0" w:color="auto"/>
                <w:right w:val="none" w:sz="0" w:space="0" w:color="auto"/>
              </w:divBdr>
            </w:div>
            <w:div w:id="1007441397">
              <w:marLeft w:val="0"/>
              <w:marRight w:val="0"/>
              <w:marTop w:val="0"/>
              <w:marBottom w:val="0"/>
              <w:divBdr>
                <w:top w:val="none" w:sz="0" w:space="0" w:color="auto"/>
                <w:left w:val="none" w:sz="0" w:space="0" w:color="auto"/>
                <w:bottom w:val="none" w:sz="0" w:space="0" w:color="auto"/>
                <w:right w:val="none" w:sz="0" w:space="0" w:color="auto"/>
              </w:divBdr>
            </w:div>
            <w:div w:id="120903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7978">
      <w:bodyDiv w:val="1"/>
      <w:marLeft w:val="0"/>
      <w:marRight w:val="0"/>
      <w:marTop w:val="0"/>
      <w:marBottom w:val="0"/>
      <w:divBdr>
        <w:top w:val="none" w:sz="0" w:space="0" w:color="auto"/>
        <w:left w:val="none" w:sz="0" w:space="0" w:color="auto"/>
        <w:bottom w:val="none" w:sz="0" w:space="0" w:color="auto"/>
        <w:right w:val="none" w:sz="0" w:space="0" w:color="auto"/>
      </w:divBdr>
    </w:div>
    <w:div w:id="877359085">
      <w:bodyDiv w:val="1"/>
      <w:marLeft w:val="0"/>
      <w:marRight w:val="0"/>
      <w:marTop w:val="0"/>
      <w:marBottom w:val="0"/>
      <w:divBdr>
        <w:top w:val="none" w:sz="0" w:space="0" w:color="auto"/>
        <w:left w:val="none" w:sz="0" w:space="0" w:color="auto"/>
        <w:bottom w:val="none" w:sz="0" w:space="0" w:color="auto"/>
        <w:right w:val="none" w:sz="0" w:space="0" w:color="auto"/>
      </w:divBdr>
    </w:div>
    <w:div w:id="881022034">
      <w:bodyDiv w:val="1"/>
      <w:marLeft w:val="0"/>
      <w:marRight w:val="0"/>
      <w:marTop w:val="0"/>
      <w:marBottom w:val="0"/>
      <w:divBdr>
        <w:top w:val="none" w:sz="0" w:space="0" w:color="auto"/>
        <w:left w:val="none" w:sz="0" w:space="0" w:color="auto"/>
        <w:bottom w:val="none" w:sz="0" w:space="0" w:color="auto"/>
        <w:right w:val="none" w:sz="0" w:space="0" w:color="auto"/>
      </w:divBdr>
    </w:div>
    <w:div w:id="901676064">
      <w:bodyDiv w:val="1"/>
      <w:marLeft w:val="0"/>
      <w:marRight w:val="0"/>
      <w:marTop w:val="0"/>
      <w:marBottom w:val="0"/>
      <w:divBdr>
        <w:top w:val="none" w:sz="0" w:space="0" w:color="auto"/>
        <w:left w:val="none" w:sz="0" w:space="0" w:color="auto"/>
        <w:bottom w:val="none" w:sz="0" w:space="0" w:color="auto"/>
        <w:right w:val="none" w:sz="0" w:space="0" w:color="auto"/>
      </w:divBdr>
    </w:div>
    <w:div w:id="901713996">
      <w:bodyDiv w:val="1"/>
      <w:marLeft w:val="0"/>
      <w:marRight w:val="0"/>
      <w:marTop w:val="0"/>
      <w:marBottom w:val="0"/>
      <w:divBdr>
        <w:top w:val="none" w:sz="0" w:space="0" w:color="auto"/>
        <w:left w:val="none" w:sz="0" w:space="0" w:color="auto"/>
        <w:bottom w:val="none" w:sz="0" w:space="0" w:color="auto"/>
        <w:right w:val="none" w:sz="0" w:space="0" w:color="auto"/>
      </w:divBdr>
      <w:divsChild>
        <w:div w:id="93324356">
          <w:marLeft w:val="0"/>
          <w:marRight w:val="0"/>
          <w:marTop w:val="0"/>
          <w:marBottom w:val="0"/>
          <w:divBdr>
            <w:top w:val="none" w:sz="0" w:space="0" w:color="auto"/>
            <w:left w:val="none" w:sz="0" w:space="0" w:color="auto"/>
            <w:bottom w:val="none" w:sz="0" w:space="0" w:color="auto"/>
            <w:right w:val="none" w:sz="0" w:space="0" w:color="auto"/>
          </w:divBdr>
        </w:div>
        <w:div w:id="477041559">
          <w:marLeft w:val="0"/>
          <w:marRight w:val="0"/>
          <w:marTop w:val="0"/>
          <w:marBottom w:val="0"/>
          <w:divBdr>
            <w:top w:val="none" w:sz="0" w:space="0" w:color="auto"/>
            <w:left w:val="none" w:sz="0" w:space="0" w:color="auto"/>
            <w:bottom w:val="none" w:sz="0" w:space="0" w:color="auto"/>
            <w:right w:val="none" w:sz="0" w:space="0" w:color="auto"/>
          </w:divBdr>
        </w:div>
      </w:divsChild>
    </w:div>
    <w:div w:id="903175152">
      <w:bodyDiv w:val="1"/>
      <w:marLeft w:val="0"/>
      <w:marRight w:val="0"/>
      <w:marTop w:val="0"/>
      <w:marBottom w:val="0"/>
      <w:divBdr>
        <w:top w:val="none" w:sz="0" w:space="0" w:color="auto"/>
        <w:left w:val="none" w:sz="0" w:space="0" w:color="auto"/>
        <w:bottom w:val="none" w:sz="0" w:space="0" w:color="auto"/>
        <w:right w:val="none" w:sz="0" w:space="0" w:color="auto"/>
      </w:divBdr>
      <w:divsChild>
        <w:div w:id="25253577">
          <w:marLeft w:val="274"/>
          <w:marRight w:val="0"/>
          <w:marTop w:val="0"/>
          <w:marBottom w:val="0"/>
          <w:divBdr>
            <w:top w:val="none" w:sz="0" w:space="0" w:color="auto"/>
            <w:left w:val="none" w:sz="0" w:space="0" w:color="auto"/>
            <w:bottom w:val="none" w:sz="0" w:space="0" w:color="auto"/>
            <w:right w:val="none" w:sz="0" w:space="0" w:color="auto"/>
          </w:divBdr>
        </w:div>
        <w:div w:id="93284578">
          <w:marLeft w:val="994"/>
          <w:marRight w:val="0"/>
          <w:marTop w:val="0"/>
          <w:marBottom w:val="0"/>
          <w:divBdr>
            <w:top w:val="none" w:sz="0" w:space="0" w:color="auto"/>
            <w:left w:val="none" w:sz="0" w:space="0" w:color="auto"/>
            <w:bottom w:val="none" w:sz="0" w:space="0" w:color="auto"/>
            <w:right w:val="none" w:sz="0" w:space="0" w:color="auto"/>
          </w:divBdr>
        </w:div>
        <w:div w:id="164787819">
          <w:marLeft w:val="1714"/>
          <w:marRight w:val="0"/>
          <w:marTop w:val="0"/>
          <w:marBottom w:val="0"/>
          <w:divBdr>
            <w:top w:val="none" w:sz="0" w:space="0" w:color="auto"/>
            <w:left w:val="none" w:sz="0" w:space="0" w:color="auto"/>
            <w:bottom w:val="none" w:sz="0" w:space="0" w:color="auto"/>
            <w:right w:val="none" w:sz="0" w:space="0" w:color="auto"/>
          </w:divBdr>
        </w:div>
        <w:div w:id="176384601">
          <w:marLeft w:val="1714"/>
          <w:marRight w:val="0"/>
          <w:marTop w:val="0"/>
          <w:marBottom w:val="0"/>
          <w:divBdr>
            <w:top w:val="none" w:sz="0" w:space="0" w:color="auto"/>
            <w:left w:val="none" w:sz="0" w:space="0" w:color="auto"/>
            <w:bottom w:val="none" w:sz="0" w:space="0" w:color="auto"/>
            <w:right w:val="none" w:sz="0" w:space="0" w:color="auto"/>
          </w:divBdr>
        </w:div>
        <w:div w:id="243078247">
          <w:marLeft w:val="1714"/>
          <w:marRight w:val="0"/>
          <w:marTop w:val="0"/>
          <w:marBottom w:val="0"/>
          <w:divBdr>
            <w:top w:val="none" w:sz="0" w:space="0" w:color="auto"/>
            <w:left w:val="none" w:sz="0" w:space="0" w:color="auto"/>
            <w:bottom w:val="none" w:sz="0" w:space="0" w:color="auto"/>
            <w:right w:val="none" w:sz="0" w:space="0" w:color="auto"/>
          </w:divBdr>
        </w:div>
        <w:div w:id="430852904">
          <w:marLeft w:val="274"/>
          <w:marRight w:val="0"/>
          <w:marTop w:val="0"/>
          <w:marBottom w:val="0"/>
          <w:divBdr>
            <w:top w:val="none" w:sz="0" w:space="0" w:color="auto"/>
            <w:left w:val="none" w:sz="0" w:space="0" w:color="auto"/>
            <w:bottom w:val="none" w:sz="0" w:space="0" w:color="auto"/>
            <w:right w:val="none" w:sz="0" w:space="0" w:color="auto"/>
          </w:divBdr>
        </w:div>
        <w:div w:id="529952935">
          <w:marLeft w:val="1714"/>
          <w:marRight w:val="0"/>
          <w:marTop w:val="0"/>
          <w:marBottom w:val="0"/>
          <w:divBdr>
            <w:top w:val="none" w:sz="0" w:space="0" w:color="auto"/>
            <w:left w:val="none" w:sz="0" w:space="0" w:color="auto"/>
            <w:bottom w:val="none" w:sz="0" w:space="0" w:color="auto"/>
            <w:right w:val="none" w:sz="0" w:space="0" w:color="auto"/>
          </w:divBdr>
        </w:div>
        <w:div w:id="542059950">
          <w:marLeft w:val="994"/>
          <w:marRight w:val="0"/>
          <w:marTop w:val="0"/>
          <w:marBottom w:val="0"/>
          <w:divBdr>
            <w:top w:val="none" w:sz="0" w:space="0" w:color="auto"/>
            <w:left w:val="none" w:sz="0" w:space="0" w:color="auto"/>
            <w:bottom w:val="none" w:sz="0" w:space="0" w:color="auto"/>
            <w:right w:val="none" w:sz="0" w:space="0" w:color="auto"/>
          </w:divBdr>
        </w:div>
        <w:div w:id="555777170">
          <w:marLeft w:val="1714"/>
          <w:marRight w:val="0"/>
          <w:marTop w:val="0"/>
          <w:marBottom w:val="0"/>
          <w:divBdr>
            <w:top w:val="none" w:sz="0" w:space="0" w:color="auto"/>
            <w:left w:val="none" w:sz="0" w:space="0" w:color="auto"/>
            <w:bottom w:val="none" w:sz="0" w:space="0" w:color="auto"/>
            <w:right w:val="none" w:sz="0" w:space="0" w:color="auto"/>
          </w:divBdr>
        </w:div>
        <w:div w:id="575633390">
          <w:marLeft w:val="994"/>
          <w:marRight w:val="0"/>
          <w:marTop w:val="0"/>
          <w:marBottom w:val="0"/>
          <w:divBdr>
            <w:top w:val="none" w:sz="0" w:space="0" w:color="auto"/>
            <w:left w:val="none" w:sz="0" w:space="0" w:color="auto"/>
            <w:bottom w:val="none" w:sz="0" w:space="0" w:color="auto"/>
            <w:right w:val="none" w:sz="0" w:space="0" w:color="auto"/>
          </w:divBdr>
        </w:div>
        <w:div w:id="599946167">
          <w:marLeft w:val="994"/>
          <w:marRight w:val="0"/>
          <w:marTop w:val="0"/>
          <w:marBottom w:val="0"/>
          <w:divBdr>
            <w:top w:val="none" w:sz="0" w:space="0" w:color="auto"/>
            <w:left w:val="none" w:sz="0" w:space="0" w:color="auto"/>
            <w:bottom w:val="none" w:sz="0" w:space="0" w:color="auto"/>
            <w:right w:val="none" w:sz="0" w:space="0" w:color="auto"/>
          </w:divBdr>
        </w:div>
        <w:div w:id="600457984">
          <w:marLeft w:val="2434"/>
          <w:marRight w:val="0"/>
          <w:marTop w:val="0"/>
          <w:marBottom w:val="0"/>
          <w:divBdr>
            <w:top w:val="none" w:sz="0" w:space="0" w:color="auto"/>
            <w:left w:val="none" w:sz="0" w:space="0" w:color="auto"/>
            <w:bottom w:val="none" w:sz="0" w:space="0" w:color="auto"/>
            <w:right w:val="none" w:sz="0" w:space="0" w:color="auto"/>
          </w:divBdr>
        </w:div>
        <w:div w:id="603196907">
          <w:marLeft w:val="1714"/>
          <w:marRight w:val="0"/>
          <w:marTop w:val="0"/>
          <w:marBottom w:val="0"/>
          <w:divBdr>
            <w:top w:val="none" w:sz="0" w:space="0" w:color="auto"/>
            <w:left w:val="none" w:sz="0" w:space="0" w:color="auto"/>
            <w:bottom w:val="none" w:sz="0" w:space="0" w:color="auto"/>
            <w:right w:val="none" w:sz="0" w:space="0" w:color="auto"/>
          </w:divBdr>
        </w:div>
        <w:div w:id="699286398">
          <w:marLeft w:val="994"/>
          <w:marRight w:val="0"/>
          <w:marTop w:val="0"/>
          <w:marBottom w:val="0"/>
          <w:divBdr>
            <w:top w:val="none" w:sz="0" w:space="0" w:color="auto"/>
            <w:left w:val="none" w:sz="0" w:space="0" w:color="auto"/>
            <w:bottom w:val="none" w:sz="0" w:space="0" w:color="auto"/>
            <w:right w:val="none" w:sz="0" w:space="0" w:color="auto"/>
          </w:divBdr>
        </w:div>
        <w:div w:id="816386286">
          <w:marLeft w:val="1714"/>
          <w:marRight w:val="0"/>
          <w:marTop w:val="0"/>
          <w:marBottom w:val="0"/>
          <w:divBdr>
            <w:top w:val="none" w:sz="0" w:space="0" w:color="auto"/>
            <w:left w:val="none" w:sz="0" w:space="0" w:color="auto"/>
            <w:bottom w:val="none" w:sz="0" w:space="0" w:color="auto"/>
            <w:right w:val="none" w:sz="0" w:space="0" w:color="auto"/>
          </w:divBdr>
        </w:div>
        <w:div w:id="890269307">
          <w:marLeft w:val="1714"/>
          <w:marRight w:val="0"/>
          <w:marTop w:val="0"/>
          <w:marBottom w:val="0"/>
          <w:divBdr>
            <w:top w:val="none" w:sz="0" w:space="0" w:color="auto"/>
            <w:left w:val="none" w:sz="0" w:space="0" w:color="auto"/>
            <w:bottom w:val="none" w:sz="0" w:space="0" w:color="auto"/>
            <w:right w:val="none" w:sz="0" w:space="0" w:color="auto"/>
          </w:divBdr>
        </w:div>
        <w:div w:id="1010303714">
          <w:marLeft w:val="1714"/>
          <w:marRight w:val="0"/>
          <w:marTop w:val="0"/>
          <w:marBottom w:val="0"/>
          <w:divBdr>
            <w:top w:val="none" w:sz="0" w:space="0" w:color="auto"/>
            <w:left w:val="none" w:sz="0" w:space="0" w:color="auto"/>
            <w:bottom w:val="none" w:sz="0" w:space="0" w:color="auto"/>
            <w:right w:val="none" w:sz="0" w:space="0" w:color="auto"/>
          </w:divBdr>
        </w:div>
        <w:div w:id="1069811865">
          <w:marLeft w:val="274"/>
          <w:marRight w:val="0"/>
          <w:marTop w:val="0"/>
          <w:marBottom w:val="0"/>
          <w:divBdr>
            <w:top w:val="none" w:sz="0" w:space="0" w:color="auto"/>
            <w:left w:val="none" w:sz="0" w:space="0" w:color="auto"/>
            <w:bottom w:val="none" w:sz="0" w:space="0" w:color="auto"/>
            <w:right w:val="none" w:sz="0" w:space="0" w:color="auto"/>
          </w:divBdr>
        </w:div>
        <w:div w:id="1255629568">
          <w:marLeft w:val="2434"/>
          <w:marRight w:val="0"/>
          <w:marTop w:val="0"/>
          <w:marBottom w:val="0"/>
          <w:divBdr>
            <w:top w:val="none" w:sz="0" w:space="0" w:color="auto"/>
            <w:left w:val="none" w:sz="0" w:space="0" w:color="auto"/>
            <w:bottom w:val="none" w:sz="0" w:space="0" w:color="auto"/>
            <w:right w:val="none" w:sz="0" w:space="0" w:color="auto"/>
          </w:divBdr>
        </w:div>
        <w:div w:id="1334605455">
          <w:marLeft w:val="1714"/>
          <w:marRight w:val="0"/>
          <w:marTop w:val="0"/>
          <w:marBottom w:val="0"/>
          <w:divBdr>
            <w:top w:val="none" w:sz="0" w:space="0" w:color="auto"/>
            <w:left w:val="none" w:sz="0" w:space="0" w:color="auto"/>
            <w:bottom w:val="none" w:sz="0" w:space="0" w:color="auto"/>
            <w:right w:val="none" w:sz="0" w:space="0" w:color="auto"/>
          </w:divBdr>
        </w:div>
        <w:div w:id="1350378085">
          <w:marLeft w:val="1714"/>
          <w:marRight w:val="0"/>
          <w:marTop w:val="0"/>
          <w:marBottom w:val="0"/>
          <w:divBdr>
            <w:top w:val="none" w:sz="0" w:space="0" w:color="auto"/>
            <w:left w:val="none" w:sz="0" w:space="0" w:color="auto"/>
            <w:bottom w:val="none" w:sz="0" w:space="0" w:color="auto"/>
            <w:right w:val="none" w:sz="0" w:space="0" w:color="auto"/>
          </w:divBdr>
        </w:div>
        <w:div w:id="1393195460">
          <w:marLeft w:val="994"/>
          <w:marRight w:val="0"/>
          <w:marTop w:val="0"/>
          <w:marBottom w:val="0"/>
          <w:divBdr>
            <w:top w:val="none" w:sz="0" w:space="0" w:color="auto"/>
            <w:left w:val="none" w:sz="0" w:space="0" w:color="auto"/>
            <w:bottom w:val="none" w:sz="0" w:space="0" w:color="auto"/>
            <w:right w:val="none" w:sz="0" w:space="0" w:color="auto"/>
          </w:divBdr>
        </w:div>
        <w:div w:id="1663195134">
          <w:marLeft w:val="1714"/>
          <w:marRight w:val="0"/>
          <w:marTop w:val="0"/>
          <w:marBottom w:val="0"/>
          <w:divBdr>
            <w:top w:val="none" w:sz="0" w:space="0" w:color="auto"/>
            <w:left w:val="none" w:sz="0" w:space="0" w:color="auto"/>
            <w:bottom w:val="none" w:sz="0" w:space="0" w:color="auto"/>
            <w:right w:val="none" w:sz="0" w:space="0" w:color="auto"/>
          </w:divBdr>
        </w:div>
        <w:div w:id="1669601916">
          <w:marLeft w:val="994"/>
          <w:marRight w:val="0"/>
          <w:marTop w:val="0"/>
          <w:marBottom w:val="0"/>
          <w:divBdr>
            <w:top w:val="none" w:sz="0" w:space="0" w:color="auto"/>
            <w:left w:val="none" w:sz="0" w:space="0" w:color="auto"/>
            <w:bottom w:val="none" w:sz="0" w:space="0" w:color="auto"/>
            <w:right w:val="none" w:sz="0" w:space="0" w:color="auto"/>
          </w:divBdr>
        </w:div>
        <w:div w:id="1797748898">
          <w:marLeft w:val="1714"/>
          <w:marRight w:val="0"/>
          <w:marTop w:val="0"/>
          <w:marBottom w:val="0"/>
          <w:divBdr>
            <w:top w:val="none" w:sz="0" w:space="0" w:color="auto"/>
            <w:left w:val="none" w:sz="0" w:space="0" w:color="auto"/>
            <w:bottom w:val="none" w:sz="0" w:space="0" w:color="auto"/>
            <w:right w:val="none" w:sz="0" w:space="0" w:color="auto"/>
          </w:divBdr>
        </w:div>
        <w:div w:id="1827700312">
          <w:marLeft w:val="274"/>
          <w:marRight w:val="0"/>
          <w:marTop w:val="0"/>
          <w:marBottom w:val="0"/>
          <w:divBdr>
            <w:top w:val="none" w:sz="0" w:space="0" w:color="auto"/>
            <w:left w:val="none" w:sz="0" w:space="0" w:color="auto"/>
            <w:bottom w:val="none" w:sz="0" w:space="0" w:color="auto"/>
            <w:right w:val="none" w:sz="0" w:space="0" w:color="auto"/>
          </w:divBdr>
        </w:div>
        <w:div w:id="1841311526">
          <w:marLeft w:val="2434"/>
          <w:marRight w:val="0"/>
          <w:marTop w:val="0"/>
          <w:marBottom w:val="0"/>
          <w:divBdr>
            <w:top w:val="none" w:sz="0" w:space="0" w:color="auto"/>
            <w:left w:val="none" w:sz="0" w:space="0" w:color="auto"/>
            <w:bottom w:val="none" w:sz="0" w:space="0" w:color="auto"/>
            <w:right w:val="none" w:sz="0" w:space="0" w:color="auto"/>
          </w:divBdr>
        </w:div>
        <w:div w:id="1869877338">
          <w:marLeft w:val="994"/>
          <w:marRight w:val="0"/>
          <w:marTop w:val="0"/>
          <w:marBottom w:val="0"/>
          <w:divBdr>
            <w:top w:val="none" w:sz="0" w:space="0" w:color="auto"/>
            <w:left w:val="none" w:sz="0" w:space="0" w:color="auto"/>
            <w:bottom w:val="none" w:sz="0" w:space="0" w:color="auto"/>
            <w:right w:val="none" w:sz="0" w:space="0" w:color="auto"/>
          </w:divBdr>
        </w:div>
        <w:div w:id="1909539175">
          <w:marLeft w:val="1714"/>
          <w:marRight w:val="0"/>
          <w:marTop w:val="0"/>
          <w:marBottom w:val="0"/>
          <w:divBdr>
            <w:top w:val="none" w:sz="0" w:space="0" w:color="auto"/>
            <w:left w:val="none" w:sz="0" w:space="0" w:color="auto"/>
            <w:bottom w:val="none" w:sz="0" w:space="0" w:color="auto"/>
            <w:right w:val="none" w:sz="0" w:space="0" w:color="auto"/>
          </w:divBdr>
        </w:div>
        <w:div w:id="2022000072">
          <w:marLeft w:val="274"/>
          <w:marRight w:val="0"/>
          <w:marTop w:val="0"/>
          <w:marBottom w:val="0"/>
          <w:divBdr>
            <w:top w:val="none" w:sz="0" w:space="0" w:color="auto"/>
            <w:left w:val="none" w:sz="0" w:space="0" w:color="auto"/>
            <w:bottom w:val="none" w:sz="0" w:space="0" w:color="auto"/>
            <w:right w:val="none" w:sz="0" w:space="0" w:color="auto"/>
          </w:divBdr>
        </w:div>
        <w:div w:id="2034571829">
          <w:marLeft w:val="274"/>
          <w:marRight w:val="0"/>
          <w:marTop w:val="0"/>
          <w:marBottom w:val="0"/>
          <w:divBdr>
            <w:top w:val="none" w:sz="0" w:space="0" w:color="auto"/>
            <w:left w:val="none" w:sz="0" w:space="0" w:color="auto"/>
            <w:bottom w:val="none" w:sz="0" w:space="0" w:color="auto"/>
            <w:right w:val="none" w:sz="0" w:space="0" w:color="auto"/>
          </w:divBdr>
        </w:div>
        <w:div w:id="2060013335">
          <w:marLeft w:val="994"/>
          <w:marRight w:val="0"/>
          <w:marTop w:val="0"/>
          <w:marBottom w:val="0"/>
          <w:divBdr>
            <w:top w:val="none" w:sz="0" w:space="0" w:color="auto"/>
            <w:left w:val="none" w:sz="0" w:space="0" w:color="auto"/>
            <w:bottom w:val="none" w:sz="0" w:space="0" w:color="auto"/>
            <w:right w:val="none" w:sz="0" w:space="0" w:color="auto"/>
          </w:divBdr>
        </w:div>
        <w:div w:id="2115249264">
          <w:marLeft w:val="1714"/>
          <w:marRight w:val="0"/>
          <w:marTop w:val="0"/>
          <w:marBottom w:val="0"/>
          <w:divBdr>
            <w:top w:val="none" w:sz="0" w:space="0" w:color="auto"/>
            <w:left w:val="none" w:sz="0" w:space="0" w:color="auto"/>
            <w:bottom w:val="none" w:sz="0" w:space="0" w:color="auto"/>
            <w:right w:val="none" w:sz="0" w:space="0" w:color="auto"/>
          </w:divBdr>
        </w:div>
        <w:div w:id="2116514472">
          <w:marLeft w:val="1714"/>
          <w:marRight w:val="0"/>
          <w:marTop w:val="0"/>
          <w:marBottom w:val="0"/>
          <w:divBdr>
            <w:top w:val="none" w:sz="0" w:space="0" w:color="auto"/>
            <w:left w:val="none" w:sz="0" w:space="0" w:color="auto"/>
            <w:bottom w:val="none" w:sz="0" w:space="0" w:color="auto"/>
            <w:right w:val="none" w:sz="0" w:space="0" w:color="auto"/>
          </w:divBdr>
        </w:div>
        <w:div w:id="2125801960">
          <w:marLeft w:val="274"/>
          <w:marRight w:val="0"/>
          <w:marTop w:val="0"/>
          <w:marBottom w:val="0"/>
          <w:divBdr>
            <w:top w:val="none" w:sz="0" w:space="0" w:color="auto"/>
            <w:left w:val="none" w:sz="0" w:space="0" w:color="auto"/>
            <w:bottom w:val="none" w:sz="0" w:space="0" w:color="auto"/>
            <w:right w:val="none" w:sz="0" w:space="0" w:color="auto"/>
          </w:divBdr>
        </w:div>
      </w:divsChild>
    </w:div>
    <w:div w:id="905998086">
      <w:bodyDiv w:val="1"/>
      <w:marLeft w:val="0"/>
      <w:marRight w:val="0"/>
      <w:marTop w:val="0"/>
      <w:marBottom w:val="0"/>
      <w:divBdr>
        <w:top w:val="none" w:sz="0" w:space="0" w:color="auto"/>
        <w:left w:val="none" w:sz="0" w:space="0" w:color="auto"/>
        <w:bottom w:val="none" w:sz="0" w:space="0" w:color="auto"/>
        <w:right w:val="none" w:sz="0" w:space="0" w:color="auto"/>
      </w:divBdr>
    </w:div>
    <w:div w:id="913393013">
      <w:bodyDiv w:val="1"/>
      <w:marLeft w:val="0"/>
      <w:marRight w:val="0"/>
      <w:marTop w:val="0"/>
      <w:marBottom w:val="0"/>
      <w:divBdr>
        <w:top w:val="none" w:sz="0" w:space="0" w:color="auto"/>
        <w:left w:val="none" w:sz="0" w:space="0" w:color="auto"/>
        <w:bottom w:val="none" w:sz="0" w:space="0" w:color="auto"/>
        <w:right w:val="none" w:sz="0" w:space="0" w:color="auto"/>
      </w:divBdr>
      <w:divsChild>
        <w:div w:id="781917723">
          <w:marLeft w:val="0"/>
          <w:marRight w:val="0"/>
          <w:marTop w:val="0"/>
          <w:marBottom w:val="0"/>
          <w:divBdr>
            <w:top w:val="none" w:sz="0" w:space="0" w:color="auto"/>
            <w:left w:val="none" w:sz="0" w:space="0" w:color="auto"/>
            <w:bottom w:val="none" w:sz="0" w:space="0" w:color="auto"/>
            <w:right w:val="none" w:sz="0" w:space="0" w:color="auto"/>
          </w:divBdr>
        </w:div>
        <w:div w:id="786002064">
          <w:marLeft w:val="0"/>
          <w:marRight w:val="0"/>
          <w:marTop w:val="0"/>
          <w:marBottom w:val="0"/>
          <w:divBdr>
            <w:top w:val="none" w:sz="0" w:space="0" w:color="auto"/>
            <w:left w:val="none" w:sz="0" w:space="0" w:color="auto"/>
            <w:bottom w:val="none" w:sz="0" w:space="0" w:color="auto"/>
            <w:right w:val="none" w:sz="0" w:space="0" w:color="auto"/>
          </w:divBdr>
        </w:div>
        <w:div w:id="913778915">
          <w:marLeft w:val="0"/>
          <w:marRight w:val="0"/>
          <w:marTop w:val="0"/>
          <w:marBottom w:val="0"/>
          <w:divBdr>
            <w:top w:val="none" w:sz="0" w:space="0" w:color="auto"/>
            <w:left w:val="none" w:sz="0" w:space="0" w:color="auto"/>
            <w:bottom w:val="none" w:sz="0" w:space="0" w:color="auto"/>
            <w:right w:val="none" w:sz="0" w:space="0" w:color="auto"/>
          </w:divBdr>
        </w:div>
        <w:div w:id="1000428528">
          <w:marLeft w:val="0"/>
          <w:marRight w:val="0"/>
          <w:marTop w:val="0"/>
          <w:marBottom w:val="0"/>
          <w:divBdr>
            <w:top w:val="none" w:sz="0" w:space="0" w:color="auto"/>
            <w:left w:val="none" w:sz="0" w:space="0" w:color="auto"/>
            <w:bottom w:val="none" w:sz="0" w:space="0" w:color="auto"/>
            <w:right w:val="none" w:sz="0" w:space="0" w:color="auto"/>
          </w:divBdr>
        </w:div>
        <w:div w:id="1774394172">
          <w:marLeft w:val="0"/>
          <w:marRight w:val="0"/>
          <w:marTop w:val="0"/>
          <w:marBottom w:val="0"/>
          <w:divBdr>
            <w:top w:val="none" w:sz="0" w:space="0" w:color="auto"/>
            <w:left w:val="none" w:sz="0" w:space="0" w:color="auto"/>
            <w:bottom w:val="none" w:sz="0" w:space="0" w:color="auto"/>
            <w:right w:val="none" w:sz="0" w:space="0" w:color="auto"/>
          </w:divBdr>
        </w:div>
        <w:div w:id="1975594393">
          <w:marLeft w:val="0"/>
          <w:marRight w:val="0"/>
          <w:marTop w:val="0"/>
          <w:marBottom w:val="0"/>
          <w:divBdr>
            <w:top w:val="none" w:sz="0" w:space="0" w:color="auto"/>
            <w:left w:val="none" w:sz="0" w:space="0" w:color="auto"/>
            <w:bottom w:val="none" w:sz="0" w:space="0" w:color="auto"/>
            <w:right w:val="none" w:sz="0" w:space="0" w:color="auto"/>
          </w:divBdr>
        </w:div>
      </w:divsChild>
    </w:div>
    <w:div w:id="923994591">
      <w:bodyDiv w:val="1"/>
      <w:marLeft w:val="0"/>
      <w:marRight w:val="0"/>
      <w:marTop w:val="0"/>
      <w:marBottom w:val="0"/>
      <w:divBdr>
        <w:top w:val="none" w:sz="0" w:space="0" w:color="auto"/>
        <w:left w:val="none" w:sz="0" w:space="0" w:color="auto"/>
        <w:bottom w:val="none" w:sz="0" w:space="0" w:color="auto"/>
        <w:right w:val="none" w:sz="0" w:space="0" w:color="auto"/>
      </w:divBdr>
      <w:divsChild>
        <w:div w:id="949165694">
          <w:marLeft w:val="0"/>
          <w:marRight w:val="0"/>
          <w:marTop w:val="0"/>
          <w:marBottom w:val="0"/>
          <w:divBdr>
            <w:top w:val="none" w:sz="0" w:space="0" w:color="auto"/>
            <w:left w:val="none" w:sz="0" w:space="0" w:color="auto"/>
            <w:bottom w:val="none" w:sz="0" w:space="0" w:color="auto"/>
            <w:right w:val="none" w:sz="0" w:space="0" w:color="auto"/>
          </w:divBdr>
        </w:div>
        <w:div w:id="1201435619">
          <w:marLeft w:val="0"/>
          <w:marRight w:val="0"/>
          <w:marTop w:val="0"/>
          <w:marBottom w:val="0"/>
          <w:divBdr>
            <w:top w:val="none" w:sz="0" w:space="0" w:color="auto"/>
            <w:left w:val="none" w:sz="0" w:space="0" w:color="auto"/>
            <w:bottom w:val="none" w:sz="0" w:space="0" w:color="auto"/>
            <w:right w:val="none" w:sz="0" w:space="0" w:color="auto"/>
          </w:divBdr>
        </w:div>
        <w:div w:id="1546914712">
          <w:marLeft w:val="0"/>
          <w:marRight w:val="0"/>
          <w:marTop w:val="0"/>
          <w:marBottom w:val="0"/>
          <w:divBdr>
            <w:top w:val="none" w:sz="0" w:space="0" w:color="auto"/>
            <w:left w:val="none" w:sz="0" w:space="0" w:color="auto"/>
            <w:bottom w:val="none" w:sz="0" w:space="0" w:color="auto"/>
            <w:right w:val="none" w:sz="0" w:space="0" w:color="auto"/>
          </w:divBdr>
        </w:div>
        <w:div w:id="1812599150">
          <w:marLeft w:val="0"/>
          <w:marRight w:val="0"/>
          <w:marTop w:val="0"/>
          <w:marBottom w:val="0"/>
          <w:divBdr>
            <w:top w:val="none" w:sz="0" w:space="0" w:color="auto"/>
            <w:left w:val="none" w:sz="0" w:space="0" w:color="auto"/>
            <w:bottom w:val="none" w:sz="0" w:space="0" w:color="auto"/>
            <w:right w:val="none" w:sz="0" w:space="0" w:color="auto"/>
          </w:divBdr>
        </w:div>
      </w:divsChild>
    </w:div>
    <w:div w:id="924732341">
      <w:bodyDiv w:val="1"/>
      <w:marLeft w:val="0"/>
      <w:marRight w:val="0"/>
      <w:marTop w:val="0"/>
      <w:marBottom w:val="0"/>
      <w:divBdr>
        <w:top w:val="none" w:sz="0" w:space="0" w:color="auto"/>
        <w:left w:val="none" w:sz="0" w:space="0" w:color="auto"/>
        <w:bottom w:val="none" w:sz="0" w:space="0" w:color="auto"/>
        <w:right w:val="none" w:sz="0" w:space="0" w:color="auto"/>
      </w:divBdr>
      <w:divsChild>
        <w:div w:id="69353882">
          <w:marLeft w:val="0"/>
          <w:marRight w:val="0"/>
          <w:marTop w:val="0"/>
          <w:marBottom w:val="0"/>
          <w:divBdr>
            <w:top w:val="none" w:sz="0" w:space="0" w:color="auto"/>
            <w:left w:val="none" w:sz="0" w:space="0" w:color="auto"/>
            <w:bottom w:val="none" w:sz="0" w:space="0" w:color="auto"/>
            <w:right w:val="none" w:sz="0" w:space="0" w:color="auto"/>
          </w:divBdr>
        </w:div>
        <w:div w:id="1211065691">
          <w:marLeft w:val="0"/>
          <w:marRight w:val="0"/>
          <w:marTop w:val="0"/>
          <w:marBottom w:val="0"/>
          <w:divBdr>
            <w:top w:val="none" w:sz="0" w:space="0" w:color="auto"/>
            <w:left w:val="none" w:sz="0" w:space="0" w:color="auto"/>
            <w:bottom w:val="none" w:sz="0" w:space="0" w:color="auto"/>
            <w:right w:val="none" w:sz="0" w:space="0" w:color="auto"/>
          </w:divBdr>
        </w:div>
        <w:div w:id="1462961431">
          <w:marLeft w:val="0"/>
          <w:marRight w:val="0"/>
          <w:marTop w:val="0"/>
          <w:marBottom w:val="0"/>
          <w:divBdr>
            <w:top w:val="none" w:sz="0" w:space="0" w:color="auto"/>
            <w:left w:val="none" w:sz="0" w:space="0" w:color="auto"/>
            <w:bottom w:val="none" w:sz="0" w:space="0" w:color="auto"/>
            <w:right w:val="none" w:sz="0" w:space="0" w:color="auto"/>
          </w:divBdr>
        </w:div>
        <w:div w:id="2108648487">
          <w:marLeft w:val="0"/>
          <w:marRight w:val="0"/>
          <w:marTop w:val="0"/>
          <w:marBottom w:val="0"/>
          <w:divBdr>
            <w:top w:val="none" w:sz="0" w:space="0" w:color="auto"/>
            <w:left w:val="none" w:sz="0" w:space="0" w:color="auto"/>
            <w:bottom w:val="none" w:sz="0" w:space="0" w:color="auto"/>
            <w:right w:val="none" w:sz="0" w:space="0" w:color="auto"/>
          </w:divBdr>
        </w:div>
      </w:divsChild>
    </w:div>
    <w:div w:id="930239444">
      <w:bodyDiv w:val="1"/>
      <w:marLeft w:val="0"/>
      <w:marRight w:val="0"/>
      <w:marTop w:val="0"/>
      <w:marBottom w:val="0"/>
      <w:divBdr>
        <w:top w:val="none" w:sz="0" w:space="0" w:color="auto"/>
        <w:left w:val="none" w:sz="0" w:space="0" w:color="auto"/>
        <w:bottom w:val="none" w:sz="0" w:space="0" w:color="auto"/>
        <w:right w:val="none" w:sz="0" w:space="0" w:color="auto"/>
      </w:divBdr>
      <w:divsChild>
        <w:div w:id="1381858870">
          <w:marLeft w:val="0"/>
          <w:marRight w:val="0"/>
          <w:marTop w:val="0"/>
          <w:marBottom w:val="0"/>
          <w:divBdr>
            <w:top w:val="none" w:sz="0" w:space="0" w:color="auto"/>
            <w:left w:val="none" w:sz="0" w:space="0" w:color="auto"/>
            <w:bottom w:val="none" w:sz="0" w:space="0" w:color="auto"/>
            <w:right w:val="none" w:sz="0" w:space="0" w:color="auto"/>
          </w:divBdr>
        </w:div>
        <w:div w:id="2026595923">
          <w:marLeft w:val="0"/>
          <w:marRight w:val="0"/>
          <w:marTop w:val="0"/>
          <w:marBottom w:val="0"/>
          <w:divBdr>
            <w:top w:val="none" w:sz="0" w:space="0" w:color="auto"/>
            <w:left w:val="none" w:sz="0" w:space="0" w:color="auto"/>
            <w:bottom w:val="none" w:sz="0" w:space="0" w:color="auto"/>
            <w:right w:val="none" w:sz="0" w:space="0" w:color="auto"/>
          </w:divBdr>
        </w:div>
      </w:divsChild>
    </w:div>
    <w:div w:id="950011055">
      <w:bodyDiv w:val="1"/>
      <w:marLeft w:val="0"/>
      <w:marRight w:val="0"/>
      <w:marTop w:val="0"/>
      <w:marBottom w:val="0"/>
      <w:divBdr>
        <w:top w:val="none" w:sz="0" w:space="0" w:color="auto"/>
        <w:left w:val="none" w:sz="0" w:space="0" w:color="auto"/>
        <w:bottom w:val="none" w:sz="0" w:space="0" w:color="auto"/>
        <w:right w:val="none" w:sz="0" w:space="0" w:color="auto"/>
      </w:divBdr>
      <w:divsChild>
        <w:div w:id="591091820">
          <w:marLeft w:val="0"/>
          <w:marRight w:val="0"/>
          <w:marTop w:val="0"/>
          <w:marBottom w:val="0"/>
          <w:divBdr>
            <w:top w:val="none" w:sz="0" w:space="0" w:color="auto"/>
            <w:left w:val="none" w:sz="0" w:space="0" w:color="auto"/>
            <w:bottom w:val="none" w:sz="0" w:space="0" w:color="auto"/>
            <w:right w:val="none" w:sz="0" w:space="0" w:color="auto"/>
          </w:divBdr>
        </w:div>
        <w:div w:id="841504488">
          <w:marLeft w:val="0"/>
          <w:marRight w:val="0"/>
          <w:marTop w:val="0"/>
          <w:marBottom w:val="0"/>
          <w:divBdr>
            <w:top w:val="none" w:sz="0" w:space="0" w:color="auto"/>
            <w:left w:val="none" w:sz="0" w:space="0" w:color="auto"/>
            <w:bottom w:val="none" w:sz="0" w:space="0" w:color="auto"/>
            <w:right w:val="none" w:sz="0" w:space="0" w:color="auto"/>
          </w:divBdr>
        </w:div>
        <w:div w:id="1945921861">
          <w:marLeft w:val="0"/>
          <w:marRight w:val="0"/>
          <w:marTop w:val="0"/>
          <w:marBottom w:val="0"/>
          <w:divBdr>
            <w:top w:val="none" w:sz="0" w:space="0" w:color="auto"/>
            <w:left w:val="none" w:sz="0" w:space="0" w:color="auto"/>
            <w:bottom w:val="none" w:sz="0" w:space="0" w:color="auto"/>
            <w:right w:val="none" w:sz="0" w:space="0" w:color="auto"/>
          </w:divBdr>
        </w:div>
      </w:divsChild>
    </w:div>
    <w:div w:id="956106274">
      <w:bodyDiv w:val="1"/>
      <w:marLeft w:val="0"/>
      <w:marRight w:val="0"/>
      <w:marTop w:val="0"/>
      <w:marBottom w:val="0"/>
      <w:divBdr>
        <w:top w:val="none" w:sz="0" w:space="0" w:color="auto"/>
        <w:left w:val="none" w:sz="0" w:space="0" w:color="auto"/>
        <w:bottom w:val="none" w:sz="0" w:space="0" w:color="auto"/>
        <w:right w:val="none" w:sz="0" w:space="0" w:color="auto"/>
      </w:divBdr>
    </w:div>
    <w:div w:id="959647038">
      <w:bodyDiv w:val="1"/>
      <w:marLeft w:val="0"/>
      <w:marRight w:val="0"/>
      <w:marTop w:val="0"/>
      <w:marBottom w:val="0"/>
      <w:divBdr>
        <w:top w:val="none" w:sz="0" w:space="0" w:color="auto"/>
        <w:left w:val="none" w:sz="0" w:space="0" w:color="auto"/>
        <w:bottom w:val="none" w:sz="0" w:space="0" w:color="auto"/>
        <w:right w:val="none" w:sz="0" w:space="0" w:color="auto"/>
      </w:divBdr>
    </w:div>
    <w:div w:id="960300684">
      <w:bodyDiv w:val="1"/>
      <w:marLeft w:val="0"/>
      <w:marRight w:val="0"/>
      <w:marTop w:val="0"/>
      <w:marBottom w:val="0"/>
      <w:divBdr>
        <w:top w:val="none" w:sz="0" w:space="0" w:color="auto"/>
        <w:left w:val="none" w:sz="0" w:space="0" w:color="auto"/>
        <w:bottom w:val="none" w:sz="0" w:space="0" w:color="auto"/>
        <w:right w:val="none" w:sz="0" w:space="0" w:color="auto"/>
      </w:divBdr>
      <w:divsChild>
        <w:div w:id="1148210317">
          <w:marLeft w:val="0"/>
          <w:marRight w:val="0"/>
          <w:marTop w:val="0"/>
          <w:marBottom w:val="0"/>
          <w:divBdr>
            <w:top w:val="none" w:sz="0" w:space="0" w:color="auto"/>
            <w:left w:val="none" w:sz="0" w:space="0" w:color="auto"/>
            <w:bottom w:val="none" w:sz="0" w:space="0" w:color="auto"/>
            <w:right w:val="none" w:sz="0" w:space="0" w:color="auto"/>
          </w:divBdr>
        </w:div>
        <w:div w:id="1606184833">
          <w:marLeft w:val="0"/>
          <w:marRight w:val="0"/>
          <w:marTop w:val="0"/>
          <w:marBottom w:val="0"/>
          <w:divBdr>
            <w:top w:val="none" w:sz="0" w:space="0" w:color="auto"/>
            <w:left w:val="none" w:sz="0" w:space="0" w:color="auto"/>
            <w:bottom w:val="none" w:sz="0" w:space="0" w:color="auto"/>
            <w:right w:val="none" w:sz="0" w:space="0" w:color="auto"/>
          </w:divBdr>
        </w:div>
        <w:div w:id="1625228179">
          <w:marLeft w:val="0"/>
          <w:marRight w:val="0"/>
          <w:marTop w:val="0"/>
          <w:marBottom w:val="0"/>
          <w:divBdr>
            <w:top w:val="none" w:sz="0" w:space="0" w:color="auto"/>
            <w:left w:val="none" w:sz="0" w:space="0" w:color="auto"/>
            <w:bottom w:val="none" w:sz="0" w:space="0" w:color="auto"/>
            <w:right w:val="none" w:sz="0" w:space="0" w:color="auto"/>
          </w:divBdr>
        </w:div>
      </w:divsChild>
    </w:div>
    <w:div w:id="969289447">
      <w:bodyDiv w:val="1"/>
      <w:marLeft w:val="0"/>
      <w:marRight w:val="0"/>
      <w:marTop w:val="0"/>
      <w:marBottom w:val="0"/>
      <w:divBdr>
        <w:top w:val="none" w:sz="0" w:space="0" w:color="auto"/>
        <w:left w:val="none" w:sz="0" w:space="0" w:color="auto"/>
        <w:bottom w:val="none" w:sz="0" w:space="0" w:color="auto"/>
        <w:right w:val="none" w:sz="0" w:space="0" w:color="auto"/>
      </w:divBdr>
    </w:div>
    <w:div w:id="970133913">
      <w:bodyDiv w:val="1"/>
      <w:marLeft w:val="0"/>
      <w:marRight w:val="0"/>
      <w:marTop w:val="0"/>
      <w:marBottom w:val="0"/>
      <w:divBdr>
        <w:top w:val="none" w:sz="0" w:space="0" w:color="auto"/>
        <w:left w:val="none" w:sz="0" w:space="0" w:color="auto"/>
        <w:bottom w:val="none" w:sz="0" w:space="0" w:color="auto"/>
        <w:right w:val="none" w:sz="0" w:space="0" w:color="auto"/>
      </w:divBdr>
      <w:divsChild>
        <w:div w:id="1694988779">
          <w:marLeft w:val="0"/>
          <w:marRight w:val="0"/>
          <w:marTop w:val="0"/>
          <w:marBottom w:val="0"/>
          <w:divBdr>
            <w:top w:val="none" w:sz="0" w:space="0" w:color="auto"/>
            <w:left w:val="none" w:sz="0" w:space="0" w:color="auto"/>
            <w:bottom w:val="none" w:sz="0" w:space="0" w:color="auto"/>
            <w:right w:val="none" w:sz="0" w:space="0" w:color="auto"/>
          </w:divBdr>
        </w:div>
        <w:div w:id="1789160590">
          <w:marLeft w:val="0"/>
          <w:marRight w:val="0"/>
          <w:marTop w:val="0"/>
          <w:marBottom w:val="0"/>
          <w:divBdr>
            <w:top w:val="none" w:sz="0" w:space="0" w:color="auto"/>
            <w:left w:val="none" w:sz="0" w:space="0" w:color="auto"/>
            <w:bottom w:val="none" w:sz="0" w:space="0" w:color="auto"/>
            <w:right w:val="none" w:sz="0" w:space="0" w:color="auto"/>
          </w:divBdr>
        </w:div>
      </w:divsChild>
    </w:div>
    <w:div w:id="980036306">
      <w:bodyDiv w:val="1"/>
      <w:marLeft w:val="0"/>
      <w:marRight w:val="0"/>
      <w:marTop w:val="0"/>
      <w:marBottom w:val="0"/>
      <w:divBdr>
        <w:top w:val="none" w:sz="0" w:space="0" w:color="auto"/>
        <w:left w:val="none" w:sz="0" w:space="0" w:color="auto"/>
        <w:bottom w:val="none" w:sz="0" w:space="0" w:color="auto"/>
        <w:right w:val="none" w:sz="0" w:space="0" w:color="auto"/>
      </w:divBdr>
    </w:div>
    <w:div w:id="985359473">
      <w:bodyDiv w:val="1"/>
      <w:marLeft w:val="0"/>
      <w:marRight w:val="0"/>
      <w:marTop w:val="0"/>
      <w:marBottom w:val="0"/>
      <w:divBdr>
        <w:top w:val="none" w:sz="0" w:space="0" w:color="auto"/>
        <w:left w:val="none" w:sz="0" w:space="0" w:color="auto"/>
        <w:bottom w:val="none" w:sz="0" w:space="0" w:color="auto"/>
        <w:right w:val="none" w:sz="0" w:space="0" w:color="auto"/>
      </w:divBdr>
      <w:divsChild>
        <w:div w:id="407120927">
          <w:marLeft w:val="0"/>
          <w:marRight w:val="0"/>
          <w:marTop w:val="0"/>
          <w:marBottom w:val="0"/>
          <w:divBdr>
            <w:top w:val="none" w:sz="0" w:space="0" w:color="auto"/>
            <w:left w:val="none" w:sz="0" w:space="0" w:color="auto"/>
            <w:bottom w:val="none" w:sz="0" w:space="0" w:color="auto"/>
            <w:right w:val="none" w:sz="0" w:space="0" w:color="auto"/>
          </w:divBdr>
        </w:div>
        <w:div w:id="1099177827">
          <w:marLeft w:val="0"/>
          <w:marRight w:val="0"/>
          <w:marTop w:val="0"/>
          <w:marBottom w:val="0"/>
          <w:divBdr>
            <w:top w:val="none" w:sz="0" w:space="0" w:color="auto"/>
            <w:left w:val="none" w:sz="0" w:space="0" w:color="auto"/>
            <w:bottom w:val="none" w:sz="0" w:space="0" w:color="auto"/>
            <w:right w:val="none" w:sz="0" w:space="0" w:color="auto"/>
          </w:divBdr>
        </w:div>
      </w:divsChild>
    </w:div>
    <w:div w:id="986712619">
      <w:bodyDiv w:val="1"/>
      <w:marLeft w:val="0"/>
      <w:marRight w:val="0"/>
      <w:marTop w:val="0"/>
      <w:marBottom w:val="0"/>
      <w:divBdr>
        <w:top w:val="none" w:sz="0" w:space="0" w:color="auto"/>
        <w:left w:val="none" w:sz="0" w:space="0" w:color="auto"/>
        <w:bottom w:val="none" w:sz="0" w:space="0" w:color="auto"/>
        <w:right w:val="none" w:sz="0" w:space="0" w:color="auto"/>
      </w:divBdr>
    </w:div>
    <w:div w:id="987562077">
      <w:bodyDiv w:val="1"/>
      <w:marLeft w:val="0"/>
      <w:marRight w:val="0"/>
      <w:marTop w:val="0"/>
      <w:marBottom w:val="0"/>
      <w:divBdr>
        <w:top w:val="none" w:sz="0" w:space="0" w:color="auto"/>
        <w:left w:val="none" w:sz="0" w:space="0" w:color="auto"/>
        <w:bottom w:val="none" w:sz="0" w:space="0" w:color="auto"/>
        <w:right w:val="none" w:sz="0" w:space="0" w:color="auto"/>
      </w:divBdr>
      <w:divsChild>
        <w:div w:id="343173960">
          <w:marLeft w:val="0"/>
          <w:marRight w:val="0"/>
          <w:marTop w:val="0"/>
          <w:marBottom w:val="0"/>
          <w:divBdr>
            <w:top w:val="none" w:sz="0" w:space="0" w:color="auto"/>
            <w:left w:val="none" w:sz="0" w:space="0" w:color="auto"/>
            <w:bottom w:val="none" w:sz="0" w:space="0" w:color="auto"/>
            <w:right w:val="none" w:sz="0" w:space="0" w:color="auto"/>
          </w:divBdr>
        </w:div>
        <w:div w:id="675113330">
          <w:marLeft w:val="0"/>
          <w:marRight w:val="0"/>
          <w:marTop w:val="0"/>
          <w:marBottom w:val="0"/>
          <w:divBdr>
            <w:top w:val="none" w:sz="0" w:space="0" w:color="auto"/>
            <w:left w:val="none" w:sz="0" w:space="0" w:color="auto"/>
            <w:bottom w:val="none" w:sz="0" w:space="0" w:color="auto"/>
            <w:right w:val="none" w:sz="0" w:space="0" w:color="auto"/>
          </w:divBdr>
        </w:div>
        <w:div w:id="1380131963">
          <w:marLeft w:val="0"/>
          <w:marRight w:val="0"/>
          <w:marTop w:val="0"/>
          <w:marBottom w:val="0"/>
          <w:divBdr>
            <w:top w:val="none" w:sz="0" w:space="0" w:color="auto"/>
            <w:left w:val="none" w:sz="0" w:space="0" w:color="auto"/>
            <w:bottom w:val="none" w:sz="0" w:space="0" w:color="auto"/>
            <w:right w:val="none" w:sz="0" w:space="0" w:color="auto"/>
          </w:divBdr>
        </w:div>
        <w:div w:id="1412121179">
          <w:marLeft w:val="0"/>
          <w:marRight w:val="0"/>
          <w:marTop w:val="0"/>
          <w:marBottom w:val="0"/>
          <w:divBdr>
            <w:top w:val="none" w:sz="0" w:space="0" w:color="auto"/>
            <w:left w:val="none" w:sz="0" w:space="0" w:color="auto"/>
            <w:bottom w:val="none" w:sz="0" w:space="0" w:color="auto"/>
            <w:right w:val="none" w:sz="0" w:space="0" w:color="auto"/>
          </w:divBdr>
        </w:div>
      </w:divsChild>
    </w:div>
    <w:div w:id="992179084">
      <w:bodyDiv w:val="1"/>
      <w:marLeft w:val="0"/>
      <w:marRight w:val="0"/>
      <w:marTop w:val="0"/>
      <w:marBottom w:val="0"/>
      <w:divBdr>
        <w:top w:val="none" w:sz="0" w:space="0" w:color="auto"/>
        <w:left w:val="none" w:sz="0" w:space="0" w:color="auto"/>
        <w:bottom w:val="none" w:sz="0" w:space="0" w:color="auto"/>
        <w:right w:val="none" w:sz="0" w:space="0" w:color="auto"/>
      </w:divBdr>
    </w:div>
    <w:div w:id="1000042894">
      <w:bodyDiv w:val="1"/>
      <w:marLeft w:val="0"/>
      <w:marRight w:val="0"/>
      <w:marTop w:val="0"/>
      <w:marBottom w:val="0"/>
      <w:divBdr>
        <w:top w:val="none" w:sz="0" w:space="0" w:color="auto"/>
        <w:left w:val="none" w:sz="0" w:space="0" w:color="auto"/>
        <w:bottom w:val="none" w:sz="0" w:space="0" w:color="auto"/>
        <w:right w:val="none" w:sz="0" w:space="0" w:color="auto"/>
      </w:divBdr>
    </w:div>
    <w:div w:id="1014646295">
      <w:bodyDiv w:val="1"/>
      <w:marLeft w:val="0"/>
      <w:marRight w:val="0"/>
      <w:marTop w:val="0"/>
      <w:marBottom w:val="0"/>
      <w:divBdr>
        <w:top w:val="none" w:sz="0" w:space="0" w:color="auto"/>
        <w:left w:val="none" w:sz="0" w:space="0" w:color="auto"/>
        <w:bottom w:val="none" w:sz="0" w:space="0" w:color="auto"/>
        <w:right w:val="none" w:sz="0" w:space="0" w:color="auto"/>
      </w:divBdr>
      <w:divsChild>
        <w:div w:id="83497940">
          <w:marLeft w:val="0"/>
          <w:marRight w:val="0"/>
          <w:marTop w:val="0"/>
          <w:marBottom w:val="0"/>
          <w:divBdr>
            <w:top w:val="none" w:sz="0" w:space="0" w:color="auto"/>
            <w:left w:val="none" w:sz="0" w:space="0" w:color="auto"/>
            <w:bottom w:val="none" w:sz="0" w:space="0" w:color="auto"/>
            <w:right w:val="none" w:sz="0" w:space="0" w:color="auto"/>
          </w:divBdr>
        </w:div>
        <w:div w:id="1253394105">
          <w:marLeft w:val="0"/>
          <w:marRight w:val="0"/>
          <w:marTop w:val="0"/>
          <w:marBottom w:val="0"/>
          <w:divBdr>
            <w:top w:val="none" w:sz="0" w:space="0" w:color="auto"/>
            <w:left w:val="none" w:sz="0" w:space="0" w:color="auto"/>
            <w:bottom w:val="none" w:sz="0" w:space="0" w:color="auto"/>
            <w:right w:val="none" w:sz="0" w:space="0" w:color="auto"/>
          </w:divBdr>
        </w:div>
      </w:divsChild>
    </w:div>
    <w:div w:id="1027214048">
      <w:bodyDiv w:val="1"/>
      <w:marLeft w:val="0"/>
      <w:marRight w:val="0"/>
      <w:marTop w:val="0"/>
      <w:marBottom w:val="0"/>
      <w:divBdr>
        <w:top w:val="none" w:sz="0" w:space="0" w:color="auto"/>
        <w:left w:val="none" w:sz="0" w:space="0" w:color="auto"/>
        <w:bottom w:val="none" w:sz="0" w:space="0" w:color="auto"/>
        <w:right w:val="none" w:sz="0" w:space="0" w:color="auto"/>
      </w:divBdr>
    </w:div>
    <w:div w:id="1053046060">
      <w:bodyDiv w:val="1"/>
      <w:marLeft w:val="0"/>
      <w:marRight w:val="0"/>
      <w:marTop w:val="0"/>
      <w:marBottom w:val="0"/>
      <w:divBdr>
        <w:top w:val="none" w:sz="0" w:space="0" w:color="auto"/>
        <w:left w:val="none" w:sz="0" w:space="0" w:color="auto"/>
        <w:bottom w:val="none" w:sz="0" w:space="0" w:color="auto"/>
        <w:right w:val="none" w:sz="0" w:space="0" w:color="auto"/>
      </w:divBdr>
    </w:div>
    <w:div w:id="1055543512">
      <w:bodyDiv w:val="1"/>
      <w:marLeft w:val="0"/>
      <w:marRight w:val="0"/>
      <w:marTop w:val="0"/>
      <w:marBottom w:val="0"/>
      <w:divBdr>
        <w:top w:val="none" w:sz="0" w:space="0" w:color="auto"/>
        <w:left w:val="none" w:sz="0" w:space="0" w:color="auto"/>
        <w:bottom w:val="none" w:sz="0" w:space="0" w:color="auto"/>
        <w:right w:val="none" w:sz="0" w:space="0" w:color="auto"/>
      </w:divBdr>
    </w:div>
    <w:div w:id="1066879863">
      <w:bodyDiv w:val="1"/>
      <w:marLeft w:val="0"/>
      <w:marRight w:val="0"/>
      <w:marTop w:val="0"/>
      <w:marBottom w:val="0"/>
      <w:divBdr>
        <w:top w:val="none" w:sz="0" w:space="0" w:color="auto"/>
        <w:left w:val="none" w:sz="0" w:space="0" w:color="auto"/>
        <w:bottom w:val="none" w:sz="0" w:space="0" w:color="auto"/>
        <w:right w:val="none" w:sz="0" w:space="0" w:color="auto"/>
      </w:divBdr>
    </w:div>
    <w:div w:id="1084761835">
      <w:bodyDiv w:val="1"/>
      <w:marLeft w:val="0"/>
      <w:marRight w:val="0"/>
      <w:marTop w:val="0"/>
      <w:marBottom w:val="0"/>
      <w:divBdr>
        <w:top w:val="none" w:sz="0" w:space="0" w:color="auto"/>
        <w:left w:val="none" w:sz="0" w:space="0" w:color="auto"/>
        <w:bottom w:val="none" w:sz="0" w:space="0" w:color="auto"/>
        <w:right w:val="none" w:sz="0" w:space="0" w:color="auto"/>
      </w:divBdr>
      <w:divsChild>
        <w:div w:id="93017369">
          <w:marLeft w:val="0"/>
          <w:marRight w:val="0"/>
          <w:marTop w:val="0"/>
          <w:marBottom w:val="0"/>
          <w:divBdr>
            <w:top w:val="none" w:sz="0" w:space="0" w:color="auto"/>
            <w:left w:val="none" w:sz="0" w:space="0" w:color="auto"/>
            <w:bottom w:val="none" w:sz="0" w:space="0" w:color="auto"/>
            <w:right w:val="none" w:sz="0" w:space="0" w:color="auto"/>
          </w:divBdr>
        </w:div>
        <w:div w:id="892235165">
          <w:marLeft w:val="0"/>
          <w:marRight w:val="0"/>
          <w:marTop w:val="0"/>
          <w:marBottom w:val="0"/>
          <w:divBdr>
            <w:top w:val="none" w:sz="0" w:space="0" w:color="auto"/>
            <w:left w:val="none" w:sz="0" w:space="0" w:color="auto"/>
            <w:bottom w:val="none" w:sz="0" w:space="0" w:color="auto"/>
            <w:right w:val="none" w:sz="0" w:space="0" w:color="auto"/>
          </w:divBdr>
        </w:div>
        <w:div w:id="1240142731">
          <w:marLeft w:val="0"/>
          <w:marRight w:val="0"/>
          <w:marTop w:val="0"/>
          <w:marBottom w:val="0"/>
          <w:divBdr>
            <w:top w:val="none" w:sz="0" w:space="0" w:color="auto"/>
            <w:left w:val="none" w:sz="0" w:space="0" w:color="auto"/>
            <w:bottom w:val="none" w:sz="0" w:space="0" w:color="auto"/>
            <w:right w:val="none" w:sz="0" w:space="0" w:color="auto"/>
          </w:divBdr>
        </w:div>
      </w:divsChild>
    </w:div>
    <w:div w:id="1094203141">
      <w:bodyDiv w:val="1"/>
      <w:marLeft w:val="0"/>
      <w:marRight w:val="0"/>
      <w:marTop w:val="0"/>
      <w:marBottom w:val="0"/>
      <w:divBdr>
        <w:top w:val="none" w:sz="0" w:space="0" w:color="auto"/>
        <w:left w:val="none" w:sz="0" w:space="0" w:color="auto"/>
        <w:bottom w:val="none" w:sz="0" w:space="0" w:color="auto"/>
        <w:right w:val="none" w:sz="0" w:space="0" w:color="auto"/>
      </w:divBdr>
      <w:divsChild>
        <w:div w:id="184027762">
          <w:marLeft w:val="0"/>
          <w:marRight w:val="0"/>
          <w:marTop w:val="0"/>
          <w:marBottom w:val="0"/>
          <w:divBdr>
            <w:top w:val="none" w:sz="0" w:space="0" w:color="auto"/>
            <w:left w:val="none" w:sz="0" w:space="0" w:color="auto"/>
            <w:bottom w:val="none" w:sz="0" w:space="0" w:color="auto"/>
            <w:right w:val="none" w:sz="0" w:space="0" w:color="auto"/>
          </w:divBdr>
        </w:div>
        <w:div w:id="1812478023">
          <w:marLeft w:val="0"/>
          <w:marRight w:val="0"/>
          <w:marTop w:val="0"/>
          <w:marBottom w:val="0"/>
          <w:divBdr>
            <w:top w:val="none" w:sz="0" w:space="0" w:color="auto"/>
            <w:left w:val="none" w:sz="0" w:space="0" w:color="auto"/>
            <w:bottom w:val="none" w:sz="0" w:space="0" w:color="auto"/>
            <w:right w:val="none" w:sz="0" w:space="0" w:color="auto"/>
          </w:divBdr>
          <w:divsChild>
            <w:div w:id="124590168">
              <w:marLeft w:val="0"/>
              <w:marRight w:val="0"/>
              <w:marTop w:val="0"/>
              <w:marBottom w:val="0"/>
              <w:divBdr>
                <w:top w:val="none" w:sz="0" w:space="0" w:color="auto"/>
                <w:left w:val="none" w:sz="0" w:space="0" w:color="auto"/>
                <w:bottom w:val="none" w:sz="0" w:space="0" w:color="auto"/>
                <w:right w:val="none" w:sz="0" w:space="0" w:color="auto"/>
              </w:divBdr>
            </w:div>
            <w:div w:id="170347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143642">
      <w:bodyDiv w:val="1"/>
      <w:marLeft w:val="0"/>
      <w:marRight w:val="0"/>
      <w:marTop w:val="0"/>
      <w:marBottom w:val="0"/>
      <w:divBdr>
        <w:top w:val="none" w:sz="0" w:space="0" w:color="auto"/>
        <w:left w:val="none" w:sz="0" w:space="0" w:color="auto"/>
        <w:bottom w:val="none" w:sz="0" w:space="0" w:color="auto"/>
        <w:right w:val="none" w:sz="0" w:space="0" w:color="auto"/>
      </w:divBdr>
      <w:divsChild>
        <w:div w:id="240919349">
          <w:marLeft w:val="0"/>
          <w:marRight w:val="0"/>
          <w:marTop w:val="0"/>
          <w:marBottom w:val="0"/>
          <w:divBdr>
            <w:top w:val="none" w:sz="0" w:space="0" w:color="auto"/>
            <w:left w:val="none" w:sz="0" w:space="0" w:color="auto"/>
            <w:bottom w:val="none" w:sz="0" w:space="0" w:color="auto"/>
            <w:right w:val="none" w:sz="0" w:space="0" w:color="auto"/>
          </w:divBdr>
        </w:div>
        <w:div w:id="885993899">
          <w:marLeft w:val="0"/>
          <w:marRight w:val="0"/>
          <w:marTop w:val="0"/>
          <w:marBottom w:val="0"/>
          <w:divBdr>
            <w:top w:val="none" w:sz="0" w:space="0" w:color="auto"/>
            <w:left w:val="none" w:sz="0" w:space="0" w:color="auto"/>
            <w:bottom w:val="none" w:sz="0" w:space="0" w:color="auto"/>
            <w:right w:val="none" w:sz="0" w:space="0" w:color="auto"/>
          </w:divBdr>
        </w:div>
        <w:div w:id="1002779149">
          <w:marLeft w:val="0"/>
          <w:marRight w:val="0"/>
          <w:marTop w:val="0"/>
          <w:marBottom w:val="0"/>
          <w:divBdr>
            <w:top w:val="none" w:sz="0" w:space="0" w:color="auto"/>
            <w:left w:val="none" w:sz="0" w:space="0" w:color="auto"/>
            <w:bottom w:val="none" w:sz="0" w:space="0" w:color="auto"/>
            <w:right w:val="none" w:sz="0" w:space="0" w:color="auto"/>
          </w:divBdr>
        </w:div>
      </w:divsChild>
    </w:div>
    <w:div w:id="1110320895">
      <w:bodyDiv w:val="1"/>
      <w:marLeft w:val="0"/>
      <w:marRight w:val="0"/>
      <w:marTop w:val="0"/>
      <w:marBottom w:val="0"/>
      <w:divBdr>
        <w:top w:val="none" w:sz="0" w:space="0" w:color="auto"/>
        <w:left w:val="none" w:sz="0" w:space="0" w:color="auto"/>
        <w:bottom w:val="none" w:sz="0" w:space="0" w:color="auto"/>
        <w:right w:val="none" w:sz="0" w:space="0" w:color="auto"/>
      </w:divBdr>
      <w:divsChild>
        <w:div w:id="1343585394">
          <w:marLeft w:val="0"/>
          <w:marRight w:val="0"/>
          <w:marTop w:val="0"/>
          <w:marBottom w:val="0"/>
          <w:divBdr>
            <w:top w:val="none" w:sz="0" w:space="0" w:color="auto"/>
            <w:left w:val="none" w:sz="0" w:space="0" w:color="auto"/>
            <w:bottom w:val="none" w:sz="0" w:space="0" w:color="auto"/>
            <w:right w:val="none" w:sz="0" w:space="0" w:color="auto"/>
          </w:divBdr>
        </w:div>
        <w:div w:id="1534727802">
          <w:marLeft w:val="0"/>
          <w:marRight w:val="0"/>
          <w:marTop w:val="0"/>
          <w:marBottom w:val="0"/>
          <w:divBdr>
            <w:top w:val="none" w:sz="0" w:space="0" w:color="auto"/>
            <w:left w:val="none" w:sz="0" w:space="0" w:color="auto"/>
            <w:bottom w:val="none" w:sz="0" w:space="0" w:color="auto"/>
            <w:right w:val="none" w:sz="0" w:space="0" w:color="auto"/>
          </w:divBdr>
        </w:div>
      </w:divsChild>
    </w:div>
    <w:div w:id="1131051432">
      <w:bodyDiv w:val="1"/>
      <w:marLeft w:val="0"/>
      <w:marRight w:val="0"/>
      <w:marTop w:val="0"/>
      <w:marBottom w:val="0"/>
      <w:divBdr>
        <w:top w:val="none" w:sz="0" w:space="0" w:color="auto"/>
        <w:left w:val="none" w:sz="0" w:space="0" w:color="auto"/>
        <w:bottom w:val="none" w:sz="0" w:space="0" w:color="auto"/>
        <w:right w:val="none" w:sz="0" w:space="0" w:color="auto"/>
      </w:divBdr>
    </w:div>
    <w:div w:id="1132208597">
      <w:bodyDiv w:val="1"/>
      <w:marLeft w:val="0"/>
      <w:marRight w:val="0"/>
      <w:marTop w:val="0"/>
      <w:marBottom w:val="0"/>
      <w:divBdr>
        <w:top w:val="none" w:sz="0" w:space="0" w:color="auto"/>
        <w:left w:val="none" w:sz="0" w:space="0" w:color="auto"/>
        <w:bottom w:val="none" w:sz="0" w:space="0" w:color="auto"/>
        <w:right w:val="none" w:sz="0" w:space="0" w:color="auto"/>
      </w:divBdr>
      <w:divsChild>
        <w:div w:id="243996035">
          <w:marLeft w:val="0"/>
          <w:marRight w:val="0"/>
          <w:marTop w:val="0"/>
          <w:marBottom w:val="0"/>
          <w:divBdr>
            <w:top w:val="none" w:sz="0" w:space="0" w:color="auto"/>
            <w:left w:val="none" w:sz="0" w:space="0" w:color="auto"/>
            <w:bottom w:val="none" w:sz="0" w:space="0" w:color="auto"/>
            <w:right w:val="none" w:sz="0" w:space="0" w:color="auto"/>
          </w:divBdr>
        </w:div>
        <w:div w:id="1087771588">
          <w:marLeft w:val="0"/>
          <w:marRight w:val="0"/>
          <w:marTop w:val="0"/>
          <w:marBottom w:val="0"/>
          <w:divBdr>
            <w:top w:val="none" w:sz="0" w:space="0" w:color="auto"/>
            <w:left w:val="none" w:sz="0" w:space="0" w:color="auto"/>
            <w:bottom w:val="none" w:sz="0" w:space="0" w:color="auto"/>
            <w:right w:val="none" w:sz="0" w:space="0" w:color="auto"/>
          </w:divBdr>
        </w:div>
      </w:divsChild>
    </w:div>
    <w:div w:id="1138692482">
      <w:bodyDiv w:val="1"/>
      <w:marLeft w:val="0"/>
      <w:marRight w:val="0"/>
      <w:marTop w:val="0"/>
      <w:marBottom w:val="0"/>
      <w:divBdr>
        <w:top w:val="none" w:sz="0" w:space="0" w:color="auto"/>
        <w:left w:val="none" w:sz="0" w:space="0" w:color="auto"/>
        <w:bottom w:val="none" w:sz="0" w:space="0" w:color="auto"/>
        <w:right w:val="none" w:sz="0" w:space="0" w:color="auto"/>
      </w:divBdr>
      <w:divsChild>
        <w:div w:id="385764861">
          <w:marLeft w:val="0"/>
          <w:marRight w:val="0"/>
          <w:marTop w:val="0"/>
          <w:marBottom w:val="0"/>
          <w:divBdr>
            <w:top w:val="none" w:sz="0" w:space="0" w:color="auto"/>
            <w:left w:val="none" w:sz="0" w:space="0" w:color="auto"/>
            <w:bottom w:val="none" w:sz="0" w:space="0" w:color="auto"/>
            <w:right w:val="none" w:sz="0" w:space="0" w:color="auto"/>
          </w:divBdr>
        </w:div>
        <w:div w:id="833684087">
          <w:marLeft w:val="0"/>
          <w:marRight w:val="0"/>
          <w:marTop w:val="0"/>
          <w:marBottom w:val="0"/>
          <w:divBdr>
            <w:top w:val="none" w:sz="0" w:space="0" w:color="auto"/>
            <w:left w:val="none" w:sz="0" w:space="0" w:color="auto"/>
            <w:bottom w:val="none" w:sz="0" w:space="0" w:color="auto"/>
            <w:right w:val="none" w:sz="0" w:space="0" w:color="auto"/>
          </w:divBdr>
        </w:div>
        <w:div w:id="1906140766">
          <w:marLeft w:val="0"/>
          <w:marRight w:val="0"/>
          <w:marTop w:val="0"/>
          <w:marBottom w:val="0"/>
          <w:divBdr>
            <w:top w:val="none" w:sz="0" w:space="0" w:color="auto"/>
            <w:left w:val="none" w:sz="0" w:space="0" w:color="auto"/>
            <w:bottom w:val="none" w:sz="0" w:space="0" w:color="auto"/>
            <w:right w:val="none" w:sz="0" w:space="0" w:color="auto"/>
          </w:divBdr>
        </w:div>
      </w:divsChild>
    </w:div>
    <w:div w:id="1141075889">
      <w:bodyDiv w:val="1"/>
      <w:marLeft w:val="0"/>
      <w:marRight w:val="0"/>
      <w:marTop w:val="0"/>
      <w:marBottom w:val="0"/>
      <w:divBdr>
        <w:top w:val="none" w:sz="0" w:space="0" w:color="auto"/>
        <w:left w:val="none" w:sz="0" w:space="0" w:color="auto"/>
        <w:bottom w:val="none" w:sz="0" w:space="0" w:color="auto"/>
        <w:right w:val="none" w:sz="0" w:space="0" w:color="auto"/>
      </w:divBdr>
      <w:divsChild>
        <w:div w:id="435440490">
          <w:marLeft w:val="0"/>
          <w:marRight w:val="0"/>
          <w:marTop w:val="0"/>
          <w:marBottom w:val="0"/>
          <w:divBdr>
            <w:top w:val="none" w:sz="0" w:space="0" w:color="auto"/>
            <w:left w:val="none" w:sz="0" w:space="0" w:color="auto"/>
            <w:bottom w:val="none" w:sz="0" w:space="0" w:color="auto"/>
            <w:right w:val="none" w:sz="0" w:space="0" w:color="auto"/>
          </w:divBdr>
        </w:div>
        <w:div w:id="449977060">
          <w:marLeft w:val="0"/>
          <w:marRight w:val="0"/>
          <w:marTop w:val="0"/>
          <w:marBottom w:val="0"/>
          <w:divBdr>
            <w:top w:val="none" w:sz="0" w:space="0" w:color="auto"/>
            <w:left w:val="none" w:sz="0" w:space="0" w:color="auto"/>
            <w:bottom w:val="none" w:sz="0" w:space="0" w:color="auto"/>
            <w:right w:val="none" w:sz="0" w:space="0" w:color="auto"/>
          </w:divBdr>
        </w:div>
        <w:div w:id="548954030">
          <w:marLeft w:val="0"/>
          <w:marRight w:val="0"/>
          <w:marTop w:val="0"/>
          <w:marBottom w:val="0"/>
          <w:divBdr>
            <w:top w:val="none" w:sz="0" w:space="0" w:color="auto"/>
            <w:left w:val="none" w:sz="0" w:space="0" w:color="auto"/>
            <w:bottom w:val="none" w:sz="0" w:space="0" w:color="auto"/>
            <w:right w:val="none" w:sz="0" w:space="0" w:color="auto"/>
          </w:divBdr>
        </w:div>
        <w:div w:id="1213661303">
          <w:marLeft w:val="0"/>
          <w:marRight w:val="0"/>
          <w:marTop w:val="0"/>
          <w:marBottom w:val="0"/>
          <w:divBdr>
            <w:top w:val="none" w:sz="0" w:space="0" w:color="auto"/>
            <w:left w:val="none" w:sz="0" w:space="0" w:color="auto"/>
            <w:bottom w:val="none" w:sz="0" w:space="0" w:color="auto"/>
            <w:right w:val="none" w:sz="0" w:space="0" w:color="auto"/>
          </w:divBdr>
        </w:div>
        <w:div w:id="1838693821">
          <w:marLeft w:val="0"/>
          <w:marRight w:val="0"/>
          <w:marTop w:val="0"/>
          <w:marBottom w:val="0"/>
          <w:divBdr>
            <w:top w:val="none" w:sz="0" w:space="0" w:color="auto"/>
            <w:left w:val="none" w:sz="0" w:space="0" w:color="auto"/>
            <w:bottom w:val="none" w:sz="0" w:space="0" w:color="auto"/>
            <w:right w:val="none" w:sz="0" w:space="0" w:color="auto"/>
          </w:divBdr>
        </w:div>
      </w:divsChild>
    </w:div>
    <w:div w:id="1148472068">
      <w:bodyDiv w:val="1"/>
      <w:marLeft w:val="0"/>
      <w:marRight w:val="0"/>
      <w:marTop w:val="0"/>
      <w:marBottom w:val="0"/>
      <w:divBdr>
        <w:top w:val="none" w:sz="0" w:space="0" w:color="auto"/>
        <w:left w:val="none" w:sz="0" w:space="0" w:color="auto"/>
        <w:bottom w:val="none" w:sz="0" w:space="0" w:color="auto"/>
        <w:right w:val="none" w:sz="0" w:space="0" w:color="auto"/>
      </w:divBdr>
      <w:divsChild>
        <w:div w:id="236869425">
          <w:marLeft w:val="274"/>
          <w:marRight w:val="0"/>
          <w:marTop w:val="0"/>
          <w:marBottom w:val="0"/>
          <w:divBdr>
            <w:top w:val="none" w:sz="0" w:space="0" w:color="auto"/>
            <w:left w:val="none" w:sz="0" w:space="0" w:color="auto"/>
            <w:bottom w:val="none" w:sz="0" w:space="0" w:color="auto"/>
            <w:right w:val="none" w:sz="0" w:space="0" w:color="auto"/>
          </w:divBdr>
        </w:div>
        <w:div w:id="480463316">
          <w:marLeft w:val="274"/>
          <w:marRight w:val="0"/>
          <w:marTop w:val="0"/>
          <w:marBottom w:val="0"/>
          <w:divBdr>
            <w:top w:val="none" w:sz="0" w:space="0" w:color="auto"/>
            <w:left w:val="none" w:sz="0" w:space="0" w:color="auto"/>
            <w:bottom w:val="none" w:sz="0" w:space="0" w:color="auto"/>
            <w:right w:val="none" w:sz="0" w:space="0" w:color="auto"/>
          </w:divBdr>
        </w:div>
        <w:div w:id="853954663">
          <w:marLeft w:val="274"/>
          <w:marRight w:val="0"/>
          <w:marTop w:val="0"/>
          <w:marBottom w:val="0"/>
          <w:divBdr>
            <w:top w:val="none" w:sz="0" w:space="0" w:color="auto"/>
            <w:left w:val="none" w:sz="0" w:space="0" w:color="auto"/>
            <w:bottom w:val="none" w:sz="0" w:space="0" w:color="auto"/>
            <w:right w:val="none" w:sz="0" w:space="0" w:color="auto"/>
          </w:divBdr>
        </w:div>
        <w:div w:id="989402963">
          <w:marLeft w:val="274"/>
          <w:marRight w:val="0"/>
          <w:marTop w:val="0"/>
          <w:marBottom w:val="0"/>
          <w:divBdr>
            <w:top w:val="none" w:sz="0" w:space="0" w:color="auto"/>
            <w:left w:val="none" w:sz="0" w:space="0" w:color="auto"/>
            <w:bottom w:val="none" w:sz="0" w:space="0" w:color="auto"/>
            <w:right w:val="none" w:sz="0" w:space="0" w:color="auto"/>
          </w:divBdr>
        </w:div>
        <w:div w:id="1040595951">
          <w:marLeft w:val="274"/>
          <w:marRight w:val="0"/>
          <w:marTop w:val="0"/>
          <w:marBottom w:val="0"/>
          <w:divBdr>
            <w:top w:val="none" w:sz="0" w:space="0" w:color="auto"/>
            <w:left w:val="none" w:sz="0" w:space="0" w:color="auto"/>
            <w:bottom w:val="none" w:sz="0" w:space="0" w:color="auto"/>
            <w:right w:val="none" w:sz="0" w:space="0" w:color="auto"/>
          </w:divBdr>
        </w:div>
        <w:div w:id="1098792088">
          <w:marLeft w:val="274"/>
          <w:marRight w:val="0"/>
          <w:marTop w:val="0"/>
          <w:marBottom w:val="0"/>
          <w:divBdr>
            <w:top w:val="none" w:sz="0" w:space="0" w:color="auto"/>
            <w:left w:val="none" w:sz="0" w:space="0" w:color="auto"/>
            <w:bottom w:val="none" w:sz="0" w:space="0" w:color="auto"/>
            <w:right w:val="none" w:sz="0" w:space="0" w:color="auto"/>
          </w:divBdr>
        </w:div>
        <w:div w:id="1906141396">
          <w:marLeft w:val="274"/>
          <w:marRight w:val="0"/>
          <w:marTop w:val="0"/>
          <w:marBottom w:val="0"/>
          <w:divBdr>
            <w:top w:val="none" w:sz="0" w:space="0" w:color="auto"/>
            <w:left w:val="none" w:sz="0" w:space="0" w:color="auto"/>
            <w:bottom w:val="none" w:sz="0" w:space="0" w:color="auto"/>
            <w:right w:val="none" w:sz="0" w:space="0" w:color="auto"/>
          </w:divBdr>
        </w:div>
        <w:div w:id="1956133359">
          <w:marLeft w:val="274"/>
          <w:marRight w:val="0"/>
          <w:marTop w:val="0"/>
          <w:marBottom w:val="0"/>
          <w:divBdr>
            <w:top w:val="none" w:sz="0" w:space="0" w:color="auto"/>
            <w:left w:val="none" w:sz="0" w:space="0" w:color="auto"/>
            <w:bottom w:val="none" w:sz="0" w:space="0" w:color="auto"/>
            <w:right w:val="none" w:sz="0" w:space="0" w:color="auto"/>
          </w:divBdr>
        </w:div>
        <w:div w:id="2016347936">
          <w:marLeft w:val="274"/>
          <w:marRight w:val="0"/>
          <w:marTop w:val="0"/>
          <w:marBottom w:val="0"/>
          <w:divBdr>
            <w:top w:val="none" w:sz="0" w:space="0" w:color="auto"/>
            <w:left w:val="none" w:sz="0" w:space="0" w:color="auto"/>
            <w:bottom w:val="none" w:sz="0" w:space="0" w:color="auto"/>
            <w:right w:val="none" w:sz="0" w:space="0" w:color="auto"/>
          </w:divBdr>
        </w:div>
        <w:div w:id="2125230443">
          <w:marLeft w:val="274"/>
          <w:marRight w:val="0"/>
          <w:marTop w:val="0"/>
          <w:marBottom w:val="0"/>
          <w:divBdr>
            <w:top w:val="none" w:sz="0" w:space="0" w:color="auto"/>
            <w:left w:val="none" w:sz="0" w:space="0" w:color="auto"/>
            <w:bottom w:val="none" w:sz="0" w:space="0" w:color="auto"/>
            <w:right w:val="none" w:sz="0" w:space="0" w:color="auto"/>
          </w:divBdr>
        </w:div>
      </w:divsChild>
    </w:div>
    <w:div w:id="1149593272">
      <w:bodyDiv w:val="1"/>
      <w:marLeft w:val="0"/>
      <w:marRight w:val="0"/>
      <w:marTop w:val="0"/>
      <w:marBottom w:val="0"/>
      <w:divBdr>
        <w:top w:val="none" w:sz="0" w:space="0" w:color="auto"/>
        <w:left w:val="none" w:sz="0" w:space="0" w:color="auto"/>
        <w:bottom w:val="none" w:sz="0" w:space="0" w:color="auto"/>
        <w:right w:val="none" w:sz="0" w:space="0" w:color="auto"/>
      </w:divBdr>
    </w:div>
    <w:div w:id="1153451861">
      <w:bodyDiv w:val="1"/>
      <w:marLeft w:val="0"/>
      <w:marRight w:val="0"/>
      <w:marTop w:val="0"/>
      <w:marBottom w:val="0"/>
      <w:divBdr>
        <w:top w:val="none" w:sz="0" w:space="0" w:color="auto"/>
        <w:left w:val="none" w:sz="0" w:space="0" w:color="auto"/>
        <w:bottom w:val="none" w:sz="0" w:space="0" w:color="auto"/>
        <w:right w:val="none" w:sz="0" w:space="0" w:color="auto"/>
      </w:divBdr>
      <w:divsChild>
        <w:div w:id="1260064788">
          <w:marLeft w:val="0"/>
          <w:marRight w:val="0"/>
          <w:marTop w:val="0"/>
          <w:marBottom w:val="0"/>
          <w:divBdr>
            <w:top w:val="none" w:sz="0" w:space="0" w:color="auto"/>
            <w:left w:val="none" w:sz="0" w:space="0" w:color="auto"/>
            <w:bottom w:val="none" w:sz="0" w:space="0" w:color="auto"/>
            <w:right w:val="none" w:sz="0" w:space="0" w:color="auto"/>
          </w:divBdr>
        </w:div>
        <w:div w:id="1684085995">
          <w:marLeft w:val="0"/>
          <w:marRight w:val="0"/>
          <w:marTop w:val="0"/>
          <w:marBottom w:val="0"/>
          <w:divBdr>
            <w:top w:val="none" w:sz="0" w:space="0" w:color="auto"/>
            <w:left w:val="none" w:sz="0" w:space="0" w:color="auto"/>
            <w:bottom w:val="none" w:sz="0" w:space="0" w:color="auto"/>
            <w:right w:val="none" w:sz="0" w:space="0" w:color="auto"/>
          </w:divBdr>
        </w:div>
        <w:div w:id="1815676661">
          <w:marLeft w:val="0"/>
          <w:marRight w:val="0"/>
          <w:marTop w:val="0"/>
          <w:marBottom w:val="0"/>
          <w:divBdr>
            <w:top w:val="none" w:sz="0" w:space="0" w:color="auto"/>
            <w:left w:val="none" w:sz="0" w:space="0" w:color="auto"/>
            <w:bottom w:val="none" w:sz="0" w:space="0" w:color="auto"/>
            <w:right w:val="none" w:sz="0" w:space="0" w:color="auto"/>
          </w:divBdr>
        </w:div>
      </w:divsChild>
    </w:div>
    <w:div w:id="1158769324">
      <w:bodyDiv w:val="1"/>
      <w:marLeft w:val="0"/>
      <w:marRight w:val="0"/>
      <w:marTop w:val="0"/>
      <w:marBottom w:val="0"/>
      <w:divBdr>
        <w:top w:val="none" w:sz="0" w:space="0" w:color="auto"/>
        <w:left w:val="none" w:sz="0" w:space="0" w:color="auto"/>
        <w:bottom w:val="none" w:sz="0" w:space="0" w:color="auto"/>
        <w:right w:val="none" w:sz="0" w:space="0" w:color="auto"/>
      </w:divBdr>
      <w:divsChild>
        <w:div w:id="2028367261">
          <w:marLeft w:val="0"/>
          <w:marRight w:val="0"/>
          <w:marTop w:val="0"/>
          <w:marBottom w:val="0"/>
          <w:divBdr>
            <w:top w:val="none" w:sz="0" w:space="0" w:color="auto"/>
            <w:left w:val="none" w:sz="0" w:space="0" w:color="auto"/>
            <w:bottom w:val="none" w:sz="0" w:space="0" w:color="auto"/>
            <w:right w:val="none" w:sz="0" w:space="0" w:color="auto"/>
          </w:divBdr>
          <w:divsChild>
            <w:div w:id="1539007845">
              <w:marLeft w:val="0"/>
              <w:marRight w:val="0"/>
              <w:marTop w:val="0"/>
              <w:marBottom w:val="0"/>
              <w:divBdr>
                <w:top w:val="none" w:sz="0" w:space="0" w:color="auto"/>
                <w:left w:val="none" w:sz="0" w:space="0" w:color="auto"/>
                <w:bottom w:val="none" w:sz="0" w:space="0" w:color="auto"/>
                <w:right w:val="none" w:sz="0" w:space="0" w:color="auto"/>
              </w:divBdr>
              <w:divsChild>
                <w:div w:id="172348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204176">
      <w:bodyDiv w:val="1"/>
      <w:marLeft w:val="0"/>
      <w:marRight w:val="0"/>
      <w:marTop w:val="0"/>
      <w:marBottom w:val="0"/>
      <w:divBdr>
        <w:top w:val="none" w:sz="0" w:space="0" w:color="auto"/>
        <w:left w:val="none" w:sz="0" w:space="0" w:color="auto"/>
        <w:bottom w:val="none" w:sz="0" w:space="0" w:color="auto"/>
        <w:right w:val="none" w:sz="0" w:space="0" w:color="auto"/>
      </w:divBdr>
    </w:div>
    <w:div w:id="1168135328">
      <w:bodyDiv w:val="1"/>
      <w:marLeft w:val="0"/>
      <w:marRight w:val="0"/>
      <w:marTop w:val="0"/>
      <w:marBottom w:val="0"/>
      <w:divBdr>
        <w:top w:val="none" w:sz="0" w:space="0" w:color="auto"/>
        <w:left w:val="none" w:sz="0" w:space="0" w:color="auto"/>
        <w:bottom w:val="none" w:sz="0" w:space="0" w:color="auto"/>
        <w:right w:val="none" w:sz="0" w:space="0" w:color="auto"/>
      </w:divBdr>
      <w:divsChild>
        <w:div w:id="22942442">
          <w:marLeft w:val="0"/>
          <w:marRight w:val="0"/>
          <w:marTop w:val="0"/>
          <w:marBottom w:val="0"/>
          <w:divBdr>
            <w:top w:val="none" w:sz="0" w:space="0" w:color="auto"/>
            <w:left w:val="none" w:sz="0" w:space="0" w:color="auto"/>
            <w:bottom w:val="none" w:sz="0" w:space="0" w:color="auto"/>
            <w:right w:val="none" w:sz="0" w:space="0" w:color="auto"/>
          </w:divBdr>
          <w:divsChild>
            <w:div w:id="34668687">
              <w:marLeft w:val="0"/>
              <w:marRight w:val="0"/>
              <w:marTop w:val="0"/>
              <w:marBottom w:val="0"/>
              <w:divBdr>
                <w:top w:val="none" w:sz="0" w:space="0" w:color="auto"/>
                <w:left w:val="none" w:sz="0" w:space="0" w:color="auto"/>
                <w:bottom w:val="none" w:sz="0" w:space="0" w:color="auto"/>
                <w:right w:val="none" w:sz="0" w:space="0" w:color="auto"/>
              </w:divBdr>
              <w:divsChild>
                <w:div w:id="1569534949">
                  <w:marLeft w:val="0"/>
                  <w:marRight w:val="0"/>
                  <w:marTop w:val="0"/>
                  <w:marBottom w:val="0"/>
                  <w:divBdr>
                    <w:top w:val="none" w:sz="0" w:space="0" w:color="auto"/>
                    <w:left w:val="none" w:sz="0" w:space="0" w:color="auto"/>
                    <w:bottom w:val="none" w:sz="0" w:space="0" w:color="auto"/>
                    <w:right w:val="none" w:sz="0" w:space="0" w:color="auto"/>
                  </w:divBdr>
                  <w:divsChild>
                    <w:div w:id="1731538649">
                      <w:marLeft w:val="0"/>
                      <w:marRight w:val="0"/>
                      <w:marTop w:val="0"/>
                      <w:marBottom w:val="0"/>
                      <w:divBdr>
                        <w:top w:val="none" w:sz="0" w:space="0" w:color="auto"/>
                        <w:left w:val="none" w:sz="0" w:space="0" w:color="auto"/>
                        <w:bottom w:val="none" w:sz="0" w:space="0" w:color="auto"/>
                        <w:right w:val="none" w:sz="0" w:space="0" w:color="auto"/>
                      </w:divBdr>
                      <w:divsChild>
                        <w:div w:id="564415603">
                          <w:marLeft w:val="0"/>
                          <w:marRight w:val="0"/>
                          <w:marTop w:val="0"/>
                          <w:marBottom w:val="0"/>
                          <w:divBdr>
                            <w:top w:val="none" w:sz="0" w:space="0" w:color="auto"/>
                            <w:left w:val="none" w:sz="0" w:space="0" w:color="auto"/>
                            <w:bottom w:val="none" w:sz="0" w:space="0" w:color="auto"/>
                            <w:right w:val="none" w:sz="0" w:space="0" w:color="auto"/>
                          </w:divBdr>
                          <w:divsChild>
                            <w:div w:id="1947883370">
                              <w:marLeft w:val="0"/>
                              <w:marRight w:val="0"/>
                              <w:marTop w:val="0"/>
                              <w:marBottom w:val="0"/>
                              <w:divBdr>
                                <w:top w:val="none" w:sz="0" w:space="0" w:color="auto"/>
                                <w:left w:val="none" w:sz="0" w:space="0" w:color="auto"/>
                                <w:bottom w:val="none" w:sz="0" w:space="0" w:color="auto"/>
                                <w:right w:val="none" w:sz="0" w:space="0" w:color="auto"/>
                              </w:divBdr>
                              <w:divsChild>
                                <w:div w:id="582185581">
                                  <w:marLeft w:val="0"/>
                                  <w:marRight w:val="0"/>
                                  <w:marTop w:val="0"/>
                                  <w:marBottom w:val="0"/>
                                  <w:divBdr>
                                    <w:top w:val="none" w:sz="0" w:space="0" w:color="auto"/>
                                    <w:left w:val="none" w:sz="0" w:space="0" w:color="auto"/>
                                    <w:bottom w:val="none" w:sz="0" w:space="0" w:color="auto"/>
                                    <w:right w:val="none" w:sz="0" w:space="0" w:color="auto"/>
                                  </w:divBdr>
                                  <w:divsChild>
                                    <w:div w:id="135141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161483">
          <w:marLeft w:val="0"/>
          <w:marRight w:val="0"/>
          <w:marTop w:val="0"/>
          <w:marBottom w:val="0"/>
          <w:divBdr>
            <w:top w:val="none" w:sz="0" w:space="0" w:color="auto"/>
            <w:left w:val="none" w:sz="0" w:space="0" w:color="auto"/>
            <w:bottom w:val="none" w:sz="0" w:space="0" w:color="auto"/>
            <w:right w:val="none" w:sz="0" w:space="0" w:color="auto"/>
          </w:divBdr>
          <w:divsChild>
            <w:div w:id="1657302601">
              <w:marLeft w:val="0"/>
              <w:marRight w:val="0"/>
              <w:marTop w:val="0"/>
              <w:marBottom w:val="0"/>
              <w:divBdr>
                <w:top w:val="none" w:sz="0" w:space="0" w:color="auto"/>
                <w:left w:val="none" w:sz="0" w:space="0" w:color="auto"/>
                <w:bottom w:val="none" w:sz="0" w:space="0" w:color="auto"/>
                <w:right w:val="none" w:sz="0" w:space="0" w:color="auto"/>
              </w:divBdr>
              <w:divsChild>
                <w:div w:id="2096047960">
                  <w:marLeft w:val="0"/>
                  <w:marRight w:val="0"/>
                  <w:marTop w:val="0"/>
                  <w:marBottom w:val="0"/>
                  <w:divBdr>
                    <w:top w:val="none" w:sz="0" w:space="0" w:color="auto"/>
                    <w:left w:val="none" w:sz="0" w:space="0" w:color="auto"/>
                    <w:bottom w:val="none" w:sz="0" w:space="0" w:color="auto"/>
                    <w:right w:val="none" w:sz="0" w:space="0" w:color="auto"/>
                  </w:divBdr>
                  <w:divsChild>
                    <w:div w:id="1266040206">
                      <w:marLeft w:val="0"/>
                      <w:marRight w:val="0"/>
                      <w:marTop w:val="0"/>
                      <w:marBottom w:val="0"/>
                      <w:divBdr>
                        <w:top w:val="none" w:sz="0" w:space="0" w:color="auto"/>
                        <w:left w:val="none" w:sz="0" w:space="0" w:color="auto"/>
                        <w:bottom w:val="none" w:sz="0" w:space="0" w:color="auto"/>
                        <w:right w:val="none" w:sz="0" w:space="0" w:color="auto"/>
                      </w:divBdr>
                      <w:divsChild>
                        <w:div w:id="1314027183">
                          <w:marLeft w:val="0"/>
                          <w:marRight w:val="0"/>
                          <w:marTop w:val="0"/>
                          <w:marBottom w:val="0"/>
                          <w:divBdr>
                            <w:top w:val="none" w:sz="0" w:space="0" w:color="auto"/>
                            <w:left w:val="none" w:sz="0" w:space="0" w:color="auto"/>
                            <w:bottom w:val="none" w:sz="0" w:space="0" w:color="auto"/>
                            <w:right w:val="none" w:sz="0" w:space="0" w:color="auto"/>
                          </w:divBdr>
                          <w:divsChild>
                            <w:div w:id="73296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6760212">
          <w:marLeft w:val="0"/>
          <w:marRight w:val="0"/>
          <w:marTop w:val="0"/>
          <w:marBottom w:val="0"/>
          <w:divBdr>
            <w:top w:val="none" w:sz="0" w:space="0" w:color="auto"/>
            <w:left w:val="none" w:sz="0" w:space="0" w:color="auto"/>
            <w:bottom w:val="none" w:sz="0" w:space="0" w:color="auto"/>
            <w:right w:val="none" w:sz="0" w:space="0" w:color="auto"/>
          </w:divBdr>
          <w:divsChild>
            <w:div w:id="665472279">
              <w:marLeft w:val="0"/>
              <w:marRight w:val="0"/>
              <w:marTop w:val="0"/>
              <w:marBottom w:val="0"/>
              <w:divBdr>
                <w:top w:val="none" w:sz="0" w:space="0" w:color="auto"/>
                <w:left w:val="none" w:sz="0" w:space="0" w:color="auto"/>
                <w:bottom w:val="none" w:sz="0" w:space="0" w:color="auto"/>
                <w:right w:val="none" w:sz="0" w:space="0" w:color="auto"/>
              </w:divBdr>
              <w:divsChild>
                <w:div w:id="801965217">
                  <w:marLeft w:val="0"/>
                  <w:marRight w:val="0"/>
                  <w:marTop w:val="0"/>
                  <w:marBottom w:val="0"/>
                  <w:divBdr>
                    <w:top w:val="none" w:sz="0" w:space="0" w:color="auto"/>
                    <w:left w:val="none" w:sz="0" w:space="0" w:color="auto"/>
                    <w:bottom w:val="none" w:sz="0" w:space="0" w:color="auto"/>
                    <w:right w:val="none" w:sz="0" w:space="0" w:color="auto"/>
                  </w:divBdr>
                  <w:divsChild>
                    <w:div w:id="1789012386">
                      <w:marLeft w:val="0"/>
                      <w:marRight w:val="0"/>
                      <w:marTop w:val="0"/>
                      <w:marBottom w:val="0"/>
                      <w:divBdr>
                        <w:top w:val="none" w:sz="0" w:space="0" w:color="auto"/>
                        <w:left w:val="none" w:sz="0" w:space="0" w:color="auto"/>
                        <w:bottom w:val="none" w:sz="0" w:space="0" w:color="auto"/>
                        <w:right w:val="none" w:sz="0" w:space="0" w:color="auto"/>
                      </w:divBdr>
                      <w:divsChild>
                        <w:div w:id="2105495991">
                          <w:marLeft w:val="0"/>
                          <w:marRight w:val="0"/>
                          <w:marTop w:val="0"/>
                          <w:marBottom w:val="0"/>
                          <w:divBdr>
                            <w:top w:val="none" w:sz="0" w:space="0" w:color="auto"/>
                            <w:left w:val="none" w:sz="0" w:space="0" w:color="auto"/>
                            <w:bottom w:val="none" w:sz="0" w:space="0" w:color="auto"/>
                            <w:right w:val="none" w:sz="0" w:space="0" w:color="auto"/>
                          </w:divBdr>
                          <w:divsChild>
                            <w:div w:id="64018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859029">
          <w:marLeft w:val="0"/>
          <w:marRight w:val="0"/>
          <w:marTop w:val="0"/>
          <w:marBottom w:val="0"/>
          <w:divBdr>
            <w:top w:val="none" w:sz="0" w:space="0" w:color="auto"/>
            <w:left w:val="none" w:sz="0" w:space="0" w:color="auto"/>
            <w:bottom w:val="none" w:sz="0" w:space="0" w:color="auto"/>
            <w:right w:val="none" w:sz="0" w:space="0" w:color="auto"/>
          </w:divBdr>
          <w:divsChild>
            <w:div w:id="1903364331">
              <w:marLeft w:val="0"/>
              <w:marRight w:val="0"/>
              <w:marTop w:val="0"/>
              <w:marBottom w:val="0"/>
              <w:divBdr>
                <w:top w:val="none" w:sz="0" w:space="0" w:color="auto"/>
                <w:left w:val="none" w:sz="0" w:space="0" w:color="auto"/>
                <w:bottom w:val="none" w:sz="0" w:space="0" w:color="auto"/>
                <w:right w:val="none" w:sz="0" w:space="0" w:color="auto"/>
              </w:divBdr>
              <w:divsChild>
                <w:div w:id="1956521446">
                  <w:marLeft w:val="0"/>
                  <w:marRight w:val="0"/>
                  <w:marTop w:val="0"/>
                  <w:marBottom w:val="0"/>
                  <w:divBdr>
                    <w:top w:val="none" w:sz="0" w:space="0" w:color="auto"/>
                    <w:left w:val="none" w:sz="0" w:space="0" w:color="auto"/>
                    <w:bottom w:val="none" w:sz="0" w:space="0" w:color="auto"/>
                    <w:right w:val="none" w:sz="0" w:space="0" w:color="auto"/>
                  </w:divBdr>
                  <w:divsChild>
                    <w:div w:id="1431777123">
                      <w:marLeft w:val="0"/>
                      <w:marRight w:val="0"/>
                      <w:marTop w:val="0"/>
                      <w:marBottom w:val="0"/>
                      <w:divBdr>
                        <w:top w:val="none" w:sz="0" w:space="0" w:color="auto"/>
                        <w:left w:val="none" w:sz="0" w:space="0" w:color="auto"/>
                        <w:bottom w:val="none" w:sz="0" w:space="0" w:color="auto"/>
                        <w:right w:val="none" w:sz="0" w:space="0" w:color="auto"/>
                      </w:divBdr>
                      <w:divsChild>
                        <w:div w:id="1737586792">
                          <w:marLeft w:val="0"/>
                          <w:marRight w:val="0"/>
                          <w:marTop w:val="0"/>
                          <w:marBottom w:val="0"/>
                          <w:divBdr>
                            <w:top w:val="none" w:sz="0" w:space="0" w:color="auto"/>
                            <w:left w:val="none" w:sz="0" w:space="0" w:color="auto"/>
                            <w:bottom w:val="none" w:sz="0" w:space="0" w:color="auto"/>
                            <w:right w:val="none" w:sz="0" w:space="0" w:color="auto"/>
                          </w:divBdr>
                          <w:divsChild>
                            <w:div w:id="185680480">
                              <w:marLeft w:val="0"/>
                              <w:marRight w:val="0"/>
                              <w:marTop w:val="0"/>
                              <w:marBottom w:val="0"/>
                              <w:divBdr>
                                <w:top w:val="none" w:sz="0" w:space="0" w:color="auto"/>
                                <w:left w:val="none" w:sz="0" w:space="0" w:color="auto"/>
                                <w:bottom w:val="none" w:sz="0" w:space="0" w:color="auto"/>
                                <w:right w:val="none" w:sz="0" w:space="0" w:color="auto"/>
                              </w:divBdr>
                              <w:divsChild>
                                <w:div w:id="67634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749257">
          <w:marLeft w:val="0"/>
          <w:marRight w:val="0"/>
          <w:marTop w:val="0"/>
          <w:marBottom w:val="0"/>
          <w:divBdr>
            <w:top w:val="none" w:sz="0" w:space="0" w:color="auto"/>
            <w:left w:val="none" w:sz="0" w:space="0" w:color="auto"/>
            <w:bottom w:val="none" w:sz="0" w:space="0" w:color="auto"/>
            <w:right w:val="none" w:sz="0" w:space="0" w:color="auto"/>
          </w:divBdr>
          <w:divsChild>
            <w:div w:id="900487189">
              <w:marLeft w:val="0"/>
              <w:marRight w:val="0"/>
              <w:marTop w:val="0"/>
              <w:marBottom w:val="0"/>
              <w:divBdr>
                <w:top w:val="none" w:sz="0" w:space="0" w:color="auto"/>
                <w:left w:val="none" w:sz="0" w:space="0" w:color="auto"/>
                <w:bottom w:val="none" w:sz="0" w:space="0" w:color="auto"/>
                <w:right w:val="none" w:sz="0" w:space="0" w:color="auto"/>
              </w:divBdr>
              <w:divsChild>
                <w:div w:id="469250797">
                  <w:marLeft w:val="0"/>
                  <w:marRight w:val="0"/>
                  <w:marTop w:val="0"/>
                  <w:marBottom w:val="0"/>
                  <w:divBdr>
                    <w:top w:val="none" w:sz="0" w:space="0" w:color="auto"/>
                    <w:left w:val="none" w:sz="0" w:space="0" w:color="auto"/>
                    <w:bottom w:val="none" w:sz="0" w:space="0" w:color="auto"/>
                    <w:right w:val="none" w:sz="0" w:space="0" w:color="auto"/>
                  </w:divBdr>
                  <w:divsChild>
                    <w:div w:id="599412328">
                      <w:marLeft w:val="0"/>
                      <w:marRight w:val="0"/>
                      <w:marTop w:val="0"/>
                      <w:marBottom w:val="0"/>
                      <w:divBdr>
                        <w:top w:val="none" w:sz="0" w:space="0" w:color="auto"/>
                        <w:left w:val="none" w:sz="0" w:space="0" w:color="auto"/>
                        <w:bottom w:val="none" w:sz="0" w:space="0" w:color="auto"/>
                        <w:right w:val="none" w:sz="0" w:space="0" w:color="auto"/>
                      </w:divBdr>
                      <w:divsChild>
                        <w:div w:id="515852057">
                          <w:marLeft w:val="0"/>
                          <w:marRight w:val="0"/>
                          <w:marTop w:val="0"/>
                          <w:marBottom w:val="0"/>
                          <w:divBdr>
                            <w:top w:val="none" w:sz="0" w:space="0" w:color="auto"/>
                            <w:left w:val="none" w:sz="0" w:space="0" w:color="auto"/>
                            <w:bottom w:val="none" w:sz="0" w:space="0" w:color="auto"/>
                            <w:right w:val="none" w:sz="0" w:space="0" w:color="auto"/>
                          </w:divBdr>
                          <w:divsChild>
                            <w:div w:id="82077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764971">
          <w:marLeft w:val="0"/>
          <w:marRight w:val="0"/>
          <w:marTop w:val="0"/>
          <w:marBottom w:val="0"/>
          <w:divBdr>
            <w:top w:val="none" w:sz="0" w:space="0" w:color="auto"/>
            <w:left w:val="none" w:sz="0" w:space="0" w:color="auto"/>
            <w:bottom w:val="none" w:sz="0" w:space="0" w:color="auto"/>
            <w:right w:val="none" w:sz="0" w:space="0" w:color="auto"/>
          </w:divBdr>
          <w:divsChild>
            <w:div w:id="1853257972">
              <w:marLeft w:val="0"/>
              <w:marRight w:val="0"/>
              <w:marTop w:val="0"/>
              <w:marBottom w:val="0"/>
              <w:divBdr>
                <w:top w:val="none" w:sz="0" w:space="0" w:color="auto"/>
                <w:left w:val="none" w:sz="0" w:space="0" w:color="auto"/>
                <w:bottom w:val="none" w:sz="0" w:space="0" w:color="auto"/>
                <w:right w:val="none" w:sz="0" w:space="0" w:color="auto"/>
              </w:divBdr>
              <w:divsChild>
                <w:div w:id="1396777349">
                  <w:marLeft w:val="0"/>
                  <w:marRight w:val="0"/>
                  <w:marTop w:val="0"/>
                  <w:marBottom w:val="0"/>
                  <w:divBdr>
                    <w:top w:val="none" w:sz="0" w:space="0" w:color="auto"/>
                    <w:left w:val="none" w:sz="0" w:space="0" w:color="auto"/>
                    <w:bottom w:val="none" w:sz="0" w:space="0" w:color="auto"/>
                    <w:right w:val="none" w:sz="0" w:space="0" w:color="auto"/>
                  </w:divBdr>
                  <w:divsChild>
                    <w:div w:id="237373776">
                      <w:marLeft w:val="0"/>
                      <w:marRight w:val="0"/>
                      <w:marTop w:val="0"/>
                      <w:marBottom w:val="0"/>
                      <w:divBdr>
                        <w:top w:val="none" w:sz="0" w:space="0" w:color="auto"/>
                        <w:left w:val="none" w:sz="0" w:space="0" w:color="auto"/>
                        <w:bottom w:val="none" w:sz="0" w:space="0" w:color="auto"/>
                        <w:right w:val="none" w:sz="0" w:space="0" w:color="auto"/>
                      </w:divBdr>
                      <w:divsChild>
                        <w:div w:id="776633690">
                          <w:marLeft w:val="0"/>
                          <w:marRight w:val="0"/>
                          <w:marTop w:val="0"/>
                          <w:marBottom w:val="0"/>
                          <w:divBdr>
                            <w:top w:val="none" w:sz="0" w:space="0" w:color="auto"/>
                            <w:left w:val="none" w:sz="0" w:space="0" w:color="auto"/>
                            <w:bottom w:val="none" w:sz="0" w:space="0" w:color="auto"/>
                            <w:right w:val="none" w:sz="0" w:space="0" w:color="auto"/>
                          </w:divBdr>
                          <w:divsChild>
                            <w:div w:id="1160778130">
                              <w:marLeft w:val="0"/>
                              <w:marRight w:val="0"/>
                              <w:marTop w:val="0"/>
                              <w:marBottom w:val="0"/>
                              <w:divBdr>
                                <w:top w:val="none" w:sz="0" w:space="0" w:color="auto"/>
                                <w:left w:val="none" w:sz="0" w:space="0" w:color="auto"/>
                                <w:bottom w:val="none" w:sz="0" w:space="0" w:color="auto"/>
                                <w:right w:val="none" w:sz="0" w:space="0" w:color="auto"/>
                              </w:divBdr>
                              <w:divsChild>
                                <w:div w:id="117742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524059">
      <w:bodyDiv w:val="1"/>
      <w:marLeft w:val="0"/>
      <w:marRight w:val="0"/>
      <w:marTop w:val="0"/>
      <w:marBottom w:val="0"/>
      <w:divBdr>
        <w:top w:val="none" w:sz="0" w:space="0" w:color="auto"/>
        <w:left w:val="none" w:sz="0" w:space="0" w:color="auto"/>
        <w:bottom w:val="none" w:sz="0" w:space="0" w:color="auto"/>
        <w:right w:val="none" w:sz="0" w:space="0" w:color="auto"/>
      </w:divBdr>
    </w:div>
    <w:div w:id="1175455834">
      <w:bodyDiv w:val="1"/>
      <w:marLeft w:val="0"/>
      <w:marRight w:val="0"/>
      <w:marTop w:val="0"/>
      <w:marBottom w:val="0"/>
      <w:divBdr>
        <w:top w:val="none" w:sz="0" w:space="0" w:color="auto"/>
        <w:left w:val="none" w:sz="0" w:space="0" w:color="auto"/>
        <w:bottom w:val="none" w:sz="0" w:space="0" w:color="auto"/>
        <w:right w:val="none" w:sz="0" w:space="0" w:color="auto"/>
      </w:divBdr>
      <w:divsChild>
        <w:div w:id="539514391">
          <w:marLeft w:val="0"/>
          <w:marRight w:val="0"/>
          <w:marTop w:val="0"/>
          <w:marBottom w:val="0"/>
          <w:divBdr>
            <w:top w:val="none" w:sz="0" w:space="0" w:color="auto"/>
            <w:left w:val="none" w:sz="0" w:space="0" w:color="auto"/>
            <w:bottom w:val="none" w:sz="0" w:space="0" w:color="auto"/>
            <w:right w:val="none" w:sz="0" w:space="0" w:color="auto"/>
          </w:divBdr>
        </w:div>
        <w:div w:id="987975581">
          <w:marLeft w:val="0"/>
          <w:marRight w:val="0"/>
          <w:marTop w:val="0"/>
          <w:marBottom w:val="0"/>
          <w:divBdr>
            <w:top w:val="none" w:sz="0" w:space="0" w:color="auto"/>
            <w:left w:val="none" w:sz="0" w:space="0" w:color="auto"/>
            <w:bottom w:val="none" w:sz="0" w:space="0" w:color="auto"/>
            <w:right w:val="none" w:sz="0" w:space="0" w:color="auto"/>
          </w:divBdr>
        </w:div>
        <w:div w:id="1816991413">
          <w:marLeft w:val="0"/>
          <w:marRight w:val="0"/>
          <w:marTop w:val="0"/>
          <w:marBottom w:val="0"/>
          <w:divBdr>
            <w:top w:val="none" w:sz="0" w:space="0" w:color="auto"/>
            <w:left w:val="none" w:sz="0" w:space="0" w:color="auto"/>
            <w:bottom w:val="none" w:sz="0" w:space="0" w:color="auto"/>
            <w:right w:val="none" w:sz="0" w:space="0" w:color="auto"/>
          </w:divBdr>
        </w:div>
      </w:divsChild>
    </w:div>
    <w:div w:id="1176190250">
      <w:bodyDiv w:val="1"/>
      <w:marLeft w:val="0"/>
      <w:marRight w:val="0"/>
      <w:marTop w:val="0"/>
      <w:marBottom w:val="0"/>
      <w:divBdr>
        <w:top w:val="none" w:sz="0" w:space="0" w:color="auto"/>
        <w:left w:val="none" w:sz="0" w:space="0" w:color="auto"/>
        <w:bottom w:val="none" w:sz="0" w:space="0" w:color="auto"/>
        <w:right w:val="none" w:sz="0" w:space="0" w:color="auto"/>
      </w:divBdr>
    </w:div>
    <w:div w:id="1180119192">
      <w:bodyDiv w:val="1"/>
      <w:marLeft w:val="0"/>
      <w:marRight w:val="0"/>
      <w:marTop w:val="0"/>
      <w:marBottom w:val="0"/>
      <w:divBdr>
        <w:top w:val="none" w:sz="0" w:space="0" w:color="auto"/>
        <w:left w:val="none" w:sz="0" w:space="0" w:color="auto"/>
        <w:bottom w:val="none" w:sz="0" w:space="0" w:color="auto"/>
        <w:right w:val="none" w:sz="0" w:space="0" w:color="auto"/>
      </w:divBdr>
      <w:divsChild>
        <w:div w:id="1791779187">
          <w:marLeft w:val="994"/>
          <w:marRight w:val="0"/>
          <w:marTop w:val="0"/>
          <w:marBottom w:val="0"/>
          <w:divBdr>
            <w:top w:val="none" w:sz="0" w:space="0" w:color="auto"/>
            <w:left w:val="none" w:sz="0" w:space="0" w:color="auto"/>
            <w:bottom w:val="none" w:sz="0" w:space="0" w:color="auto"/>
            <w:right w:val="none" w:sz="0" w:space="0" w:color="auto"/>
          </w:divBdr>
        </w:div>
        <w:div w:id="2139374668">
          <w:marLeft w:val="994"/>
          <w:marRight w:val="0"/>
          <w:marTop w:val="0"/>
          <w:marBottom w:val="0"/>
          <w:divBdr>
            <w:top w:val="none" w:sz="0" w:space="0" w:color="auto"/>
            <w:left w:val="none" w:sz="0" w:space="0" w:color="auto"/>
            <w:bottom w:val="none" w:sz="0" w:space="0" w:color="auto"/>
            <w:right w:val="none" w:sz="0" w:space="0" w:color="auto"/>
          </w:divBdr>
        </w:div>
      </w:divsChild>
    </w:div>
    <w:div w:id="1187718912">
      <w:bodyDiv w:val="1"/>
      <w:marLeft w:val="0"/>
      <w:marRight w:val="0"/>
      <w:marTop w:val="0"/>
      <w:marBottom w:val="0"/>
      <w:divBdr>
        <w:top w:val="none" w:sz="0" w:space="0" w:color="auto"/>
        <w:left w:val="none" w:sz="0" w:space="0" w:color="auto"/>
        <w:bottom w:val="none" w:sz="0" w:space="0" w:color="auto"/>
        <w:right w:val="none" w:sz="0" w:space="0" w:color="auto"/>
      </w:divBdr>
      <w:divsChild>
        <w:div w:id="258100041">
          <w:marLeft w:val="274"/>
          <w:marRight w:val="0"/>
          <w:marTop w:val="0"/>
          <w:marBottom w:val="0"/>
          <w:divBdr>
            <w:top w:val="none" w:sz="0" w:space="0" w:color="auto"/>
            <w:left w:val="none" w:sz="0" w:space="0" w:color="auto"/>
            <w:bottom w:val="none" w:sz="0" w:space="0" w:color="auto"/>
            <w:right w:val="none" w:sz="0" w:space="0" w:color="auto"/>
          </w:divBdr>
        </w:div>
        <w:div w:id="286549749">
          <w:marLeft w:val="274"/>
          <w:marRight w:val="0"/>
          <w:marTop w:val="0"/>
          <w:marBottom w:val="0"/>
          <w:divBdr>
            <w:top w:val="none" w:sz="0" w:space="0" w:color="auto"/>
            <w:left w:val="none" w:sz="0" w:space="0" w:color="auto"/>
            <w:bottom w:val="none" w:sz="0" w:space="0" w:color="auto"/>
            <w:right w:val="none" w:sz="0" w:space="0" w:color="auto"/>
          </w:divBdr>
        </w:div>
        <w:div w:id="304742910">
          <w:marLeft w:val="274"/>
          <w:marRight w:val="0"/>
          <w:marTop w:val="86"/>
          <w:marBottom w:val="0"/>
          <w:divBdr>
            <w:top w:val="none" w:sz="0" w:space="0" w:color="auto"/>
            <w:left w:val="none" w:sz="0" w:space="0" w:color="auto"/>
            <w:bottom w:val="none" w:sz="0" w:space="0" w:color="auto"/>
            <w:right w:val="none" w:sz="0" w:space="0" w:color="auto"/>
          </w:divBdr>
        </w:div>
        <w:div w:id="500899677">
          <w:marLeft w:val="274"/>
          <w:marRight w:val="0"/>
          <w:marTop w:val="0"/>
          <w:marBottom w:val="0"/>
          <w:divBdr>
            <w:top w:val="none" w:sz="0" w:space="0" w:color="auto"/>
            <w:left w:val="none" w:sz="0" w:space="0" w:color="auto"/>
            <w:bottom w:val="none" w:sz="0" w:space="0" w:color="auto"/>
            <w:right w:val="none" w:sz="0" w:space="0" w:color="auto"/>
          </w:divBdr>
        </w:div>
        <w:div w:id="668680057">
          <w:marLeft w:val="274"/>
          <w:marRight w:val="0"/>
          <w:marTop w:val="86"/>
          <w:marBottom w:val="0"/>
          <w:divBdr>
            <w:top w:val="none" w:sz="0" w:space="0" w:color="auto"/>
            <w:left w:val="none" w:sz="0" w:space="0" w:color="auto"/>
            <w:bottom w:val="none" w:sz="0" w:space="0" w:color="auto"/>
            <w:right w:val="none" w:sz="0" w:space="0" w:color="auto"/>
          </w:divBdr>
        </w:div>
        <w:div w:id="827987297">
          <w:marLeft w:val="274"/>
          <w:marRight w:val="0"/>
          <w:marTop w:val="86"/>
          <w:marBottom w:val="0"/>
          <w:divBdr>
            <w:top w:val="none" w:sz="0" w:space="0" w:color="auto"/>
            <w:left w:val="none" w:sz="0" w:space="0" w:color="auto"/>
            <w:bottom w:val="none" w:sz="0" w:space="0" w:color="auto"/>
            <w:right w:val="none" w:sz="0" w:space="0" w:color="auto"/>
          </w:divBdr>
        </w:div>
        <w:div w:id="881790675">
          <w:marLeft w:val="274"/>
          <w:marRight w:val="0"/>
          <w:marTop w:val="86"/>
          <w:marBottom w:val="0"/>
          <w:divBdr>
            <w:top w:val="none" w:sz="0" w:space="0" w:color="auto"/>
            <w:left w:val="none" w:sz="0" w:space="0" w:color="auto"/>
            <w:bottom w:val="none" w:sz="0" w:space="0" w:color="auto"/>
            <w:right w:val="none" w:sz="0" w:space="0" w:color="auto"/>
          </w:divBdr>
        </w:div>
        <w:div w:id="1075667543">
          <w:marLeft w:val="274"/>
          <w:marRight w:val="0"/>
          <w:marTop w:val="0"/>
          <w:marBottom w:val="0"/>
          <w:divBdr>
            <w:top w:val="none" w:sz="0" w:space="0" w:color="auto"/>
            <w:left w:val="none" w:sz="0" w:space="0" w:color="auto"/>
            <w:bottom w:val="none" w:sz="0" w:space="0" w:color="auto"/>
            <w:right w:val="none" w:sz="0" w:space="0" w:color="auto"/>
          </w:divBdr>
        </w:div>
        <w:div w:id="1371491901">
          <w:marLeft w:val="274"/>
          <w:marRight w:val="0"/>
          <w:marTop w:val="0"/>
          <w:marBottom w:val="0"/>
          <w:divBdr>
            <w:top w:val="none" w:sz="0" w:space="0" w:color="auto"/>
            <w:left w:val="none" w:sz="0" w:space="0" w:color="auto"/>
            <w:bottom w:val="none" w:sz="0" w:space="0" w:color="auto"/>
            <w:right w:val="none" w:sz="0" w:space="0" w:color="auto"/>
          </w:divBdr>
        </w:div>
        <w:div w:id="1707946474">
          <w:marLeft w:val="274"/>
          <w:marRight w:val="0"/>
          <w:marTop w:val="0"/>
          <w:marBottom w:val="0"/>
          <w:divBdr>
            <w:top w:val="none" w:sz="0" w:space="0" w:color="auto"/>
            <w:left w:val="none" w:sz="0" w:space="0" w:color="auto"/>
            <w:bottom w:val="none" w:sz="0" w:space="0" w:color="auto"/>
            <w:right w:val="none" w:sz="0" w:space="0" w:color="auto"/>
          </w:divBdr>
        </w:div>
        <w:div w:id="2069188669">
          <w:marLeft w:val="274"/>
          <w:marRight w:val="0"/>
          <w:marTop w:val="0"/>
          <w:marBottom w:val="0"/>
          <w:divBdr>
            <w:top w:val="none" w:sz="0" w:space="0" w:color="auto"/>
            <w:left w:val="none" w:sz="0" w:space="0" w:color="auto"/>
            <w:bottom w:val="none" w:sz="0" w:space="0" w:color="auto"/>
            <w:right w:val="none" w:sz="0" w:space="0" w:color="auto"/>
          </w:divBdr>
        </w:div>
      </w:divsChild>
    </w:div>
    <w:div w:id="1194656579">
      <w:bodyDiv w:val="1"/>
      <w:marLeft w:val="0"/>
      <w:marRight w:val="0"/>
      <w:marTop w:val="0"/>
      <w:marBottom w:val="0"/>
      <w:divBdr>
        <w:top w:val="none" w:sz="0" w:space="0" w:color="auto"/>
        <w:left w:val="none" w:sz="0" w:space="0" w:color="auto"/>
        <w:bottom w:val="none" w:sz="0" w:space="0" w:color="auto"/>
        <w:right w:val="none" w:sz="0" w:space="0" w:color="auto"/>
      </w:divBdr>
    </w:div>
    <w:div w:id="1203901755">
      <w:bodyDiv w:val="1"/>
      <w:marLeft w:val="0"/>
      <w:marRight w:val="0"/>
      <w:marTop w:val="0"/>
      <w:marBottom w:val="0"/>
      <w:divBdr>
        <w:top w:val="none" w:sz="0" w:space="0" w:color="auto"/>
        <w:left w:val="none" w:sz="0" w:space="0" w:color="auto"/>
        <w:bottom w:val="none" w:sz="0" w:space="0" w:color="auto"/>
        <w:right w:val="none" w:sz="0" w:space="0" w:color="auto"/>
      </w:divBdr>
      <w:divsChild>
        <w:div w:id="219753051">
          <w:marLeft w:val="0"/>
          <w:marRight w:val="0"/>
          <w:marTop w:val="0"/>
          <w:marBottom w:val="0"/>
          <w:divBdr>
            <w:top w:val="none" w:sz="0" w:space="0" w:color="auto"/>
            <w:left w:val="none" w:sz="0" w:space="0" w:color="auto"/>
            <w:bottom w:val="none" w:sz="0" w:space="0" w:color="auto"/>
            <w:right w:val="none" w:sz="0" w:space="0" w:color="auto"/>
          </w:divBdr>
        </w:div>
        <w:div w:id="1799177457">
          <w:marLeft w:val="0"/>
          <w:marRight w:val="0"/>
          <w:marTop w:val="0"/>
          <w:marBottom w:val="0"/>
          <w:divBdr>
            <w:top w:val="none" w:sz="0" w:space="0" w:color="auto"/>
            <w:left w:val="none" w:sz="0" w:space="0" w:color="auto"/>
            <w:bottom w:val="none" w:sz="0" w:space="0" w:color="auto"/>
            <w:right w:val="none" w:sz="0" w:space="0" w:color="auto"/>
          </w:divBdr>
        </w:div>
      </w:divsChild>
    </w:div>
    <w:div w:id="1216116029">
      <w:bodyDiv w:val="1"/>
      <w:marLeft w:val="0"/>
      <w:marRight w:val="0"/>
      <w:marTop w:val="0"/>
      <w:marBottom w:val="0"/>
      <w:divBdr>
        <w:top w:val="none" w:sz="0" w:space="0" w:color="auto"/>
        <w:left w:val="none" w:sz="0" w:space="0" w:color="auto"/>
        <w:bottom w:val="none" w:sz="0" w:space="0" w:color="auto"/>
        <w:right w:val="none" w:sz="0" w:space="0" w:color="auto"/>
      </w:divBdr>
    </w:div>
    <w:div w:id="1216352366">
      <w:bodyDiv w:val="1"/>
      <w:marLeft w:val="0"/>
      <w:marRight w:val="0"/>
      <w:marTop w:val="0"/>
      <w:marBottom w:val="0"/>
      <w:divBdr>
        <w:top w:val="none" w:sz="0" w:space="0" w:color="auto"/>
        <w:left w:val="none" w:sz="0" w:space="0" w:color="auto"/>
        <w:bottom w:val="none" w:sz="0" w:space="0" w:color="auto"/>
        <w:right w:val="none" w:sz="0" w:space="0" w:color="auto"/>
      </w:divBdr>
      <w:divsChild>
        <w:div w:id="1915117683">
          <w:marLeft w:val="0"/>
          <w:marRight w:val="0"/>
          <w:marTop w:val="0"/>
          <w:marBottom w:val="0"/>
          <w:divBdr>
            <w:top w:val="none" w:sz="0" w:space="0" w:color="auto"/>
            <w:left w:val="none" w:sz="0" w:space="0" w:color="auto"/>
            <w:bottom w:val="none" w:sz="0" w:space="0" w:color="auto"/>
            <w:right w:val="none" w:sz="0" w:space="0" w:color="auto"/>
          </w:divBdr>
        </w:div>
        <w:div w:id="2100639857">
          <w:marLeft w:val="0"/>
          <w:marRight w:val="0"/>
          <w:marTop w:val="0"/>
          <w:marBottom w:val="0"/>
          <w:divBdr>
            <w:top w:val="none" w:sz="0" w:space="0" w:color="auto"/>
            <w:left w:val="none" w:sz="0" w:space="0" w:color="auto"/>
            <w:bottom w:val="none" w:sz="0" w:space="0" w:color="auto"/>
            <w:right w:val="none" w:sz="0" w:space="0" w:color="auto"/>
          </w:divBdr>
        </w:div>
      </w:divsChild>
    </w:div>
    <w:div w:id="1234656397">
      <w:bodyDiv w:val="1"/>
      <w:marLeft w:val="0"/>
      <w:marRight w:val="0"/>
      <w:marTop w:val="0"/>
      <w:marBottom w:val="0"/>
      <w:divBdr>
        <w:top w:val="none" w:sz="0" w:space="0" w:color="auto"/>
        <w:left w:val="none" w:sz="0" w:space="0" w:color="auto"/>
        <w:bottom w:val="none" w:sz="0" w:space="0" w:color="auto"/>
        <w:right w:val="none" w:sz="0" w:space="0" w:color="auto"/>
      </w:divBdr>
      <w:divsChild>
        <w:div w:id="1537310021">
          <w:marLeft w:val="0"/>
          <w:marRight w:val="0"/>
          <w:marTop w:val="0"/>
          <w:marBottom w:val="0"/>
          <w:divBdr>
            <w:top w:val="none" w:sz="0" w:space="0" w:color="auto"/>
            <w:left w:val="none" w:sz="0" w:space="0" w:color="auto"/>
            <w:bottom w:val="none" w:sz="0" w:space="0" w:color="auto"/>
            <w:right w:val="none" w:sz="0" w:space="0" w:color="auto"/>
          </w:divBdr>
        </w:div>
        <w:div w:id="1777630909">
          <w:marLeft w:val="0"/>
          <w:marRight w:val="0"/>
          <w:marTop w:val="0"/>
          <w:marBottom w:val="0"/>
          <w:divBdr>
            <w:top w:val="none" w:sz="0" w:space="0" w:color="auto"/>
            <w:left w:val="none" w:sz="0" w:space="0" w:color="auto"/>
            <w:bottom w:val="none" w:sz="0" w:space="0" w:color="auto"/>
            <w:right w:val="none" w:sz="0" w:space="0" w:color="auto"/>
          </w:divBdr>
        </w:div>
        <w:div w:id="2067214342">
          <w:marLeft w:val="0"/>
          <w:marRight w:val="0"/>
          <w:marTop w:val="0"/>
          <w:marBottom w:val="0"/>
          <w:divBdr>
            <w:top w:val="none" w:sz="0" w:space="0" w:color="auto"/>
            <w:left w:val="none" w:sz="0" w:space="0" w:color="auto"/>
            <w:bottom w:val="none" w:sz="0" w:space="0" w:color="auto"/>
            <w:right w:val="none" w:sz="0" w:space="0" w:color="auto"/>
          </w:divBdr>
        </w:div>
      </w:divsChild>
    </w:div>
    <w:div w:id="1235430933">
      <w:bodyDiv w:val="1"/>
      <w:marLeft w:val="0"/>
      <w:marRight w:val="0"/>
      <w:marTop w:val="0"/>
      <w:marBottom w:val="0"/>
      <w:divBdr>
        <w:top w:val="none" w:sz="0" w:space="0" w:color="auto"/>
        <w:left w:val="none" w:sz="0" w:space="0" w:color="auto"/>
        <w:bottom w:val="none" w:sz="0" w:space="0" w:color="auto"/>
        <w:right w:val="none" w:sz="0" w:space="0" w:color="auto"/>
      </w:divBdr>
    </w:div>
    <w:div w:id="1252931863">
      <w:bodyDiv w:val="1"/>
      <w:marLeft w:val="0"/>
      <w:marRight w:val="0"/>
      <w:marTop w:val="0"/>
      <w:marBottom w:val="0"/>
      <w:divBdr>
        <w:top w:val="none" w:sz="0" w:space="0" w:color="auto"/>
        <w:left w:val="none" w:sz="0" w:space="0" w:color="auto"/>
        <w:bottom w:val="none" w:sz="0" w:space="0" w:color="auto"/>
        <w:right w:val="none" w:sz="0" w:space="0" w:color="auto"/>
      </w:divBdr>
    </w:div>
    <w:div w:id="1253011777">
      <w:bodyDiv w:val="1"/>
      <w:marLeft w:val="0"/>
      <w:marRight w:val="0"/>
      <w:marTop w:val="0"/>
      <w:marBottom w:val="0"/>
      <w:divBdr>
        <w:top w:val="none" w:sz="0" w:space="0" w:color="auto"/>
        <w:left w:val="none" w:sz="0" w:space="0" w:color="auto"/>
        <w:bottom w:val="none" w:sz="0" w:space="0" w:color="auto"/>
        <w:right w:val="none" w:sz="0" w:space="0" w:color="auto"/>
      </w:divBdr>
      <w:divsChild>
        <w:div w:id="300503511">
          <w:marLeft w:val="0"/>
          <w:marRight w:val="0"/>
          <w:marTop w:val="0"/>
          <w:marBottom w:val="0"/>
          <w:divBdr>
            <w:top w:val="none" w:sz="0" w:space="0" w:color="auto"/>
            <w:left w:val="none" w:sz="0" w:space="0" w:color="auto"/>
            <w:bottom w:val="none" w:sz="0" w:space="0" w:color="auto"/>
            <w:right w:val="none" w:sz="0" w:space="0" w:color="auto"/>
          </w:divBdr>
        </w:div>
        <w:div w:id="1227106724">
          <w:marLeft w:val="0"/>
          <w:marRight w:val="0"/>
          <w:marTop w:val="0"/>
          <w:marBottom w:val="0"/>
          <w:divBdr>
            <w:top w:val="none" w:sz="0" w:space="0" w:color="auto"/>
            <w:left w:val="none" w:sz="0" w:space="0" w:color="auto"/>
            <w:bottom w:val="none" w:sz="0" w:space="0" w:color="auto"/>
            <w:right w:val="none" w:sz="0" w:space="0" w:color="auto"/>
          </w:divBdr>
        </w:div>
      </w:divsChild>
    </w:div>
    <w:div w:id="1257130291">
      <w:bodyDiv w:val="1"/>
      <w:marLeft w:val="0"/>
      <w:marRight w:val="0"/>
      <w:marTop w:val="0"/>
      <w:marBottom w:val="0"/>
      <w:divBdr>
        <w:top w:val="none" w:sz="0" w:space="0" w:color="auto"/>
        <w:left w:val="none" w:sz="0" w:space="0" w:color="auto"/>
        <w:bottom w:val="none" w:sz="0" w:space="0" w:color="auto"/>
        <w:right w:val="none" w:sz="0" w:space="0" w:color="auto"/>
      </w:divBdr>
    </w:div>
    <w:div w:id="1274242848">
      <w:bodyDiv w:val="1"/>
      <w:marLeft w:val="0"/>
      <w:marRight w:val="0"/>
      <w:marTop w:val="0"/>
      <w:marBottom w:val="0"/>
      <w:divBdr>
        <w:top w:val="none" w:sz="0" w:space="0" w:color="auto"/>
        <w:left w:val="none" w:sz="0" w:space="0" w:color="auto"/>
        <w:bottom w:val="none" w:sz="0" w:space="0" w:color="auto"/>
        <w:right w:val="none" w:sz="0" w:space="0" w:color="auto"/>
      </w:divBdr>
      <w:divsChild>
        <w:div w:id="998851750">
          <w:marLeft w:val="0"/>
          <w:marRight w:val="0"/>
          <w:marTop w:val="0"/>
          <w:marBottom w:val="0"/>
          <w:divBdr>
            <w:top w:val="none" w:sz="0" w:space="0" w:color="auto"/>
            <w:left w:val="none" w:sz="0" w:space="0" w:color="auto"/>
            <w:bottom w:val="none" w:sz="0" w:space="0" w:color="auto"/>
            <w:right w:val="none" w:sz="0" w:space="0" w:color="auto"/>
          </w:divBdr>
        </w:div>
        <w:div w:id="1071317806">
          <w:marLeft w:val="0"/>
          <w:marRight w:val="0"/>
          <w:marTop w:val="0"/>
          <w:marBottom w:val="0"/>
          <w:divBdr>
            <w:top w:val="none" w:sz="0" w:space="0" w:color="auto"/>
            <w:left w:val="none" w:sz="0" w:space="0" w:color="auto"/>
            <w:bottom w:val="none" w:sz="0" w:space="0" w:color="auto"/>
            <w:right w:val="none" w:sz="0" w:space="0" w:color="auto"/>
          </w:divBdr>
        </w:div>
      </w:divsChild>
    </w:div>
    <w:div w:id="1298104272">
      <w:bodyDiv w:val="1"/>
      <w:marLeft w:val="0"/>
      <w:marRight w:val="0"/>
      <w:marTop w:val="0"/>
      <w:marBottom w:val="0"/>
      <w:divBdr>
        <w:top w:val="none" w:sz="0" w:space="0" w:color="auto"/>
        <w:left w:val="none" w:sz="0" w:space="0" w:color="auto"/>
        <w:bottom w:val="none" w:sz="0" w:space="0" w:color="auto"/>
        <w:right w:val="none" w:sz="0" w:space="0" w:color="auto"/>
      </w:divBdr>
      <w:divsChild>
        <w:div w:id="909851862">
          <w:marLeft w:val="0"/>
          <w:marRight w:val="0"/>
          <w:marTop w:val="0"/>
          <w:marBottom w:val="0"/>
          <w:divBdr>
            <w:top w:val="none" w:sz="0" w:space="0" w:color="auto"/>
            <w:left w:val="none" w:sz="0" w:space="0" w:color="auto"/>
            <w:bottom w:val="none" w:sz="0" w:space="0" w:color="auto"/>
            <w:right w:val="none" w:sz="0" w:space="0" w:color="auto"/>
          </w:divBdr>
        </w:div>
        <w:div w:id="1742410764">
          <w:marLeft w:val="0"/>
          <w:marRight w:val="0"/>
          <w:marTop w:val="0"/>
          <w:marBottom w:val="0"/>
          <w:divBdr>
            <w:top w:val="none" w:sz="0" w:space="0" w:color="auto"/>
            <w:left w:val="none" w:sz="0" w:space="0" w:color="auto"/>
            <w:bottom w:val="none" w:sz="0" w:space="0" w:color="auto"/>
            <w:right w:val="none" w:sz="0" w:space="0" w:color="auto"/>
          </w:divBdr>
        </w:div>
        <w:div w:id="1753813963">
          <w:marLeft w:val="0"/>
          <w:marRight w:val="0"/>
          <w:marTop w:val="0"/>
          <w:marBottom w:val="0"/>
          <w:divBdr>
            <w:top w:val="none" w:sz="0" w:space="0" w:color="auto"/>
            <w:left w:val="none" w:sz="0" w:space="0" w:color="auto"/>
            <w:bottom w:val="none" w:sz="0" w:space="0" w:color="auto"/>
            <w:right w:val="none" w:sz="0" w:space="0" w:color="auto"/>
          </w:divBdr>
        </w:div>
        <w:div w:id="1756823727">
          <w:marLeft w:val="0"/>
          <w:marRight w:val="0"/>
          <w:marTop w:val="0"/>
          <w:marBottom w:val="0"/>
          <w:divBdr>
            <w:top w:val="none" w:sz="0" w:space="0" w:color="auto"/>
            <w:left w:val="none" w:sz="0" w:space="0" w:color="auto"/>
            <w:bottom w:val="none" w:sz="0" w:space="0" w:color="auto"/>
            <w:right w:val="none" w:sz="0" w:space="0" w:color="auto"/>
          </w:divBdr>
          <w:divsChild>
            <w:div w:id="522591217">
              <w:marLeft w:val="0"/>
              <w:marRight w:val="0"/>
              <w:marTop w:val="0"/>
              <w:marBottom w:val="0"/>
              <w:divBdr>
                <w:top w:val="none" w:sz="0" w:space="0" w:color="auto"/>
                <w:left w:val="none" w:sz="0" w:space="0" w:color="auto"/>
                <w:bottom w:val="none" w:sz="0" w:space="0" w:color="auto"/>
                <w:right w:val="none" w:sz="0" w:space="0" w:color="auto"/>
              </w:divBdr>
            </w:div>
            <w:div w:id="534850629">
              <w:marLeft w:val="0"/>
              <w:marRight w:val="0"/>
              <w:marTop w:val="0"/>
              <w:marBottom w:val="0"/>
              <w:divBdr>
                <w:top w:val="none" w:sz="0" w:space="0" w:color="auto"/>
                <w:left w:val="none" w:sz="0" w:space="0" w:color="auto"/>
                <w:bottom w:val="none" w:sz="0" w:space="0" w:color="auto"/>
                <w:right w:val="none" w:sz="0" w:space="0" w:color="auto"/>
              </w:divBdr>
            </w:div>
            <w:div w:id="1197430674">
              <w:marLeft w:val="0"/>
              <w:marRight w:val="0"/>
              <w:marTop w:val="0"/>
              <w:marBottom w:val="0"/>
              <w:divBdr>
                <w:top w:val="none" w:sz="0" w:space="0" w:color="auto"/>
                <w:left w:val="none" w:sz="0" w:space="0" w:color="auto"/>
                <w:bottom w:val="none" w:sz="0" w:space="0" w:color="auto"/>
                <w:right w:val="none" w:sz="0" w:space="0" w:color="auto"/>
              </w:divBdr>
            </w:div>
            <w:div w:id="1436829857">
              <w:marLeft w:val="0"/>
              <w:marRight w:val="0"/>
              <w:marTop w:val="0"/>
              <w:marBottom w:val="0"/>
              <w:divBdr>
                <w:top w:val="none" w:sz="0" w:space="0" w:color="auto"/>
                <w:left w:val="none" w:sz="0" w:space="0" w:color="auto"/>
                <w:bottom w:val="none" w:sz="0" w:space="0" w:color="auto"/>
                <w:right w:val="none" w:sz="0" w:space="0" w:color="auto"/>
              </w:divBdr>
            </w:div>
          </w:divsChild>
        </w:div>
        <w:div w:id="1761945949">
          <w:marLeft w:val="0"/>
          <w:marRight w:val="0"/>
          <w:marTop w:val="0"/>
          <w:marBottom w:val="0"/>
          <w:divBdr>
            <w:top w:val="none" w:sz="0" w:space="0" w:color="auto"/>
            <w:left w:val="none" w:sz="0" w:space="0" w:color="auto"/>
            <w:bottom w:val="none" w:sz="0" w:space="0" w:color="auto"/>
            <w:right w:val="none" w:sz="0" w:space="0" w:color="auto"/>
          </w:divBdr>
        </w:div>
        <w:div w:id="2082485041">
          <w:marLeft w:val="0"/>
          <w:marRight w:val="0"/>
          <w:marTop w:val="0"/>
          <w:marBottom w:val="0"/>
          <w:divBdr>
            <w:top w:val="none" w:sz="0" w:space="0" w:color="auto"/>
            <w:left w:val="none" w:sz="0" w:space="0" w:color="auto"/>
            <w:bottom w:val="none" w:sz="0" w:space="0" w:color="auto"/>
            <w:right w:val="none" w:sz="0" w:space="0" w:color="auto"/>
          </w:divBdr>
        </w:div>
      </w:divsChild>
    </w:div>
    <w:div w:id="1299604062">
      <w:bodyDiv w:val="1"/>
      <w:marLeft w:val="0"/>
      <w:marRight w:val="0"/>
      <w:marTop w:val="0"/>
      <w:marBottom w:val="0"/>
      <w:divBdr>
        <w:top w:val="none" w:sz="0" w:space="0" w:color="auto"/>
        <w:left w:val="none" w:sz="0" w:space="0" w:color="auto"/>
        <w:bottom w:val="none" w:sz="0" w:space="0" w:color="auto"/>
        <w:right w:val="none" w:sz="0" w:space="0" w:color="auto"/>
      </w:divBdr>
    </w:div>
    <w:div w:id="1310011944">
      <w:bodyDiv w:val="1"/>
      <w:marLeft w:val="0"/>
      <w:marRight w:val="0"/>
      <w:marTop w:val="0"/>
      <w:marBottom w:val="0"/>
      <w:divBdr>
        <w:top w:val="none" w:sz="0" w:space="0" w:color="auto"/>
        <w:left w:val="none" w:sz="0" w:space="0" w:color="auto"/>
        <w:bottom w:val="none" w:sz="0" w:space="0" w:color="auto"/>
        <w:right w:val="none" w:sz="0" w:space="0" w:color="auto"/>
      </w:divBdr>
      <w:divsChild>
        <w:div w:id="549728656">
          <w:marLeft w:val="0"/>
          <w:marRight w:val="0"/>
          <w:marTop w:val="0"/>
          <w:marBottom w:val="0"/>
          <w:divBdr>
            <w:top w:val="none" w:sz="0" w:space="0" w:color="auto"/>
            <w:left w:val="none" w:sz="0" w:space="0" w:color="auto"/>
            <w:bottom w:val="none" w:sz="0" w:space="0" w:color="auto"/>
            <w:right w:val="none" w:sz="0" w:space="0" w:color="auto"/>
          </w:divBdr>
        </w:div>
        <w:div w:id="733701479">
          <w:marLeft w:val="0"/>
          <w:marRight w:val="0"/>
          <w:marTop w:val="0"/>
          <w:marBottom w:val="0"/>
          <w:divBdr>
            <w:top w:val="none" w:sz="0" w:space="0" w:color="auto"/>
            <w:left w:val="none" w:sz="0" w:space="0" w:color="auto"/>
            <w:bottom w:val="none" w:sz="0" w:space="0" w:color="auto"/>
            <w:right w:val="none" w:sz="0" w:space="0" w:color="auto"/>
          </w:divBdr>
        </w:div>
        <w:div w:id="1926723517">
          <w:marLeft w:val="0"/>
          <w:marRight w:val="0"/>
          <w:marTop w:val="0"/>
          <w:marBottom w:val="0"/>
          <w:divBdr>
            <w:top w:val="none" w:sz="0" w:space="0" w:color="auto"/>
            <w:left w:val="none" w:sz="0" w:space="0" w:color="auto"/>
            <w:bottom w:val="none" w:sz="0" w:space="0" w:color="auto"/>
            <w:right w:val="none" w:sz="0" w:space="0" w:color="auto"/>
          </w:divBdr>
        </w:div>
      </w:divsChild>
    </w:div>
    <w:div w:id="1322931531">
      <w:bodyDiv w:val="1"/>
      <w:marLeft w:val="0"/>
      <w:marRight w:val="0"/>
      <w:marTop w:val="0"/>
      <w:marBottom w:val="0"/>
      <w:divBdr>
        <w:top w:val="none" w:sz="0" w:space="0" w:color="auto"/>
        <w:left w:val="none" w:sz="0" w:space="0" w:color="auto"/>
        <w:bottom w:val="none" w:sz="0" w:space="0" w:color="auto"/>
        <w:right w:val="none" w:sz="0" w:space="0" w:color="auto"/>
      </w:divBdr>
    </w:div>
    <w:div w:id="1323461738">
      <w:bodyDiv w:val="1"/>
      <w:marLeft w:val="0"/>
      <w:marRight w:val="0"/>
      <w:marTop w:val="0"/>
      <w:marBottom w:val="0"/>
      <w:divBdr>
        <w:top w:val="none" w:sz="0" w:space="0" w:color="auto"/>
        <w:left w:val="none" w:sz="0" w:space="0" w:color="auto"/>
        <w:bottom w:val="none" w:sz="0" w:space="0" w:color="auto"/>
        <w:right w:val="none" w:sz="0" w:space="0" w:color="auto"/>
      </w:divBdr>
    </w:div>
    <w:div w:id="1337224364">
      <w:bodyDiv w:val="1"/>
      <w:marLeft w:val="0"/>
      <w:marRight w:val="0"/>
      <w:marTop w:val="0"/>
      <w:marBottom w:val="0"/>
      <w:divBdr>
        <w:top w:val="none" w:sz="0" w:space="0" w:color="auto"/>
        <w:left w:val="none" w:sz="0" w:space="0" w:color="auto"/>
        <w:bottom w:val="none" w:sz="0" w:space="0" w:color="auto"/>
        <w:right w:val="none" w:sz="0" w:space="0" w:color="auto"/>
      </w:divBdr>
      <w:divsChild>
        <w:div w:id="1054281264">
          <w:marLeft w:val="2250"/>
          <w:marRight w:val="0"/>
          <w:marTop w:val="375"/>
          <w:marBottom w:val="375"/>
          <w:divBdr>
            <w:top w:val="none" w:sz="0" w:space="0" w:color="auto"/>
            <w:left w:val="none" w:sz="0" w:space="0" w:color="auto"/>
            <w:bottom w:val="none" w:sz="0" w:space="0" w:color="auto"/>
            <w:right w:val="none" w:sz="0" w:space="0" w:color="auto"/>
          </w:divBdr>
        </w:div>
      </w:divsChild>
    </w:div>
    <w:div w:id="1352994002">
      <w:bodyDiv w:val="1"/>
      <w:marLeft w:val="0"/>
      <w:marRight w:val="0"/>
      <w:marTop w:val="0"/>
      <w:marBottom w:val="0"/>
      <w:divBdr>
        <w:top w:val="none" w:sz="0" w:space="0" w:color="auto"/>
        <w:left w:val="none" w:sz="0" w:space="0" w:color="auto"/>
        <w:bottom w:val="none" w:sz="0" w:space="0" w:color="auto"/>
        <w:right w:val="none" w:sz="0" w:space="0" w:color="auto"/>
      </w:divBdr>
      <w:divsChild>
        <w:div w:id="11342248">
          <w:marLeft w:val="0"/>
          <w:marRight w:val="0"/>
          <w:marTop w:val="0"/>
          <w:marBottom w:val="0"/>
          <w:divBdr>
            <w:top w:val="none" w:sz="0" w:space="0" w:color="auto"/>
            <w:left w:val="none" w:sz="0" w:space="0" w:color="auto"/>
            <w:bottom w:val="none" w:sz="0" w:space="0" w:color="auto"/>
            <w:right w:val="none" w:sz="0" w:space="0" w:color="auto"/>
          </w:divBdr>
        </w:div>
        <w:div w:id="962808727">
          <w:marLeft w:val="0"/>
          <w:marRight w:val="0"/>
          <w:marTop w:val="0"/>
          <w:marBottom w:val="0"/>
          <w:divBdr>
            <w:top w:val="none" w:sz="0" w:space="0" w:color="auto"/>
            <w:left w:val="none" w:sz="0" w:space="0" w:color="auto"/>
            <w:bottom w:val="none" w:sz="0" w:space="0" w:color="auto"/>
            <w:right w:val="none" w:sz="0" w:space="0" w:color="auto"/>
          </w:divBdr>
        </w:div>
        <w:div w:id="1365137470">
          <w:marLeft w:val="0"/>
          <w:marRight w:val="0"/>
          <w:marTop w:val="0"/>
          <w:marBottom w:val="0"/>
          <w:divBdr>
            <w:top w:val="none" w:sz="0" w:space="0" w:color="auto"/>
            <w:left w:val="none" w:sz="0" w:space="0" w:color="auto"/>
            <w:bottom w:val="none" w:sz="0" w:space="0" w:color="auto"/>
            <w:right w:val="none" w:sz="0" w:space="0" w:color="auto"/>
          </w:divBdr>
        </w:div>
        <w:div w:id="1382752098">
          <w:marLeft w:val="0"/>
          <w:marRight w:val="0"/>
          <w:marTop w:val="0"/>
          <w:marBottom w:val="0"/>
          <w:divBdr>
            <w:top w:val="none" w:sz="0" w:space="0" w:color="auto"/>
            <w:left w:val="none" w:sz="0" w:space="0" w:color="auto"/>
            <w:bottom w:val="none" w:sz="0" w:space="0" w:color="auto"/>
            <w:right w:val="none" w:sz="0" w:space="0" w:color="auto"/>
          </w:divBdr>
        </w:div>
        <w:div w:id="1470976128">
          <w:marLeft w:val="0"/>
          <w:marRight w:val="0"/>
          <w:marTop w:val="0"/>
          <w:marBottom w:val="0"/>
          <w:divBdr>
            <w:top w:val="none" w:sz="0" w:space="0" w:color="auto"/>
            <w:left w:val="none" w:sz="0" w:space="0" w:color="auto"/>
            <w:bottom w:val="none" w:sz="0" w:space="0" w:color="auto"/>
            <w:right w:val="none" w:sz="0" w:space="0" w:color="auto"/>
          </w:divBdr>
        </w:div>
        <w:div w:id="2055159060">
          <w:marLeft w:val="0"/>
          <w:marRight w:val="0"/>
          <w:marTop w:val="0"/>
          <w:marBottom w:val="0"/>
          <w:divBdr>
            <w:top w:val="none" w:sz="0" w:space="0" w:color="auto"/>
            <w:left w:val="none" w:sz="0" w:space="0" w:color="auto"/>
            <w:bottom w:val="none" w:sz="0" w:space="0" w:color="auto"/>
            <w:right w:val="none" w:sz="0" w:space="0" w:color="auto"/>
          </w:divBdr>
        </w:div>
      </w:divsChild>
    </w:div>
    <w:div w:id="1373110829">
      <w:bodyDiv w:val="1"/>
      <w:marLeft w:val="0"/>
      <w:marRight w:val="0"/>
      <w:marTop w:val="0"/>
      <w:marBottom w:val="0"/>
      <w:divBdr>
        <w:top w:val="none" w:sz="0" w:space="0" w:color="auto"/>
        <w:left w:val="none" w:sz="0" w:space="0" w:color="auto"/>
        <w:bottom w:val="none" w:sz="0" w:space="0" w:color="auto"/>
        <w:right w:val="none" w:sz="0" w:space="0" w:color="auto"/>
      </w:divBdr>
      <w:divsChild>
        <w:div w:id="591857979">
          <w:marLeft w:val="0"/>
          <w:marRight w:val="0"/>
          <w:marTop w:val="0"/>
          <w:marBottom w:val="0"/>
          <w:divBdr>
            <w:top w:val="none" w:sz="0" w:space="0" w:color="auto"/>
            <w:left w:val="none" w:sz="0" w:space="0" w:color="auto"/>
            <w:bottom w:val="none" w:sz="0" w:space="0" w:color="auto"/>
            <w:right w:val="none" w:sz="0" w:space="0" w:color="auto"/>
          </w:divBdr>
        </w:div>
        <w:div w:id="1639802494">
          <w:marLeft w:val="0"/>
          <w:marRight w:val="0"/>
          <w:marTop w:val="0"/>
          <w:marBottom w:val="0"/>
          <w:divBdr>
            <w:top w:val="none" w:sz="0" w:space="0" w:color="auto"/>
            <w:left w:val="none" w:sz="0" w:space="0" w:color="auto"/>
            <w:bottom w:val="none" w:sz="0" w:space="0" w:color="auto"/>
            <w:right w:val="none" w:sz="0" w:space="0" w:color="auto"/>
          </w:divBdr>
        </w:div>
        <w:div w:id="1955794797">
          <w:marLeft w:val="0"/>
          <w:marRight w:val="0"/>
          <w:marTop w:val="0"/>
          <w:marBottom w:val="0"/>
          <w:divBdr>
            <w:top w:val="none" w:sz="0" w:space="0" w:color="auto"/>
            <w:left w:val="none" w:sz="0" w:space="0" w:color="auto"/>
            <w:bottom w:val="none" w:sz="0" w:space="0" w:color="auto"/>
            <w:right w:val="none" w:sz="0" w:space="0" w:color="auto"/>
          </w:divBdr>
          <w:divsChild>
            <w:div w:id="776372189">
              <w:marLeft w:val="0"/>
              <w:marRight w:val="0"/>
              <w:marTop w:val="0"/>
              <w:marBottom w:val="0"/>
              <w:divBdr>
                <w:top w:val="none" w:sz="0" w:space="0" w:color="auto"/>
                <w:left w:val="none" w:sz="0" w:space="0" w:color="auto"/>
                <w:bottom w:val="none" w:sz="0" w:space="0" w:color="auto"/>
                <w:right w:val="none" w:sz="0" w:space="0" w:color="auto"/>
              </w:divBdr>
            </w:div>
            <w:div w:id="1489440405">
              <w:marLeft w:val="0"/>
              <w:marRight w:val="0"/>
              <w:marTop w:val="0"/>
              <w:marBottom w:val="0"/>
              <w:divBdr>
                <w:top w:val="none" w:sz="0" w:space="0" w:color="auto"/>
                <w:left w:val="none" w:sz="0" w:space="0" w:color="auto"/>
                <w:bottom w:val="none" w:sz="0" w:space="0" w:color="auto"/>
                <w:right w:val="none" w:sz="0" w:space="0" w:color="auto"/>
              </w:divBdr>
            </w:div>
            <w:div w:id="205619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538514">
      <w:bodyDiv w:val="1"/>
      <w:marLeft w:val="0"/>
      <w:marRight w:val="0"/>
      <w:marTop w:val="0"/>
      <w:marBottom w:val="0"/>
      <w:divBdr>
        <w:top w:val="none" w:sz="0" w:space="0" w:color="auto"/>
        <w:left w:val="none" w:sz="0" w:space="0" w:color="auto"/>
        <w:bottom w:val="none" w:sz="0" w:space="0" w:color="auto"/>
        <w:right w:val="none" w:sz="0" w:space="0" w:color="auto"/>
      </w:divBdr>
      <w:divsChild>
        <w:div w:id="277954069">
          <w:marLeft w:val="0"/>
          <w:marRight w:val="0"/>
          <w:marTop w:val="0"/>
          <w:marBottom w:val="0"/>
          <w:divBdr>
            <w:top w:val="none" w:sz="0" w:space="0" w:color="auto"/>
            <w:left w:val="none" w:sz="0" w:space="0" w:color="auto"/>
            <w:bottom w:val="none" w:sz="0" w:space="0" w:color="auto"/>
            <w:right w:val="none" w:sz="0" w:space="0" w:color="auto"/>
          </w:divBdr>
        </w:div>
        <w:div w:id="379405224">
          <w:marLeft w:val="0"/>
          <w:marRight w:val="0"/>
          <w:marTop w:val="0"/>
          <w:marBottom w:val="0"/>
          <w:divBdr>
            <w:top w:val="none" w:sz="0" w:space="0" w:color="auto"/>
            <w:left w:val="none" w:sz="0" w:space="0" w:color="auto"/>
            <w:bottom w:val="none" w:sz="0" w:space="0" w:color="auto"/>
            <w:right w:val="none" w:sz="0" w:space="0" w:color="auto"/>
          </w:divBdr>
        </w:div>
        <w:div w:id="389882722">
          <w:marLeft w:val="0"/>
          <w:marRight w:val="0"/>
          <w:marTop w:val="0"/>
          <w:marBottom w:val="0"/>
          <w:divBdr>
            <w:top w:val="none" w:sz="0" w:space="0" w:color="auto"/>
            <w:left w:val="none" w:sz="0" w:space="0" w:color="auto"/>
            <w:bottom w:val="none" w:sz="0" w:space="0" w:color="auto"/>
            <w:right w:val="none" w:sz="0" w:space="0" w:color="auto"/>
          </w:divBdr>
        </w:div>
        <w:div w:id="630064349">
          <w:marLeft w:val="0"/>
          <w:marRight w:val="0"/>
          <w:marTop w:val="0"/>
          <w:marBottom w:val="0"/>
          <w:divBdr>
            <w:top w:val="none" w:sz="0" w:space="0" w:color="auto"/>
            <w:left w:val="none" w:sz="0" w:space="0" w:color="auto"/>
            <w:bottom w:val="none" w:sz="0" w:space="0" w:color="auto"/>
            <w:right w:val="none" w:sz="0" w:space="0" w:color="auto"/>
          </w:divBdr>
        </w:div>
        <w:div w:id="1081100348">
          <w:marLeft w:val="0"/>
          <w:marRight w:val="0"/>
          <w:marTop w:val="0"/>
          <w:marBottom w:val="0"/>
          <w:divBdr>
            <w:top w:val="none" w:sz="0" w:space="0" w:color="auto"/>
            <w:left w:val="none" w:sz="0" w:space="0" w:color="auto"/>
            <w:bottom w:val="none" w:sz="0" w:space="0" w:color="auto"/>
            <w:right w:val="none" w:sz="0" w:space="0" w:color="auto"/>
          </w:divBdr>
        </w:div>
        <w:div w:id="1121730244">
          <w:marLeft w:val="0"/>
          <w:marRight w:val="0"/>
          <w:marTop w:val="0"/>
          <w:marBottom w:val="0"/>
          <w:divBdr>
            <w:top w:val="none" w:sz="0" w:space="0" w:color="auto"/>
            <w:left w:val="none" w:sz="0" w:space="0" w:color="auto"/>
            <w:bottom w:val="none" w:sz="0" w:space="0" w:color="auto"/>
            <w:right w:val="none" w:sz="0" w:space="0" w:color="auto"/>
          </w:divBdr>
        </w:div>
        <w:div w:id="1140458271">
          <w:marLeft w:val="0"/>
          <w:marRight w:val="0"/>
          <w:marTop w:val="0"/>
          <w:marBottom w:val="0"/>
          <w:divBdr>
            <w:top w:val="none" w:sz="0" w:space="0" w:color="auto"/>
            <w:left w:val="none" w:sz="0" w:space="0" w:color="auto"/>
            <w:bottom w:val="none" w:sz="0" w:space="0" w:color="auto"/>
            <w:right w:val="none" w:sz="0" w:space="0" w:color="auto"/>
          </w:divBdr>
        </w:div>
        <w:div w:id="1357655317">
          <w:marLeft w:val="0"/>
          <w:marRight w:val="0"/>
          <w:marTop w:val="0"/>
          <w:marBottom w:val="0"/>
          <w:divBdr>
            <w:top w:val="none" w:sz="0" w:space="0" w:color="auto"/>
            <w:left w:val="none" w:sz="0" w:space="0" w:color="auto"/>
            <w:bottom w:val="none" w:sz="0" w:space="0" w:color="auto"/>
            <w:right w:val="none" w:sz="0" w:space="0" w:color="auto"/>
          </w:divBdr>
        </w:div>
        <w:div w:id="1584290253">
          <w:marLeft w:val="0"/>
          <w:marRight w:val="0"/>
          <w:marTop w:val="0"/>
          <w:marBottom w:val="0"/>
          <w:divBdr>
            <w:top w:val="none" w:sz="0" w:space="0" w:color="auto"/>
            <w:left w:val="none" w:sz="0" w:space="0" w:color="auto"/>
            <w:bottom w:val="none" w:sz="0" w:space="0" w:color="auto"/>
            <w:right w:val="none" w:sz="0" w:space="0" w:color="auto"/>
          </w:divBdr>
        </w:div>
        <w:div w:id="1588273574">
          <w:marLeft w:val="0"/>
          <w:marRight w:val="0"/>
          <w:marTop w:val="0"/>
          <w:marBottom w:val="0"/>
          <w:divBdr>
            <w:top w:val="none" w:sz="0" w:space="0" w:color="auto"/>
            <w:left w:val="none" w:sz="0" w:space="0" w:color="auto"/>
            <w:bottom w:val="none" w:sz="0" w:space="0" w:color="auto"/>
            <w:right w:val="none" w:sz="0" w:space="0" w:color="auto"/>
          </w:divBdr>
        </w:div>
        <w:div w:id="1813790414">
          <w:marLeft w:val="0"/>
          <w:marRight w:val="0"/>
          <w:marTop w:val="0"/>
          <w:marBottom w:val="0"/>
          <w:divBdr>
            <w:top w:val="none" w:sz="0" w:space="0" w:color="auto"/>
            <w:left w:val="none" w:sz="0" w:space="0" w:color="auto"/>
            <w:bottom w:val="none" w:sz="0" w:space="0" w:color="auto"/>
            <w:right w:val="none" w:sz="0" w:space="0" w:color="auto"/>
          </w:divBdr>
        </w:div>
        <w:div w:id="2061661452">
          <w:marLeft w:val="0"/>
          <w:marRight w:val="0"/>
          <w:marTop w:val="0"/>
          <w:marBottom w:val="0"/>
          <w:divBdr>
            <w:top w:val="none" w:sz="0" w:space="0" w:color="auto"/>
            <w:left w:val="none" w:sz="0" w:space="0" w:color="auto"/>
            <w:bottom w:val="none" w:sz="0" w:space="0" w:color="auto"/>
            <w:right w:val="none" w:sz="0" w:space="0" w:color="auto"/>
          </w:divBdr>
        </w:div>
        <w:div w:id="2114473477">
          <w:marLeft w:val="0"/>
          <w:marRight w:val="0"/>
          <w:marTop w:val="0"/>
          <w:marBottom w:val="0"/>
          <w:divBdr>
            <w:top w:val="none" w:sz="0" w:space="0" w:color="auto"/>
            <w:left w:val="none" w:sz="0" w:space="0" w:color="auto"/>
            <w:bottom w:val="none" w:sz="0" w:space="0" w:color="auto"/>
            <w:right w:val="none" w:sz="0" w:space="0" w:color="auto"/>
          </w:divBdr>
        </w:div>
      </w:divsChild>
    </w:div>
    <w:div w:id="1398093515">
      <w:bodyDiv w:val="1"/>
      <w:marLeft w:val="0"/>
      <w:marRight w:val="0"/>
      <w:marTop w:val="0"/>
      <w:marBottom w:val="0"/>
      <w:divBdr>
        <w:top w:val="none" w:sz="0" w:space="0" w:color="auto"/>
        <w:left w:val="none" w:sz="0" w:space="0" w:color="auto"/>
        <w:bottom w:val="none" w:sz="0" w:space="0" w:color="auto"/>
        <w:right w:val="none" w:sz="0" w:space="0" w:color="auto"/>
      </w:divBdr>
      <w:divsChild>
        <w:div w:id="1257010607">
          <w:marLeft w:val="0"/>
          <w:marRight w:val="0"/>
          <w:marTop w:val="0"/>
          <w:marBottom w:val="0"/>
          <w:divBdr>
            <w:top w:val="none" w:sz="0" w:space="0" w:color="auto"/>
            <w:left w:val="none" w:sz="0" w:space="0" w:color="auto"/>
            <w:bottom w:val="none" w:sz="0" w:space="0" w:color="auto"/>
            <w:right w:val="none" w:sz="0" w:space="0" w:color="auto"/>
          </w:divBdr>
        </w:div>
        <w:div w:id="1919948081">
          <w:marLeft w:val="0"/>
          <w:marRight w:val="0"/>
          <w:marTop w:val="0"/>
          <w:marBottom w:val="0"/>
          <w:divBdr>
            <w:top w:val="none" w:sz="0" w:space="0" w:color="auto"/>
            <w:left w:val="none" w:sz="0" w:space="0" w:color="auto"/>
            <w:bottom w:val="none" w:sz="0" w:space="0" w:color="auto"/>
            <w:right w:val="none" w:sz="0" w:space="0" w:color="auto"/>
          </w:divBdr>
        </w:div>
      </w:divsChild>
    </w:div>
    <w:div w:id="1424570153">
      <w:bodyDiv w:val="1"/>
      <w:marLeft w:val="0"/>
      <w:marRight w:val="0"/>
      <w:marTop w:val="0"/>
      <w:marBottom w:val="0"/>
      <w:divBdr>
        <w:top w:val="none" w:sz="0" w:space="0" w:color="auto"/>
        <w:left w:val="none" w:sz="0" w:space="0" w:color="auto"/>
        <w:bottom w:val="none" w:sz="0" w:space="0" w:color="auto"/>
        <w:right w:val="none" w:sz="0" w:space="0" w:color="auto"/>
      </w:divBdr>
    </w:div>
    <w:div w:id="1428312642">
      <w:bodyDiv w:val="1"/>
      <w:marLeft w:val="0"/>
      <w:marRight w:val="0"/>
      <w:marTop w:val="0"/>
      <w:marBottom w:val="0"/>
      <w:divBdr>
        <w:top w:val="none" w:sz="0" w:space="0" w:color="auto"/>
        <w:left w:val="none" w:sz="0" w:space="0" w:color="auto"/>
        <w:bottom w:val="none" w:sz="0" w:space="0" w:color="auto"/>
        <w:right w:val="none" w:sz="0" w:space="0" w:color="auto"/>
      </w:divBdr>
      <w:divsChild>
        <w:div w:id="797066360">
          <w:marLeft w:val="0"/>
          <w:marRight w:val="0"/>
          <w:marTop w:val="0"/>
          <w:marBottom w:val="0"/>
          <w:divBdr>
            <w:top w:val="none" w:sz="0" w:space="0" w:color="auto"/>
            <w:left w:val="none" w:sz="0" w:space="0" w:color="auto"/>
            <w:bottom w:val="none" w:sz="0" w:space="0" w:color="auto"/>
            <w:right w:val="none" w:sz="0" w:space="0" w:color="auto"/>
          </w:divBdr>
        </w:div>
        <w:div w:id="1684241997">
          <w:marLeft w:val="0"/>
          <w:marRight w:val="0"/>
          <w:marTop w:val="0"/>
          <w:marBottom w:val="0"/>
          <w:divBdr>
            <w:top w:val="none" w:sz="0" w:space="0" w:color="auto"/>
            <w:left w:val="none" w:sz="0" w:space="0" w:color="auto"/>
            <w:bottom w:val="none" w:sz="0" w:space="0" w:color="auto"/>
            <w:right w:val="none" w:sz="0" w:space="0" w:color="auto"/>
          </w:divBdr>
        </w:div>
        <w:div w:id="1874996000">
          <w:marLeft w:val="0"/>
          <w:marRight w:val="0"/>
          <w:marTop w:val="0"/>
          <w:marBottom w:val="0"/>
          <w:divBdr>
            <w:top w:val="none" w:sz="0" w:space="0" w:color="auto"/>
            <w:left w:val="none" w:sz="0" w:space="0" w:color="auto"/>
            <w:bottom w:val="none" w:sz="0" w:space="0" w:color="auto"/>
            <w:right w:val="none" w:sz="0" w:space="0" w:color="auto"/>
          </w:divBdr>
        </w:div>
        <w:div w:id="1993754765">
          <w:marLeft w:val="0"/>
          <w:marRight w:val="0"/>
          <w:marTop w:val="0"/>
          <w:marBottom w:val="0"/>
          <w:divBdr>
            <w:top w:val="none" w:sz="0" w:space="0" w:color="auto"/>
            <w:left w:val="none" w:sz="0" w:space="0" w:color="auto"/>
            <w:bottom w:val="none" w:sz="0" w:space="0" w:color="auto"/>
            <w:right w:val="none" w:sz="0" w:space="0" w:color="auto"/>
          </w:divBdr>
        </w:div>
        <w:div w:id="2094736631">
          <w:marLeft w:val="0"/>
          <w:marRight w:val="0"/>
          <w:marTop w:val="0"/>
          <w:marBottom w:val="0"/>
          <w:divBdr>
            <w:top w:val="none" w:sz="0" w:space="0" w:color="auto"/>
            <w:left w:val="none" w:sz="0" w:space="0" w:color="auto"/>
            <w:bottom w:val="none" w:sz="0" w:space="0" w:color="auto"/>
            <w:right w:val="none" w:sz="0" w:space="0" w:color="auto"/>
          </w:divBdr>
        </w:div>
      </w:divsChild>
    </w:div>
    <w:div w:id="1444888158">
      <w:bodyDiv w:val="1"/>
      <w:marLeft w:val="0"/>
      <w:marRight w:val="0"/>
      <w:marTop w:val="0"/>
      <w:marBottom w:val="0"/>
      <w:divBdr>
        <w:top w:val="none" w:sz="0" w:space="0" w:color="auto"/>
        <w:left w:val="none" w:sz="0" w:space="0" w:color="auto"/>
        <w:bottom w:val="none" w:sz="0" w:space="0" w:color="auto"/>
        <w:right w:val="none" w:sz="0" w:space="0" w:color="auto"/>
      </w:divBdr>
      <w:divsChild>
        <w:div w:id="675229471">
          <w:marLeft w:val="0"/>
          <w:marRight w:val="0"/>
          <w:marTop w:val="0"/>
          <w:marBottom w:val="0"/>
          <w:divBdr>
            <w:top w:val="none" w:sz="0" w:space="0" w:color="auto"/>
            <w:left w:val="none" w:sz="0" w:space="0" w:color="auto"/>
            <w:bottom w:val="none" w:sz="0" w:space="0" w:color="auto"/>
            <w:right w:val="none" w:sz="0" w:space="0" w:color="auto"/>
          </w:divBdr>
        </w:div>
        <w:div w:id="1420254807">
          <w:marLeft w:val="0"/>
          <w:marRight w:val="0"/>
          <w:marTop w:val="0"/>
          <w:marBottom w:val="0"/>
          <w:divBdr>
            <w:top w:val="none" w:sz="0" w:space="0" w:color="auto"/>
            <w:left w:val="none" w:sz="0" w:space="0" w:color="auto"/>
            <w:bottom w:val="none" w:sz="0" w:space="0" w:color="auto"/>
            <w:right w:val="none" w:sz="0" w:space="0" w:color="auto"/>
          </w:divBdr>
        </w:div>
        <w:div w:id="1918981594">
          <w:marLeft w:val="0"/>
          <w:marRight w:val="0"/>
          <w:marTop w:val="0"/>
          <w:marBottom w:val="0"/>
          <w:divBdr>
            <w:top w:val="none" w:sz="0" w:space="0" w:color="auto"/>
            <w:left w:val="none" w:sz="0" w:space="0" w:color="auto"/>
            <w:bottom w:val="none" w:sz="0" w:space="0" w:color="auto"/>
            <w:right w:val="none" w:sz="0" w:space="0" w:color="auto"/>
          </w:divBdr>
        </w:div>
      </w:divsChild>
    </w:div>
    <w:div w:id="1449662826">
      <w:bodyDiv w:val="1"/>
      <w:marLeft w:val="0"/>
      <w:marRight w:val="0"/>
      <w:marTop w:val="0"/>
      <w:marBottom w:val="0"/>
      <w:divBdr>
        <w:top w:val="none" w:sz="0" w:space="0" w:color="auto"/>
        <w:left w:val="none" w:sz="0" w:space="0" w:color="auto"/>
        <w:bottom w:val="none" w:sz="0" w:space="0" w:color="auto"/>
        <w:right w:val="none" w:sz="0" w:space="0" w:color="auto"/>
      </w:divBdr>
    </w:div>
    <w:div w:id="1452358963">
      <w:bodyDiv w:val="1"/>
      <w:marLeft w:val="0"/>
      <w:marRight w:val="0"/>
      <w:marTop w:val="0"/>
      <w:marBottom w:val="0"/>
      <w:divBdr>
        <w:top w:val="none" w:sz="0" w:space="0" w:color="auto"/>
        <w:left w:val="none" w:sz="0" w:space="0" w:color="auto"/>
        <w:bottom w:val="none" w:sz="0" w:space="0" w:color="auto"/>
        <w:right w:val="none" w:sz="0" w:space="0" w:color="auto"/>
      </w:divBdr>
      <w:divsChild>
        <w:div w:id="105151873">
          <w:marLeft w:val="274"/>
          <w:marRight w:val="0"/>
          <w:marTop w:val="0"/>
          <w:marBottom w:val="0"/>
          <w:divBdr>
            <w:top w:val="none" w:sz="0" w:space="0" w:color="auto"/>
            <w:left w:val="none" w:sz="0" w:space="0" w:color="auto"/>
            <w:bottom w:val="none" w:sz="0" w:space="0" w:color="auto"/>
            <w:right w:val="none" w:sz="0" w:space="0" w:color="auto"/>
          </w:divBdr>
        </w:div>
        <w:div w:id="136193929">
          <w:marLeft w:val="274"/>
          <w:marRight w:val="0"/>
          <w:marTop w:val="0"/>
          <w:marBottom w:val="0"/>
          <w:divBdr>
            <w:top w:val="none" w:sz="0" w:space="0" w:color="auto"/>
            <w:left w:val="none" w:sz="0" w:space="0" w:color="auto"/>
            <w:bottom w:val="none" w:sz="0" w:space="0" w:color="auto"/>
            <w:right w:val="none" w:sz="0" w:space="0" w:color="auto"/>
          </w:divBdr>
        </w:div>
        <w:div w:id="150604981">
          <w:marLeft w:val="274"/>
          <w:marRight w:val="0"/>
          <w:marTop w:val="0"/>
          <w:marBottom w:val="0"/>
          <w:divBdr>
            <w:top w:val="none" w:sz="0" w:space="0" w:color="auto"/>
            <w:left w:val="none" w:sz="0" w:space="0" w:color="auto"/>
            <w:bottom w:val="none" w:sz="0" w:space="0" w:color="auto"/>
            <w:right w:val="none" w:sz="0" w:space="0" w:color="auto"/>
          </w:divBdr>
        </w:div>
        <w:div w:id="190458716">
          <w:marLeft w:val="274"/>
          <w:marRight w:val="0"/>
          <w:marTop w:val="0"/>
          <w:marBottom w:val="0"/>
          <w:divBdr>
            <w:top w:val="none" w:sz="0" w:space="0" w:color="auto"/>
            <w:left w:val="none" w:sz="0" w:space="0" w:color="auto"/>
            <w:bottom w:val="none" w:sz="0" w:space="0" w:color="auto"/>
            <w:right w:val="none" w:sz="0" w:space="0" w:color="auto"/>
          </w:divBdr>
        </w:div>
        <w:div w:id="293753791">
          <w:marLeft w:val="274"/>
          <w:marRight w:val="0"/>
          <w:marTop w:val="0"/>
          <w:marBottom w:val="0"/>
          <w:divBdr>
            <w:top w:val="none" w:sz="0" w:space="0" w:color="auto"/>
            <w:left w:val="none" w:sz="0" w:space="0" w:color="auto"/>
            <w:bottom w:val="none" w:sz="0" w:space="0" w:color="auto"/>
            <w:right w:val="none" w:sz="0" w:space="0" w:color="auto"/>
          </w:divBdr>
        </w:div>
        <w:div w:id="489979886">
          <w:marLeft w:val="274"/>
          <w:marRight w:val="0"/>
          <w:marTop w:val="0"/>
          <w:marBottom w:val="0"/>
          <w:divBdr>
            <w:top w:val="none" w:sz="0" w:space="0" w:color="auto"/>
            <w:left w:val="none" w:sz="0" w:space="0" w:color="auto"/>
            <w:bottom w:val="none" w:sz="0" w:space="0" w:color="auto"/>
            <w:right w:val="none" w:sz="0" w:space="0" w:color="auto"/>
          </w:divBdr>
        </w:div>
        <w:div w:id="536351467">
          <w:marLeft w:val="274"/>
          <w:marRight w:val="0"/>
          <w:marTop w:val="0"/>
          <w:marBottom w:val="0"/>
          <w:divBdr>
            <w:top w:val="none" w:sz="0" w:space="0" w:color="auto"/>
            <w:left w:val="none" w:sz="0" w:space="0" w:color="auto"/>
            <w:bottom w:val="none" w:sz="0" w:space="0" w:color="auto"/>
            <w:right w:val="none" w:sz="0" w:space="0" w:color="auto"/>
          </w:divBdr>
        </w:div>
        <w:div w:id="1019547872">
          <w:marLeft w:val="274"/>
          <w:marRight w:val="0"/>
          <w:marTop w:val="0"/>
          <w:marBottom w:val="0"/>
          <w:divBdr>
            <w:top w:val="none" w:sz="0" w:space="0" w:color="auto"/>
            <w:left w:val="none" w:sz="0" w:space="0" w:color="auto"/>
            <w:bottom w:val="none" w:sz="0" w:space="0" w:color="auto"/>
            <w:right w:val="none" w:sz="0" w:space="0" w:color="auto"/>
          </w:divBdr>
        </w:div>
        <w:div w:id="1896965098">
          <w:marLeft w:val="274"/>
          <w:marRight w:val="0"/>
          <w:marTop w:val="0"/>
          <w:marBottom w:val="0"/>
          <w:divBdr>
            <w:top w:val="none" w:sz="0" w:space="0" w:color="auto"/>
            <w:left w:val="none" w:sz="0" w:space="0" w:color="auto"/>
            <w:bottom w:val="none" w:sz="0" w:space="0" w:color="auto"/>
            <w:right w:val="none" w:sz="0" w:space="0" w:color="auto"/>
          </w:divBdr>
        </w:div>
        <w:div w:id="2041588100">
          <w:marLeft w:val="274"/>
          <w:marRight w:val="0"/>
          <w:marTop w:val="0"/>
          <w:marBottom w:val="0"/>
          <w:divBdr>
            <w:top w:val="none" w:sz="0" w:space="0" w:color="auto"/>
            <w:left w:val="none" w:sz="0" w:space="0" w:color="auto"/>
            <w:bottom w:val="none" w:sz="0" w:space="0" w:color="auto"/>
            <w:right w:val="none" w:sz="0" w:space="0" w:color="auto"/>
          </w:divBdr>
        </w:div>
        <w:div w:id="2111318475">
          <w:marLeft w:val="274"/>
          <w:marRight w:val="0"/>
          <w:marTop w:val="0"/>
          <w:marBottom w:val="0"/>
          <w:divBdr>
            <w:top w:val="none" w:sz="0" w:space="0" w:color="auto"/>
            <w:left w:val="none" w:sz="0" w:space="0" w:color="auto"/>
            <w:bottom w:val="none" w:sz="0" w:space="0" w:color="auto"/>
            <w:right w:val="none" w:sz="0" w:space="0" w:color="auto"/>
          </w:divBdr>
        </w:div>
      </w:divsChild>
    </w:div>
    <w:div w:id="1459421313">
      <w:bodyDiv w:val="1"/>
      <w:marLeft w:val="0"/>
      <w:marRight w:val="0"/>
      <w:marTop w:val="0"/>
      <w:marBottom w:val="0"/>
      <w:divBdr>
        <w:top w:val="none" w:sz="0" w:space="0" w:color="auto"/>
        <w:left w:val="none" w:sz="0" w:space="0" w:color="auto"/>
        <w:bottom w:val="none" w:sz="0" w:space="0" w:color="auto"/>
        <w:right w:val="none" w:sz="0" w:space="0" w:color="auto"/>
      </w:divBdr>
    </w:div>
    <w:div w:id="1496677762">
      <w:bodyDiv w:val="1"/>
      <w:marLeft w:val="0"/>
      <w:marRight w:val="0"/>
      <w:marTop w:val="0"/>
      <w:marBottom w:val="0"/>
      <w:divBdr>
        <w:top w:val="none" w:sz="0" w:space="0" w:color="auto"/>
        <w:left w:val="none" w:sz="0" w:space="0" w:color="auto"/>
        <w:bottom w:val="none" w:sz="0" w:space="0" w:color="auto"/>
        <w:right w:val="none" w:sz="0" w:space="0" w:color="auto"/>
      </w:divBdr>
    </w:div>
    <w:div w:id="1500609907">
      <w:bodyDiv w:val="1"/>
      <w:marLeft w:val="0"/>
      <w:marRight w:val="0"/>
      <w:marTop w:val="0"/>
      <w:marBottom w:val="0"/>
      <w:divBdr>
        <w:top w:val="none" w:sz="0" w:space="0" w:color="auto"/>
        <w:left w:val="none" w:sz="0" w:space="0" w:color="auto"/>
        <w:bottom w:val="none" w:sz="0" w:space="0" w:color="auto"/>
        <w:right w:val="none" w:sz="0" w:space="0" w:color="auto"/>
      </w:divBdr>
    </w:div>
    <w:div w:id="1505974511">
      <w:bodyDiv w:val="1"/>
      <w:marLeft w:val="0"/>
      <w:marRight w:val="0"/>
      <w:marTop w:val="0"/>
      <w:marBottom w:val="0"/>
      <w:divBdr>
        <w:top w:val="none" w:sz="0" w:space="0" w:color="auto"/>
        <w:left w:val="none" w:sz="0" w:space="0" w:color="auto"/>
        <w:bottom w:val="none" w:sz="0" w:space="0" w:color="auto"/>
        <w:right w:val="none" w:sz="0" w:space="0" w:color="auto"/>
      </w:divBdr>
      <w:divsChild>
        <w:div w:id="419451205">
          <w:marLeft w:val="0"/>
          <w:marRight w:val="0"/>
          <w:marTop w:val="0"/>
          <w:marBottom w:val="0"/>
          <w:divBdr>
            <w:top w:val="none" w:sz="0" w:space="0" w:color="auto"/>
            <w:left w:val="none" w:sz="0" w:space="0" w:color="auto"/>
            <w:bottom w:val="none" w:sz="0" w:space="0" w:color="auto"/>
            <w:right w:val="none" w:sz="0" w:space="0" w:color="auto"/>
          </w:divBdr>
        </w:div>
        <w:div w:id="511915956">
          <w:marLeft w:val="0"/>
          <w:marRight w:val="0"/>
          <w:marTop w:val="0"/>
          <w:marBottom w:val="0"/>
          <w:divBdr>
            <w:top w:val="none" w:sz="0" w:space="0" w:color="auto"/>
            <w:left w:val="none" w:sz="0" w:space="0" w:color="auto"/>
            <w:bottom w:val="none" w:sz="0" w:space="0" w:color="auto"/>
            <w:right w:val="none" w:sz="0" w:space="0" w:color="auto"/>
          </w:divBdr>
        </w:div>
        <w:div w:id="1906446855">
          <w:marLeft w:val="0"/>
          <w:marRight w:val="0"/>
          <w:marTop w:val="0"/>
          <w:marBottom w:val="0"/>
          <w:divBdr>
            <w:top w:val="none" w:sz="0" w:space="0" w:color="auto"/>
            <w:left w:val="none" w:sz="0" w:space="0" w:color="auto"/>
            <w:bottom w:val="none" w:sz="0" w:space="0" w:color="auto"/>
            <w:right w:val="none" w:sz="0" w:space="0" w:color="auto"/>
          </w:divBdr>
        </w:div>
      </w:divsChild>
    </w:div>
    <w:div w:id="1521888866">
      <w:bodyDiv w:val="1"/>
      <w:marLeft w:val="0"/>
      <w:marRight w:val="0"/>
      <w:marTop w:val="0"/>
      <w:marBottom w:val="0"/>
      <w:divBdr>
        <w:top w:val="none" w:sz="0" w:space="0" w:color="auto"/>
        <w:left w:val="none" w:sz="0" w:space="0" w:color="auto"/>
        <w:bottom w:val="none" w:sz="0" w:space="0" w:color="auto"/>
        <w:right w:val="none" w:sz="0" w:space="0" w:color="auto"/>
      </w:divBdr>
    </w:div>
    <w:div w:id="1540120488">
      <w:bodyDiv w:val="1"/>
      <w:marLeft w:val="0"/>
      <w:marRight w:val="0"/>
      <w:marTop w:val="0"/>
      <w:marBottom w:val="0"/>
      <w:divBdr>
        <w:top w:val="none" w:sz="0" w:space="0" w:color="auto"/>
        <w:left w:val="none" w:sz="0" w:space="0" w:color="auto"/>
        <w:bottom w:val="none" w:sz="0" w:space="0" w:color="auto"/>
        <w:right w:val="none" w:sz="0" w:space="0" w:color="auto"/>
      </w:divBdr>
    </w:div>
    <w:div w:id="1540581314">
      <w:bodyDiv w:val="1"/>
      <w:marLeft w:val="0"/>
      <w:marRight w:val="0"/>
      <w:marTop w:val="0"/>
      <w:marBottom w:val="0"/>
      <w:divBdr>
        <w:top w:val="none" w:sz="0" w:space="0" w:color="auto"/>
        <w:left w:val="none" w:sz="0" w:space="0" w:color="auto"/>
        <w:bottom w:val="none" w:sz="0" w:space="0" w:color="auto"/>
        <w:right w:val="none" w:sz="0" w:space="0" w:color="auto"/>
      </w:divBdr>
    </w:div>
    <w:div w:id="1562909669">
      <w:bodyDiv w:val="1"/>
      <w:marLeft w:val="0"/>
      <w:marRight w:val="0"/>
      <w:marTop w:val="0"/>
      <w:marBottom w:val="0"/>
      <w:divBdr>
        <w:top w:val="none" w:sz="0" w:space="0" w:color="auto"/>
        <w:left w:val="none" w:sz="0" w:space="0" w:color="auto"/>
        <w:bottom w:val="none" w:sz="0" w:space="0" w:color="auto"/>
        <w:right w:val="none" w:sz="0" w:space="0" w:color="auto"/>
      </w:divBdr>
    </w:div>
    <w:div w:id="1563102953">
      <w:bodyDiv w:val="1"/>
      <w:marLeft w:val="0"/>
      <w:marRight w:val="0"/>
      <w:marTop w:val="0"/>
      <w:marBottom w:val="0"/>
      <w:divBdr>
        <w:top w:val="none" w:sz="0" w:space="0" w:color="auto"/>
        <w:left w:val="none" w:sz="0" w:space="0" w:color="auto"/>
        <w:bottom w:val="none" w:sz="0" w:space="0" w:color="auto"/>
        <w:right w:val="none" w:sz="0" w:space="0" w:color="auto"/>
      </w:divBdr>
    </w:div>
    <w:div w:id="1568690106">
      <w:bodyDiv w:val="1"/>
      <w:marLeft w:val="0"/>
      <w:marRight w:val="0"/>
      <w:marTop w:val="0"/>
      <w:marBottom w:val="0"/>
      <w:divBdr>
        <w:top w:val="none" w:sz="0" w:space="0" w:color="auto"/>
        <w:left w:val="none" w:sz="0" w:space="0" w:color="auto"/>
        <w:bottom w:val="none" w:sz="0" w:space="0" w:color="auto"/>
        <w:right w:val="none" w:sz="0" w:space="0" w:color="auto"/>
      </w:divBdr>
    </w:div>
    <w:div w:id="1568997516">
      <w:bodyDiv w:val="1"/>
      <w:marLeft w:val="0"/>
      <w:marRight w:val="0"/>
      <w:marTop w:val="0"/>
      <w:marBottom w:val="0"/>
      <w:divBdr>
        <w:top w:val="none" w:sz="0" w:space="0" w:color="auto"/>
        <w:left w:val="none" w:sz="0" w:space="0" w:color="auto"/>
        <w:bottom w:val="none" w:sz="0" w:space="0" w:color="auto"/>
        <w:right w:val="none" w:sz="0" w:space="0" w:color="auto"/>
      </w:divBdr>
    </w:div>
    <w:div w:id="1575583399">
      <w:bodyDiv w:val="1"/>
      <w:marLeft w:val="0"/>
      <w:marRight w:val="0"/>
      <w:marTop w:val="0"/>
      <w:marBottom w:val="0"/>
      <w:divBdr>
        <w:top w:val="none" w:sz="0" w:space="0" w:color="auto"/>
        <w:left w:val="none" w:sz="0" w:space="0" w:color="auto"/>
        <w:bottom w:val="none" w:sz="0" w:space="0" w:color="auto"/>
        <w:right w:val="none" w:sz="0" w:space="0" w:color="auto"/>
      </w:divBdr>
      <w:divsChild>
        <w:div w:id="222063826">
          <w:marLeft w:val="0"/>
          <w:marRight w:val="0"/>
          <w:marTop w:val="0"/>
          <w:marBottom w:val="0"/>
          <w:divBdr>
            <w:top w:val="none" w:sz="0" w:space="0" w:color="auto"/>
            <w:left w:val="none" w:sz="0" w:space="0" w:color="auto"/>
            <w:bottom w:val="none" w:sz="0" w:space="0" w:color="auto"/>
            <w:right w:val="none" w:sz="0" w:space="0" w:color="auto"/>
          </w:divBdr>
          <w:divsChild>
            <w:div w:id="1694259253">
              <w:marLeft w:val="0"/>
              <w:marRight w:val="0"/>
              <w:marTop w:val="0"/>
              <w:marBottom w:val="0"/>
              <w:divBdr>
                <w:top w:val="none" w:sz="0" w:space="0" w:color="auto"/>
                <w:left w:val="none" w:sz="0" w:space="0" w:color="auto"/>
                <w:bottom w:val="none" w:sz="0" w:space="0" w:color="auto"/>
                <w:right w:val="none" w:sz="0" w:space="0" w:color="auto"/>
              </w:divBdr>
              <w:divsChild>
                <w:div w:id="338434057">
                  <w:marLeft w:val="0"/>
                  <w:marRight w:val="0"/>
                  <w:marTop w:val="0"/>
                  <w:marBottom w:val="0"/>
                  <w:divBdr>
                    <w:top w:val="none" w:sz="0" w:space="0" w:color="auto"/>
                    <w:left w:val="none" w:sz="0" w:space="0" w:color="auto"/>
                    <w:bottom w:val="none" w:sz="0" w:space="0" w:color="auto"/>
                    <w:right w:val="none" w:sz="0" w:space="0" w:color="auto"/>
                  </w:divBdr>
                </w:div>
                <w:div w:id="482814901">
                  <w:marLeft w:val="0"/>
                  <w:marRight w:val="0"/>
                  <w:marTop w:val="0"/>
                  <w:marBottom w:val="0"/>
                  <w:divBdr>
                    <w:top w:val="none" w:sz="0" w:space="0" w:color="auto"/>
                    <w:left w:val="none" w:sz="0" w:space="0" w:color="auto"/>
                    <w:bottom w:val="none" w:sz="0" w:space="0" w:color="auto"/>
                    <w:right w:val="none" w:sz="0" w:space="0" w:color="auto"/>
                  </w:divBdr>
                </w:div>
                <w:div w:id="519315665">
                  <w:marLeft w:val="0"/>
                  <w:marRight w:val="0"/>
                  <w:marTop w:val="0"/>
                  <w:marBottom w:val="0"/>
                  <w:divBdr>
                    <w:top w:val="none" w:sz="0" w:space="0" w:color="auto"/>
                    <w:left w:val="none" w:sz="0" w:space="0" w:color="auto"/>
                    <w:bottom w:val="none" w:sz="0" w:space="0" w:color="auto"/>
                    <w:right w:val="none" w:sz="0" w:space="0" w:color="auto"/>
                  </w:divBdr>
                </w:div>
                <w:div w:id="1376075416">
                  <w:marLeft w:val="0"/>
                  <w:marRight w:val="0"/>
                  <w:marTop w:val="0"/>
                  <w:marBottom w:val="0"/>
                  <w:divBdr>
                    <w:top w:val="none" w:sz="0" w:space="0" w:color="auto"/>
                    <w:left w:val="none" w:sz="0" w:space="0" w:color="auto"/>
                    <w:bottom w:val="none" w:sz="0" w:space="0" w:color="auto"/>
                    <w:right w:val="none" w:sz="0" w:space="0" w:color="auto"/>
                  </w:divBdr>
                </w:div>
                <w:div w:id="1520847843">
                  <w:marLeft w:val="0"/>
                  <w:marRight w:val="0"/>
                  <w:marTop w:val="0"/>
                  <w:marBottom w:val="0"/>
                  <w:divBdr>
                    <w:top w:val="none" w:sz="0" w:space="0" w:color="auto"/>
                    <w:left w:val="none" w:sz="0" w:space="0" w:color="auto"/>
                    <w:bottom w:val="none" w:sz="0" w:space="0" w:color="auto"/>
                    <w:right w:val="none" w:sz="0" w:space="0" w:color="auto"/>
                  </w:divBdr>
                </w:div>
                <w:div w:id="186444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50330">
          <w:marLeft w:val="0"/>
          <w:marRight w:val="0"/>
          <w:marTop w:val="0"/>
          <w:marBottom w:val="0"/>
          <w:divBdr>
            <w:top w:val="none" w:sz="0" w:space="0" w:color="auto"/>
            <w:left w:val="none" w:sz="0" w:space="0" w:color="auto"/>
            <w:bottom w:val="none" w:sz="0" w:space="0" w:color="auto"/>
            <w:right w:val="none" w:sz="0" w:space="0" w:color="auto"/>
          </w:divBdr>
        </w:div>
        <w:div w:id="740716022">
          <w:marLeft w:val="0"/>
          <w:marRight w:val="0"/>
          <w:marTop w:val="0"/>
          <w:marBottom w:val="0"/>
          <w:divBdr>
            <w:top w:val="none" w:sz="0" w:space="0" w:color="auto"/>
            <w:left w:val="none" w:sz="0" w:space="0" w:color="auto"/>
            <w:bottom w:val="none" w:sz="0" w:space="0" w:color="auto"/>
            <w:right w:val="none" w:sz="0" w:space="0" w:color="auto"/>
          </w:divBdr>
        </w:div>
        <w:div w:id="746347930">
          <w:marLeft w:val="0"/>
          <w:marRight w:val="0"/>
          <w:marTop w:val="0"/>
          <w:marBottom w:val="0"/>
          <w:divBdr>
            <w:top w:val="none" w:sz="0" w:space="0" w:color="auto"/>
            <w:left w:val="none" w:sz="0" w:space="0" w:color="auto"/>
            <w:bottom w:val="none" w:sz="0" w:space="0" w:color="auto"/>
            <w:right w:val="none" w:sz="0" w:space="0" w:color="auto"/>
          </w:divBdr>
        </w:div>
        <w:div w:id="1026784641">
          <w:marLeft w:val="0"/>
          <w:marRight w:val="0"/>
          <w:marTop w:val="0"/>
          <w:marBottom w:val="0"/>
          <w:divBdr>
            <w:top w:val="none" w:sz="0" w:space="0" w:color="auto"/>
            <w:left w:val="none" w:sz="0" w:space="0" w:color="auto"/>
            <w:bottom w:val="none" w:sz="0" w:space="0" w:color="auto"/>
            <w:right w:val="none" w:sz="0" w:space="0" w:color="auto"/>
          </w:divBdr>
          <w:divsChild>
            <w:div w:id="583102363">
              <w:marLeft w:val="0"/>
              <w:marRight w:val="0"/>
              <w:marTop w:val="0"/>
              <w:marBottom w:val="0"/>
              <w:divBdr>
                <w:top w:val="none" w:sz="0" w:space="0" w:color="auto"/>
                <w:left w:val="none" w:sz="0" w:space="0" w:color="auto"/>
                <w:bottom w:val="none" w:sz="0" w:space="0" w:color="auto"/>
                <w:right w:val="none" w:sz="0" w:space="0" w:color="auto"/>
              </w:divBdr>
              <w:divsChild>
                <w:div w:id="255358927">
                  <w:marLeft w:val="0"/>
                  <w:marRight w:val="0"/>
                  <w:marTop w:val="0"/>
                  <w:marBottom w:val="0"/>
                  <w:divBdr>
                    <w:top w:val="none" w:sz="0" w:space="0" w:color="auto"/>
                    <w:left w:val="none" w:sz="0" w:space="0" w:color="auto"/>
                    <w:bottom w:val="none" w:sz="0" w:space="0" w:color="auto"/>
                    <w:right w:val="none" w:sz="0" w:space="0" w:color="auto"/>
                  </w:divBdr>
                </w:div>
                <w:div w:id="1124150913">
                  <w:marLeft w:val="0"/>
                  <w:marRight w:val="0"/>
                  <w:marTop w:val="0"/>
                  <w:marBottom w:val="0"/>
                  <w:divBdr>
                    <w:top w:val="none" w:sz="0" w:space="0" w:color="auto"/>
                    <w:left w:val="none" w:sz="0" w:space="0" w:color="auto"/>
                    <w:bottom w:val="none" w:sz="0" w:space="0" w:color="auto"/>
                    <w:right w:val="none" w:sz="0" w:space="0" w:color="auto"/>
                  </w:divBdr>
                </w:div>
                <w:div w:id="188929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330696">
          <w:marLeft w:val="0"/>
          <w:marRight w:val="0"/>
          <w:marTop w:val="0"/>
          <w:marBottom w:val="0"/>
          <w:divBdr>
            <w:top w:val="none" w:sz="0" w:space="0" w:color="auto"/>
            <w:left w:val="none" w:sz="0" w:space="0" w:color="auto"/>
            <w:bottom w:val="none" w:sz="0" w:space="0" w:color="auto"/>
            <w:right w:val="none" w:sz="0" w:space="0" w:color="auto"/>
          </w:divBdr>
        </w:div>
        <w:div w:id="1221281972">
          <w:marLeft w:val="0"/>
          <w:marRight w:val="0"/>
          <w:marTop w:val="0"/>
          <w:marBottom w:val="0"/>
          <w:divBdr>
            <w:top w:val="none" w:sz="0" w:space="0" w:color="auto"/>
            <w:left w:val="none" w:sz="0" w:space="0" w:color="auto"/>
            <w:bottom w:val="none" w:sz="0" w:space="0" w:color="auto"/>
            <w:right w:val="none" w:sz="0" w:space="0" w:color="auto"/>
          </w:divBdr>
          <w:divsChild>
            <w:div w:id="1107430299">
              <w:marLeft w:val="0"/>
              <w:marRight w:val="0"/>
              <w:marTop w:val="0"/>
              <w:marBottom w:val="0"/>
              <w:divBdr>
                <w:top w:val="none" w:sz="0" w:space="0" w:color="auto"/>
                <w:left w:val="none" w:sz="0" w:space="0" w:color="auto"/>
                <w:bottom w:val="none" w:sz="0" w:space="0" w:color="auto"/>
                <w:right w:val="none" w:sz="0" w:space="0" w:color="auto"/>
              </w:divBdr>
              <w:divsChild>
                <w:div w:id="137263084">
                  <w:marLeft w:val="0"/>
                  <w:marRight w:val="0"/>
                  <w:marTop w:val="0"/>
                  <w:marBottom w:val="0"/>
                  <w:divBdr>
                    <w:top w:val="none" w:sz="0" w:space="0" w:color="auto"/>
                    <w:left w:val="none" w:sz="0" w:space="0" w:color="auto"/>
                    <w:bottom w:val="none" w:sz="0" w:space="0" w:color="auto"/>
                    <w:right w:val="none" w:sz="0" w:space="0" w:color="auto"/>
                  </w:divBdr>
                </w:div>
                <w:div w:id="820390718">
                  <w:marLeft w:val="0"/>
                  <w:marRight w:val="0"/>
                  <w:marTop w:val="0"/>
                  <w:marBottom w:val="0"/>
                  <w:divBdr>
                    <w:top w:val="none" w:sz="0" w:space="0" w:color="auto"/>
                    <w:left w:val="none" w:sz="0" w:space="0" w:color="auto"/>
                    <w:bottom w:val="none" w:sz="0" w:space="0" w:color="auto"/>
                    <w:right w:val="none" w:sz="0" w:space="0" w:color="auto"/>
                  </w:divBdr>
                </w:div>
                <w:div w:id="1458984588">
                  <w:marLeft w:val="0"/>
                  <w:marRight w:val="0"/>
                  <w:marTop w:val="0"/>
                  <w:marBottom w:val="0"/>
                  <w:divBdr>
                    <w:top w:val="none" w:sz="0" w:space="0" w:color="auto"/>
                    <w:left w:val="none" w:sz="0" w:space="0" w:color="auto"/>
                    <w:bottom w:val="none" w:sz="0" w:space="0" w:color="auto"/>
                    <w:right w:val="none" w:sz="0" w:space="0" w:color="auto"/>
                  </w:divBdr>
                </w:div>
                <w:div w:id="170020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43053">
          <w:marLeft w:val="0"/>
          <w:marRight w:val="0"/>
          <w:marTop w:val="0"/>
          <w:marBottom w:val="0"/>
          <w:divBdr>
            <w:top w:val="none" w:sz="0" w:space="0" w:color="auto"/>
            <w:left w:val="none" w:sz="0" w:space="0" w:color="auto"/>
            <w:bottom w:val="none" w:sz="0" w:space="0" w:color="auto"/>
            <w:right w:val="none" w:sz="0" w:space="0" w:color="auto"/>
          </w:divBdr>
          <w:divsChild>
            <w:div w:id="1176579701">
              <w:marLeft w:val="0"/>
              <w:marRight w:val="0"/>
              <w:marTop w:val="0"/>
              <w:marBottom w:val="0"/>
              <w:divBdr>
                <w:top w:val="none" w:sz="0" w:space="0" w:color="auto"/>
                <w:left w:val="none" w:sz="0" w:space="0" w:color="auto"/>
                <w:bottom w:val="none" w:sz="0" w:space="0" w:color="auto"/>
                <w:right w:val="none" w:sz="0" w:space="0" w:color="auto"/>
              </w:divBdr>
              <w:divsChild>
                <w:div w:id="3674322">
                  <w:marLeft w:val="0"/>
                  <w:marRight w:val="0"/>
                  <w:marTop w:val="0"/>
                  <w:marBottom w:val="0"/>
                  <w:divBdr>
                    <w:top w:val="none" w:sz="0" w:space="0" w:color="auto"/>
                    <w:left w:val="none" w:sz="0" w:space="0" w:color="auto"/>
                    <w:bottom w:val="none" w:sz="0" w:space="0" w:color="auto"/>
                    <w:right w:val="none" w:sz="0" w:space="0" w:color="auto"/>
                  </w:divBdr>
                </w:div>
                <w:div w:id="165610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853205">
          <w:marLeft w:val="0"/>
          <w:marRight w:val="0"/>
          <w:marTop w:val="0"/>
          <w:marBottom w:val="0"/>
          <w:divBdr>
            <w:top w:val="none" w:sz="0" w:space="0" w:color="auto"/>
            <w:left w:val="none" w:sz="0" w:space="0" w:color="auto"/>
            <w:bottom w:val="none" w:sz="0" w:space="0" w:color="auto"/>
            <w:right w:val="none" w:sz="0" w:space="0" w:color="auto"/>
          </w:divBdr>
          <w:divsChild>
            <w:div w:id="929584403">
              <w:marLeft w:val="0"/>
              <w:marRight w:val="0"/>
              <w:marTop w:val="0"/>
              <w:marBottom w:val="0"/>
              <w:divBdr>
                <w:top w:val="none" w:sz="0" w:space="0" w:color="auto"/>
                <w:left w:val="none" w:sz="0" w:space="0" w:color="auto"/>
                <w:bottom w:val="none" w:sz="0" w:space="0" w:color="auto"/>
                <w:right w:val="none" w:sz="0" w:space="0" w:color="auto"/>
              </w:divBdr>
            </w:div>
          </w:divsChild>
        </w:div>
        <w:div w:id="1507403136">
          <w:marLeft w:val="0"/>
          <w:marRight w:val="0"/>
          <w:marTop w:val="0"/>
          <w:marBottom w:val="0"/>
          <w:divBdr>
            <w:top w:val="none" w:sz="0" w:space="0" w:color="auto"/>
            <w:left w:val="none" w:sz="0" w:space="0" w:color="auto"/>
            <w:bottom w:val="none" w:sz="0" w:space="0" w:color="auto"/>
            <w:right w:val="none" w:sz="0" w:space="0" w:color="auto"/>
          </w:divBdr>
        </w:div>
        <w:div w:id="1804882594">
          <w:marLeft w:val="0"/>
          <w:marRight w:val="0"/>
          <w:marTop w:val="0"/>
          <w:marBottom w:val="0"/>
          <w:divBdr>
            <w:top w:val="none" w:sz="0" w:space="0" w:color="auto"/>
            <w:left w:val="none" w:sz="0" w:space="0" w:color="auto"/>
            <w:bottom w:val="none" w:sz="0" w:space="0" w:color="auto"/>
            <w:right w:val="none" w:sz="0" w:space="0" w:color="auto"/>
          </w:divBdr>
        </w:div>
        <w:div w:id="1895582049">
          <w:marLeft w:val="0"/>
          <w:marRight w:val="0"/>
          <w:marTop w:val="0"/>
          <w:marBottom w:val="0"/>
          <w:divBdr>
            <w:top w:val="none" w:sz="0" w:space="0" w:color="auto"/>
            <w:left w:val="none" w:sz="0" w:space="0" w:color="auto"/>
            <w:bottom w:val="none" w:sz="0" w:space="0" w:color="auto"/>
            <w:right w:val="none" w:sz="0" w:space="0" w:color="auto"/>
          </w:divBdr>
        </w:div>
        <w:div w:id="2050832432">
          <w:marLeft w:val="0"/>
          <w:marRight w:val="0"/>
          <w:marTop w:val="0"/>
          <w:marBottom w:val="0"/>
          <w:divBdr>
            <w:top w:val="none" w:sz="0" w:space="0" w:color="auto"/>
            <w:left w:val="none" w:sz="0" w:space="0" w:color="auto"/>
            <w:bottom w:val="none" w:sz="0" w:space="0" w:color="auto"/>
            <w:right w:val="none" w:sz="0" w:space="0" w:color="auto"/>
          </w:divBdr>
        </w:div>
      </w:divsChild>
    </w:div>
    <w:div w:id="1587567545">
      <w:bodyDiv w:val="1"/>
      <w:marLeft w:val="0"/>
      <w:marRight w:val="0"/>
      <w:marTop w:val="0"/>
      <w:marBottom w:val="0"/>
      <w:divBdr>
        <w:top w:val="none" w:sz="0" w:space="0" w:color="auto"/>
        <w:left w:val="none" w:sz="0" w:space="0" w:color="auto"/>
        <w:bottom w:val="none" w:sz="0" w:space="0" w:color="auto"/>
        <w:right w:val="none" w:sz="0" w:space="0" w:color="auto"/>
      </w:divBdr>
    </w:div>
    <w:div w:id="1596866588">
      <w:bodyDiv w:val="1"/>
      <w:marLeft w:val="0"/>
      <w:marRight w:val="0"/>
      <w:marTop w:val="0"/>
      <w:marBottom w:val="0"/>
      <w:divBdr>
        <w:top w:val="none" w:sz="0" w:space="0" w:color="auto"/>
        <w:left w:val="none" w:sz="0" w:space="0" w:color="auto"/>
        <w:bottom w:val="none" w:sz="0" w:space="0" w:color="auto"/>
        <w:right w:val="none" w:sz="0" w:space="0" w:color="auto"/>
      </w:divBdr>
    </w:div>
    <w:div w:id="1611087471">
      <w:bodyDiv w:val="1"/>
      <w:marLeft w:val="0"/>
      <w:marRight w:val="0"/>
      <w:marTop w:val="0"/>
      <w:marBottom w:val="0"/>
      <w:divBdr>
        <w:top w:val="none" w:sz="0" w:space="0" w:color="auto"/>
        <w:left w:val="none" w:sz="0" w:space="0" w:color="auto"/>
        <w:bottom w:val="none" w:sz="0" w:space="0" w:color="auto"/>
        <w:right w:val="none" w:sz="0" w:space="0" w:color="auto"/>
      </w:divBdr>
      <w:divsChild>
        <w:div w:id="138117043">
          <w:marLeft w:val="274"/>
          <w:marRight w:val="0"/>
          <w:marTop w:val="0"/>
          <w:marBottom w:val="0"/>
          <w:divBdr>
            <w:top w:val="none" w:sz="0" w:space="0" w:color="auto"/>
            <w:left w:val="none" w:sz="0" w:space="0" w:color="auto"/>
            <w:bottom w:val="none" w:sz="0" w:space="0" w:color="auto"/>
            <w:right w:val="none" w:sz="0" w:space="0" w:color="auto"/>
          </w:divBdr>
        </w:div>
        <w:div w:id="1112558444">
          <w:marLeft w:val="274"/>
          <w:marRight w:val="0"/>
          <w:marTop w:val="0"/>
          <w:marBottom w:val="0"/>
          <w:divBdr>
            <w:top w:val="none" w:sz="0" w:space="0" w:color="auto"/>
            <w:left w:val="none" w:sz="0" w:space="0" w:color="auto"/>
            <w:bottom w:val="none" w:sz="0" w:space="0" w:color="auto"/>
            <w:right w:val="none" w:sz="0" w:space="0" w:color="auto"/>
          </w:divBdr>
        </w:div>
        <w:div w:id="1627153469">
          <w:marLeft w:val="274"/>
          <w:marRight w:val="0"/>
          <w:marTop w:val="0"/>
          <w:marBottom w:val="0"/>
          <w:divBdr>
            <w:top w:val="none" w:sz="0" w:space="0" w:color="auto"/>
            <w:left w:val="none" w:sz="0" w:space="0" w:color="auto"/>
            <w:bottom w:val="none" w:sz="0" w:space="0" w:color="auto"/>
            <w:right w:val="none" w:sz="0" w:space="0" w:color="auto"/>
          </w:divBdr>
        </w:div>
        <w:div w:id="1837651163">
          <w:marLeft w:val="994"/>
          <w:marRight w:val="0"/>
          <w:marTop w:val="0"/>
          <w:marBottom w:val="0"/>
          <w:divBdr>
            <w:top w:val="none" w:sz="0" w:space="0" w:color="auto"/>
            <w:left w:val="none" w:sz="0" w:space="0" w:color="auto"/>
            <w:bottom w:val="none" w:sz="0" w:space="0" w:color="auto"/>
            <w:right w:val="none" w:sz="0" w:space="0" w:color="auto"/>
          </w:divBdr>
        </w:div>
        <w:div w:id="1876311554">
          <w:marLeft w:val="994"/>
          <w:marRight w:val="0"/>
          <w:marTop w:val="0"/>
          <w:marBottom w:val="0"/>
          <w:divBdr>
            <w:top w:val="none" w:sz="0" w:space="0" w:color="auto"/>
            <w:left w:val="none" w:sz="0" w:space="0" w:color="auto"/>
            <w:bottom w:val="none" w:sz="0" w:space="0" w:color="auto"/>
            <w:right w:val="none" w:sz="0" w:space="0" w:color="auto"/>
          </w:divBdr>
        </w:div>
      </w:divsChild>
    </w:div>
    <w:div w:id="1637837458">
      <w:bodyDiv w:val="1"/>
      <w:marLeft w:val="0"/>
      <w:marRight w:val="0"/>
      <w:marTop w:val="0"/>
      <w:marBottom w:val="0"/>
      <w:divBdr>
        <w:top w:val="none" w:sz="0" w:space="0" w:color="auto"/>
        <w:left w:val="none" w:sz="0" w:space="0" w:color="auto"/>
        <w:bottom w:val="none" w:sz="0" w:space="0" w:color="auto"/>
        <w:right w:val="none" w:sz="0" w:space="0" w:color="auto"/>
      </w:divBdr>
      <w:divsChild>
        <w:div w:id="226576820">
          <w:marLeft w:val="274"/>
          <w:marRight w:val="0"/>
          <w:marTop w:val="0"/>
          <w:marBottom w:val="0"/>
          <w:divBdr>
            <w:top w:val="none" w:sz="0" w:space="0" w:color="auto"/>
            <w:left w:val="none" w:sz="0" w:space="0" w:color="auto"/>
            <w:bottom w:val="none" w:sz="0" w:space="0" w:color="auto"/>
            <w:right w:val="none" w:sz="0" w:space="0" w:color="auto"/>
          </w:divBdr>
        </w:div>
        <w:div w:id="267543716">
          <w:marLeft w:val="274"/>
          <w:marRight w:val="0"/>
          <w:marTop w:val="0"/>
          <w:marBottom w:val="0"/>
          <w:divBdr>
            <w:top w:val="none" w:sz="0" w:space="0" w:color="auto"/>
            <w:left w:val="none" w:sz="0" w:space="0" w:color="auto"/>
            <w:bottom w:val="none" w:sz="0" w:space="0" w:color="auto"/>
            <w:right w:val="none" w:sz="0" w:space="0" w:color="auto"/>
          </w:divBdr>
        </w:div>
        <w:div w:id="446313093">
          <w:marLeft w:val="274"/>
          <w:marRight w:val="0"/>
          <w:marTop w:val="0"/>
          <w:marBottom w:val="0"/>
          <w:divBdr>
            <w:top w:val="none" w:sz="0" w:space="0" w:color="auto"/>
            <w:left w:val="none" w:sz="0" w:space="0" w:color="auto"/>
            <w:bottom w:val="none" w:sz="0" w:space="0" w:color="auto"/>
            <w:right w:val="none" w:sz="0" w:space="0" w:color="auto"/>
          </w:divBdr>
        </w:div>
        <w:div w:id="553389833">
          <w:marLeft w:val="1714"/>
          <w:marRight w:val="0"/>
          <w:marTop w:val="0"/>
          <w:marBottom w:val="0"/>
          <w:divBdr>
            <w:top w:val="none" w:sz="0" w:space="0" w:color="auto"/>
            <w:left w:val="none" w:sz="0" w:space="0" w:color="auto"/>
            <w:bottom w:val="none" w:sz="0" w:space="0" w:color="auto"/>
            <w:right w:val="none" w:sz="0" w:space="0" w:color="auto"/>
          </w:divBdr>
        </w:div>
        <w:div w:id="586617151">
          <w:marLeft w:val="1714"/>
          <w:marRight w:val="0"/>
          <w:marTop w:val="0"/>
          <w:marBottom w:val="0"/>
          <w:divBdr>
            <w:top w:val="none" w:sz="0" w:space="0" w:color="auto"/>
            <w:left w:val="none" w:sz="0" w:space="0" w:color="auto"/>
            <w:bottom w:val="none" w:sz="0" w:space="0" w:color="auto"/>
            <w:right w:val="none" w:sz="0" w:space="0" w:color="auto"/>
          </w:divBdr>
        </w:div>
        <w:div w:id="628171259">
          <w:marLeft w:val="274"/>
          <w:marRight w:val="0"/>
          <w:marTop w:val="0"/>
          <w:marBottom w:val="0"/>
          <w:divBdr>
            <w:top w:val="none" w:sz="0" w:space="0" w:color="auto"/>
            <w:left w:val="none" w:sz="0" w:space="0" w:color="auto"/>
            <w:bottom w:val="none" w:sz="0" w:space="0" w:color="auto"/>
            <w:right w:val="none" w:sz="0" w:space="0" w:color="auto"/>
          </w:divBdr>
        </w:div>
        <w:div w:id="654188983">
          <w:marLeft w:val="274"/>
          <w:marRight w:val="0"/>
          <w:marTop w:val="0"/>
          <w:marBottom w:val="0"/>
          <w:divBdr>
            <w:top w:val="none" w:sz="0" w:space="0" w:color="auto"/>
            <w:left w:val="none" w:sz="0" w:space="0" w:color="auto"/>
            <w:bottom w:val="none" w:sz="0" w:space="0" w:color="auto"/>
            <w:right w:val="none" w:sz="0" w:space="0" w:color="auto"/>
          </w:divBdr>
        </w:div>
        <w:div w:id="679967633">
          <w:marLeft w:val="274"/>
          <w:marRight w:val="0"/>
          <w:marTop w:val="0"/>
          <w:marBottom w:val="0"/>
          <w:divBdr>
            <w:top w:val="none" w:sz="0" w:space="0" w:color="auto"/>
            <w:left w:val="none" w:sz="0" w:space="0" w:color="auto"/>
            <w:bottom w:val="none" w:sz="0" w:space="0" w:color="auto"/>
            <w:right w:val="none" w:sz="0" w:space="0" w:color="auto"/>
          </w:divBdr>
        </w:div>
        <w:div w:id="734937875">
          <w:marLeft w:val="274"/>
          <w:marRight w:val="0"/>
          <w:marTop w:val="0"/>
          <w:marBottom w:val="0"/>
          <w:divBdr>
            <w:top w:val="none" w:sz="0" w:space="0" w:color="auto"/>
            <w:left w:val="none" w:sz="0" w:space="0" w:color="auto"/>
            <w:bottom w:val="none" w:sz="0" w:space="0" w:color="auto"/>
            <w:right w:val="none" w:sz="0" w:space="0" w:color="auto"/>
          </w:divBdr>
        </w:div>
        <w:div w:id="767459132">
          <w:marLeft w:val="1714"/>
          <w:marRight w:val="0"/>
          <w:marTop w:val="0"/>
          <w:marBottom w:val="0"/>
          <w:divBdr>
            <w:top w:val="none" w:sz="0" w:space="0" w:color="auto"/>
            <w:left w:val="none" w:sz="0" w:space="0" w:color="auto"/>
            <w:bottom w:val="none" w:sz="0" w:space="0" w:color="auto"/>
            <w:right w:val="none" w:sz="0" w:space="0" w:color="auto"/>
          </w:divBdr>
        </w:div>
        <w:div w:id="1001545971">
          <w:marLeft w:val="274"/>
          <w:marRight w:val="0"/>
          <w:marTop w:val="0"/>
          <w:marBottom w:val="0"/>
          <w:divBdr>
            <w:top w:val="none" w:sz="0" w:space="0" w:color="auto"/>
            <w:left w:val="none" w:sz="0" w:space="0" w:color="auto"/>
            <w:bottom w:val="none" w:sz="0" w:space="0" w:color="auto"/>
            <w:right w:val="none" w:sz="0" w:space="0" w:color="auto"/>
          </w:divBdr>
        </w:div>
        <w:div w:id="1069688204">
          <w:marLeft w:val="274"/>
          <w:marRight w:val="0"/>
          <w:marTop w:val="0"/>
          <w:marBottom w:val="0"/>
          <w:divBdr>
            <w:top w:val="none" w:sz="0" w:space="0" w:color="auto"/>
            <w:left w:val="none" w:sz="0" w:space="0" w:color="auto"/>
            <w:bottom w:val="none" w:sz="0" w:space="0" w:color="auto"/>
            <w:right w:val="none" w:sz="0" w:space="0" w:color="auto"/>
          </w:divBdr>
        </w:div>
        <w:div w:id="1289387234">
          <w:marLeft w:val="274"/>
          <w:marRight w:val="0"/>
          <w:marTop w:val="0"/>
          <w:marBottom w:val="0"/>
          <w:divBdr>
            <w:top w:val="none" w:sz="0" w:space="0" w:color="auto"/>
            <w:left w:val="none" w:sz="0" w:space="0" w:color="auto"/>
            <w:bottom w:val="none" w:sz="0" w:space="0" w:color="auto"/>
            <w:right w:val="none" w:sz="0" w:space="0" w:color="auto"/>
          </w:divBdr>
        </w:div>
        <w:div w:id="1474443792">
          <w:marLeft w:val="274"/>
          <w:marRight w:val="0"/>
          <w:marTop w:val="0"/>
          <w:marBottom w:val="0"/>
          <w:divBdr>
            <w:top w:val="none" w:sz="0" w:space="0" w:color="auto"/>
            <w:left w:val="none" w:sz="0" w:space="0" w:color="auto"/>
            <w:bottom w:val="none" w:sz="0" w:space="0" w:color="auto"/>
            <w:right w:val="none" w:sz="0" w:space="0" w:color="auto"/>
          </w:divBdr>
        </w:div>
        <w:div w:id="1529413642">
          <w:marLeft w:val="274"/>
          <w:marRight w:val="0"/>
          <w:marTop w:val="0"/>
          <w:marBottom w:val="0"/>
          <w:divBdr>
            <w:top w:val="none" w:sz="0" w:space="0" w:color="auto"/>
            <w:left w:val="none" w:sz="0" w:space="0" w:color="auto"/>
            <w:bottom w:val="none" w:sz="0" w:space="0" w:color="auto"/>
            <w:right w:val="none" w:sz="0" w:space="0" w:color="auto"/>
          </w:divBdr>
        </w:div>
        <w:div w:id="1586649319">
          <w:marLeft w:val="274"/>
          <w:marRight w:val="0"/>
          <w:marTop w:val="0"/>
          <w:marBottom w:val="0"/>
          <w:divBdr>
            <w:top w:val="none" w:sz="0" w:space="0" w:color="auto"/>
            <w:left w:val="none" w:sz="0" w:space="0" w:color="auto"/>
            <w:bottom w:val="none" w:sz="0" w:space="0" w:color="auto"/>
            <w:right w:val="none" w:sz="0" w:space="0" w:color="auto"/>
          </w:divBdr>
        </w:div>
        <w:div w:id="1769696735">
          <w:marLeft w:val="274"/>
          <w:marRight w:val="0"/>
          <w:marTop w:val="0"/>
          <w:marBottom w:val="0"/>
          <w:divBdr>
            <w:top w:val="none" w:sz="0" w:space="0" w:color="auto"/>
            <w:left w:val="none" w:sz="0" w:space="0" w:color="auto"/>
            <w:bottom w:val="none" w:sz="0" w:space="0" w:color="auto"/>
            <w:right w:val="none" w:sz="0" w:space="0" w:color="auto"/>
          </w:divBdr>
        </w:div>
        <w:div w:id="1982494329">
          <w:marLeft w:val="274"/>
          <w:marRight w:val="0"/>
          <w:marTop w:val="0"/>
          <w:marBottom w:val="0"/>
          <w:divBdr>
            <w:top w:val="none" w:sz="0" w:space="0" w:color="auto"/>
            <w:left w:val="none" w:sz="0" w:space="0" w:color="auto"/>
            <w:bottom w:val="none" w:sz="0" w:space="0" w:color="auto"/>
            <w:right w:val="none" w:sz="0" w:space="0" w:color="auto"/>
          </w:divBdr>
        </w:div>
      </w:divsChild>
    </w:div>
    <w:div w:id="1641694102">
      <w:bodyDiv w:val="1"/>
      <w:marLeft w:val="0"/>
      <w:marRight w:val="0"/>
      <w:marTop w:val="0"/>
      <w:marBottom w:val="0"/>
      <w:divBdr>
        <w:top w:val="none" w:sz="0" w:space="0" w:color="auto"/>
        <w:left w:val="none" w:sz="0" w:space="0" w:color="auto"/>
        <w:bottom w:val="none" w:sz="0" w:space="0" w:color="auto"/>
        <w:right w:val="none" w:sz="0" w:space="0" w:color="auto"/>
      </w:divBdr>
      <w:divsChild>
        <w:div w:id="187112396">
          <w:marLeft w:val="0"/>
          <w:marRight w:val="0"/>
          <w:marTop w:val="0"/>
          <w:marBottom w:val="0"/>
          <w:divBdr>
            <w:top w:val="none" w:sz="0" w:space="0" w:color="auto"/>
            <w:left w:val="none" w:sz="0" w:space="0" w:color="auto"/>
            <w:bottom w:val="none" w:sz="0" w:space="0" w:color="auto"/>
            <w:right w:val="none" w:sz="0" w:space="0" w:color="auto"/>
          </w:divBdr>
        </w:div>
        <w:div w:id="982731344">
          <w:marLeft w:val="0"/>
          <w:marRight w:val="0"/>
          <w:marTop w:val="0"/>
          <w:marBottom w:val="0"/>
          <w:divBdr>
            <w:top w:val="none" w:sz="0" w:space="0" w:color="auto"/>
            <w:left w:val="none" w:sz="0" w:space="0" w:color="auto"/>
            <w:bottom w:val="none" w:sz="0" w:space="0" w:color="auto"/>
            <w:right w:val="none" w:sz="0" w:space="0" w:color="auto"/>
          </w:divBdr>
        </w:div>
        <w:div w:id="1150092592">
          <w:marLeft w:val="0"/>
          <w:marRight w:val="0"/>
          <w:marTop w:val="0"/>
          <w:marBottom w:val="0"/>
          <w:divBdr>
            <w:top w:val="none" w:sz="0" w:space="0" w:color="auto"/>
            <w:left w:val="none" w:sz="0" w:space="0" w:color="auto"/>
            <w:bottom w:val="none" w:sz="0" w:space="0" w:color="auto"/>
            <w:right w:val="none" w:sz="0" w:space="0" w:color="auto"/>
          </w:divBdr>
        </w:div>
        <w:div w:id="1454128067">
          <w:marLeft w:val="0"/>
          <w:marRight w:val="0"/>
          <w:marTop w:val="0"/>
          <w:marBottom w:val="0"/>
          <w:divBdr>
            <w:top w:val="none" w:sz="0" w:space="0" w:color="auto"/>
            <w:left w:val="none" w:sz="0" w:space="0" w:color="auto"/>
            <w:bottom w:val="none" w:sz="0" w:space="0" w:color="auto"/>
            <w:right w:val="none" w:sz="0" w:space="0" w:color="auto"/>
          </w:divBdr>
        </w:div>
        <w:div w:id="1808089502">
          <w:marLeft w:val="0"/>
          <w:marRight w:val="0"/>
          <w:marTop w:val="0"/>
          <w:marBottom w:val="0"/>
          <w:divBdr>
            <w:top w:val="none" w:sz="0" w:space="0" w:color="auto"/>
            <w:left w:val="none" w:sz="0" w:space="0" w:color="auto"/>
            <w:bottom w:val="none" w:sz="0" w:space="0" w:color="auto"/>
            <w:right w:val="none" w:sz="0" w:space="0" w:color="auto"/>
          </w:divBdr>
        </w:div>
        <w:div w:id="2063747019">
          <w:marLeft w:val="0"/>
          <w:marRight w:val="0"/>
          <w:marTop w:val="0"/>
          <w:marBottom w:val="0"/>
          <w:divBdr>
            <w:top w:val="none" w:sz="0" w:space="0" w:color="auto"/>
            <w:left w:val="none" w:sz="0" w:space="0" w:color="auto"/>
            <w:bottom w:val="none" w:sz="0" w:space="0" w:color="auto"/>
            <w:right w:val="none" w:sz="0" w:space="0" w:color="auto"/>
          </w:divBdr>
        </w:div>
      </w:divsChild>
    </w:div>
    <w:div w:id="1654215562">
      <w:bodyDiv w:val="1"/>
      <w:marLeft w:val="0"/>
      <w:marRight w:val="0"/>
      <w:marTop w:val="0"/>
      <w:marBottom w:val="0"/>
      <w:divBdr>
        <w:top w:val="none" w:sz="0" w:space="0" w:color="auto"/>
        <w:left w:val="none" w:sz="0" w:space="0" w:color="auto"/>
        <w:bottom w:val="none" w:sz="0" w:space="0" w:color="auto"/>
        <w:right w:val="none" w:sz="0" w:space="0" w:color="auto"/>
      </w:divBdr>
      <w:divsChild>
        <w:div w:id="1524435584">
          <w:marLeft w:val="0"/>
          <w:marRight w:val="0"/>
          <w:marTop w:val="525"/>
          <w:marBottom w:val="525"/>
          <w:divBdr>
            <w:top w:val="none" w:sz="0" w:space="0" w:color="auto"/>
            <w:left w:val="none" w:sz="0" w:space="0" w:color="auto"/>
            <w:bottom w:val="none" w:sz="0" w:space="0" w:color="auto"/>
            <w:right w:val="none" w:sz="0" w:space="0" w:color="auto"/>
          </w:divBdr>
          <w:divsChild>
            <w:div w:id="16937978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63662181">
      <w:bodyDiv w:val="1"/>
      <w:marLeft w:val="0"/>
      <w:marRight w:val="0"/>
      <w:marTop w:val="0"/>
      <w:marBottom w:val="0"/>
      <w:divBdr>
        <w:top w:val="none" w:sz="0" w:space="0" w:color="auto"/>
        <w:left w:val="none" w:sz="0" w:space="0" w:color="auto"/>
        <w:bottom w:val="none" w:sz="0" w:space="0" w:color="auto"/>
        <w:right w:val="none" w:sz="0" w:space="0" w:color="auto"/>
      </w:divBdr>
      <w:divsChild>
        <w:div w:id="1057044803">
          <w:marLeft w:val="0"/>
          <w:marRight w:val="0"/>
          <w:marTop w:val="0"/>
          <w:marBottom w:val="0"/>
          <w:divBdr>
            <w:top w:val="none" w:sz="0" w:space="0" w:color="auto"/>
            <w:left w:val="none" w:sz="0" w:space="0" w:color="auto"/>
            <w:bottom w:val="none" w:sz="0" w:space="0" w:color="auto"/>
            <w:right w:val="none" w:sz="0" w:space="0" w:color="auto"/>
          </w:divBdr>
          <w:divsChild>
            <w:div w:id="52315368">
              <w:marLeft w:val="0"/>
              <w:marRight w:val="0"/>
              <w:marTop w:val="0"/>
              <w:marBottom w:val="0"/>
              <w:divBdr>
                <w:top w:val="none" w:sz="0" w:space="0" w:color="auto"/>
                <w:left w:val="none" w:sz="0" w:space="0" w:color="auto"/>
                <w:bottom w:val="none" w:sz="0" w:space="0" w:color="auto"/>
                <w:right w:val="none" w:sz="0" w:space="0" w:color="auto"/>
              </w:divBdr>
            </w:div>
            <w:div w:id="572858515">
              <w:marLeft w:val="0"/>
              <w:marRight w:val="0"/>
              <w:marTop w:val="0"/>
              <w:marBottom w:val="0"/>
              <w:divBdr>
                <w:top w:val="none" w:sz="0" w:space="0" w:color="auto"/>
                <w:left w:val="none" w:sz="0" w:space="0" w:color="auto"/>
                <w:bottom w:val="none" w:sz="0" w:space="0" w:color="auto"/>
                <w:right w:val="none" w:sz="0" w:space="0" w:color="auto"/>
              </w:divBdr>
            </w:div>
            <w:div w:id="66265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52141">
      <w:bodyDiv w:val="1"/>
      <w:marLeft w:val="0"/>
      <w:marRight w:val="0"/>
      <w:marTop w:val="0"/>
      <w:marBottom w:val="0"/>
      <w:divBdr>
        <w:top w:val="none" w:sz="0" w:space="0" w:color="auto"/>
        <w:left w:val="none" w:sz="0" w:space="0" w:color="auto"/>
        <w:bottom w:val="none" w:sz="0" w:space="0" w:color="auto"/>
        <w:right w:val="none" w:sz="0" w:space="0" w:color="auto"/>
      </w:divBdr>
      <w:divsChild>
        <w:div w:id="38820858">
          <w:marLeft w:val="0"/>
          <w:marRight w:val="0"/>
          <w:marTop w:val="0"/>
          <w:marBottom w:val="0"/>
          <w:divBdr>
            <w:top w:val="none" w:sz="0" w:space="0" w:color="auto"/>
            <w:left w:val="none" w:sz="0" w:space="0" w:color="auto"/>
            <w:bottom w:val="none" w:sz="0" w:space="0" w:color="auto"/>
            <w:right w:val="none" w:sz="0" w:space="0" w:color="auto"/>
          </w:divBdr>
        </w:div>
        <w:div w:id="339242221">
          <w:marLeft w:val="0"/>
          <w:marRight w:val="0"/>
          <w:marTop w:val="0"/>
          <w:marBottom w:val="0"/>
          <w:divBdr>
            <w:top w:val="none" w:sz="0" w:space="0" w:color="auto"/>
            <w:left w:val="none" w:sz="0" w:space="0" w:color="auto"/>
            <w:bottom w:val="none" w:sz="0" w:space="0" w:color="auto"/>
            <w:right w:val="none" w:sz="0" w:space="0" w:color="auto"/>
          </w:divBdr>
          <w:divsChild>
            <w:div w:id="466431834">
              <w:marLeft w:val="0"/>
              <w:marRight w:val="0"/>
              <w:marTop w:val="0"/>
              <w:marBottom w:val="0"/>
              <w:divBdr>
                <w:top w:val="none" w:sz="0" w:space="0" w:color="auto"/>
                <w:left w:val="none" w:sz="0" w:space="0" w:color="auto"/>
                <w:bottom w:val="none" w:sz="0" w:space="0" w:color="auto"/>
                <w:right w:val="none" w:sz="0" w:space="0" w:color="auto"/>
              </w:divBdr>
              <w:divsChild>
                <w:div w:id="281039402">
                  <w:marLeft w:val="0"/>
                  <w:marRight w:val="0"/>
                  <w:marTop w:val="0"/>
                  <w:marBottom w:val="0"/>
                  <w:divBdr>
                    <w:top w:val="none" w:sz="0" w:space="0" w:color="auto"/>
                    <w:left w:val="none" w:sz="0" w:space="0" w:color="auto"/>
                    <w:bottom w:val="none" w:sz="0" w:space="0" w:color="auto"/>
                    <w:right w:val="none" w:sz="0" w:space="0" w:color="auto"/>
                  </w:divBdr>
                </w:div>
                <w:div w:id="607391562">
                  <w:marLeft w:val="0"/>
                  <w:marRight w:val="0"/>
                  <w:marTop w:val="0"/>
                  <w:marBottom w:val="0"/>
                  <w:divBdr>
                    <w:top w:val="none" w:sz="0" w:space="0" w:color="auto"/>
                    <w:left w:val="none" w:sz="0" w:space="0" w:color="auto"/>
                    <w:bottom w:val="none" w:sz="0" w:space="0" w:color="auto"/>
                    <w:right w:val="none" w:sz="0" w:space="0" w:color="auto"/>
                  </w:divBdr>
                </w:div>
                <w:div w:id="209709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08013">
          <w:marLeft w:val="0"/>
          <w:marRight w:val="0"/>
          <w:marTop w:val="0"/>
          <w:marBottom w:val="0"/>
          <w:divBdr>
            <w:top w:val="none" w:sz="0" w:space="0" w:color="auto"/>
            <w:left w:val="none" w:sz="0" w:space="0" w:color="auto"/>
            <w:bottom w:val="none" w:sz="0" w:space="0" w:color="auto"/>
            <w:right w:val="none" w:sz="0" w:space="0" w:color="auto"/>
          </w:divBdr>
        </w:div>
        <w:div w:id="759981978">
          <w:marLeft w:val="0"/>
          <w:marRight w:val="0"/>
          <w:marTop w:val="0"/>
          <w:marBottom w:val="0"/>
          <w:divBdr>
            <w:top w:val="none" w:sz="0" w:space="0" w:color="auto"/>
            <w:left w:val="none" w:sz="0" w:space="0" w:color="auto"/>
            <w:bottom w:val="none" w:sz="0" w:space="0" w:color="auto"/>
            <w:right w:val="none" w:sz="0" w:space="0" w:color="auto"/>
          </w:divBdr>
        </w:div>
        <w:div w:id="836457439">
          <w:marLeft w:val="0"/>
          <w:marRight w:val="0"/>
          <w:marTop w:val="0"/>
          <w:marBottom w:val="0"/>
          <w:divBdr>
            <w:top w:val="none" w:sz="0" w:space="0" w:color="auto"/>
            <w:left w:val="none" w:sz="0" w:space="0" w:color="auto"/>
            <w:bottom w:val="none" w:sz="0" w:space="0" w:color="auto"/>
            <w:right w:val="none" w:sz="0" w:space="0" w:color="auto"/>
          </w:divBdr>
          <w:divsChild>
            <w:div w:id="57943307">
              <w:marLeft w:val="0"/>
              <w:marRight w:val="0"/>
              <w:marTop w:val="0"/>
              <w:marBottom w:val="0"/>
              <w:divBdr>
                <w:top w:val="none" w:sz="0" w:space="0" w:color="auto"/>
                <w:left w:val="none" w:sz="0" w:space="0" w:color="auto"/>
                <w:bottom w:val="none" w:sz="0" w:space="0" w:color="auto"/>
                <w:right w:val="none" w:sz="0" w:space="0" w:color="auto"/>
              </w:divBdr>
            </w:div>
            <w:div w:id="365984113">
              <w:marLeft w:val="0"/>
              <w:marRight w:val="0"/>
              <w:marTop w:val="0"/>
              <w:marBottom w:val="0"/>
              <w:divBdr>
                <w:top w:val="none" w:sz="0" w:space="0" w:color="auto"/>
                <w:left w:val="none" w:sz="0" w:space="0" w:color="auto"/>
                <w:bottom w:val="none" w:sz="0" w:space="0" w:color="auto"/>
                <w:right w:val="none" w:sz="0" w:space="0" w:color="auto"/>
              </w:divBdr>
            </w:div>
            <w:div w:id="1466434043">
              <w:marLeft w:val="0"/>
              <w:marRight w:val="0"/>
              <w:marTop w:val="0"/>
              <w:marBottom w:val="0"/>
              <w:divBdr>
                <w:top w:val="none" w:sz="0" w:space="0" w:color="auto"/>
                <w:left w:val="none" w:sz="0" w:space="0" w:color="auto"/>
                <w:bottom w:val="none" w:sz="0" w:space="0" w:color="auto"/>
                <w:right w:val="none" w:sz="0" w:space="0" w:color="auto"/>
              </w:divBdr>
              <w:divsChild>
                <w:div w:id="1413309396">
                  <w:marLeft w:val="0"/>
                  <w:marRight w:val="0"/>
                  <w:marTop w:val="0"/>
                  <w:marBottom w:val="0"/>
                  <w:divBdr>
                    <w:top w:val="none" w:sz="0" w:space="0" w:color="auto"/>
                    <w:left w:val="none" w:sz="0" w:space="0" w:color="auto"/>
                    <w:bottom w:val="none" w:sz="0" w:space="0" w:color="auto"/>
                    <w:right w:val="none" w:sz="0" w:space="0" w:color="auto"/>
                  </w:divBdr>
                  <w:divsChild>
                    <w:div w:id="983700053">
                      <w:marLeft w:val="0"/>
                      <w:marRight w:val="0"/>
                      <w:marTop w:val="0"/>
                      <w:marBottom w:val="0"/>
                      <w:divBdr>
                        <w:top w:val="none" w:sz="0" w:space="0" w:color="auto"/>
                        <w:left w:val="none" w:sz="0" w:space="0" w:color="auto"/>
                        <w:bottom w:val="none" w:sz="0" w:space="0" w:color="auto"/>
                        <w:right w:val="none" w:sz="0" w:space="0" w:color="auto"/>
                      </w:divBdr>
                    </w:div>
                    <w:div w:id="205666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3976">
              <w:marLeft w:val="0"/>
              <w:marRight w:val="0"/>
              <w:marTop w:val="0"/>
              <w:marBottom w:val="0"/>
              <w:divBdr>
                <w:top w:val="none" w:sz="0" w:space="0" w:color="auto"/>
                <w:left w:val="none" w:sz="0" w:space="0" w:color="auto"/>
                <w:bottom w:val="none" w:sz="0" w:space="0" w:color="auto"/>
                <w:right w:val="none" w:sz="0" w:space="0" w:color="auto"/>
              </w:divBdr>
              <w:divsChild>
                <w:div w:id="216091502">
                  <w:marLeft w:val="0"/>
                  <w:marRight w:val="0"/>
                  <w:marTop w:val="0"/>
                  <w:marBottom w:val="0"/>
                  <w:divBdr>
                    <w:top w:val="none" w:sz="0" w:space="0" w:color="auto"/>
                    <w:left w:val="none" w:sz="0" w:space="0" w:color="auto"/>
                    <w:bottom w:val="none" w:sz="0" w:space="0" w:color="auto"/>
                    <w:right w:val="none" w:sz="0" w:space="0" w:color="auto"/>
                  </w:divBdr>
                </w:div>
                <w:div w:id="982125709">
                  <w:marLeft w:val="0"/>
                  <w:marRight w:val="0"/>
                  <w:marTop w:val="0"/>
                  <w:marBottom w:val="0"/>
                  <w:divBdr>
                    <w:top w:val="none" w:sz="0" w:space="0" w:color="auto"/>
                    <w:left w:val="none" w:sz="0" w:space="0" w:color="auto"/>
                    <w:bottom w:val="none" w:sz="0" w:space="0" w:color="auto"/>
                    <w:right w:val="none" w:sz="0" w:space="0" w:color="auto"/>
                  </w:divBdr>
                </w:div>
              </w:divsChild>
            </w:div>
            <w:div w:id="1936476385">
              <w:marLeft w:val="0"/>
              <w:marRight w:val="0"/>
              <w:marTop w:val="0"/>
              <w:marBottom w:val="0"/>
              <w:divBdr>
                <w:top w:val="none" w:sz="0" w:space="0" w:color="auto"/>
                <w:left w:val="none" w:sz="0" w:space="0" w:color="auto"/>
                <w:bottom w:val="none" w:sz="0" w:space="0" w:color="auto"/>
                <w:right w:val="none" w:sz="0" w:space="0" w:color="auto"/>
              </w:divBdr>
            </w:div>
          </w:divsChild>
        </w:div>
        <w:div w:id="852181897">
          <w:marLeft w:val="0"/>
          <w:marRight w:val="0"/>
          <w:marTop w:val="0"/>
          <w:marBottom w:val="0"/>
          <w:divBdr>
            <w:top w:val="none" w:sz="0" w:space="0" w:color="auto"/>
            <w:left w:val="none" w:sz="0" w:space="0" w:color="auto"/>
            <w:bottom w:val="none" w:sz="0" w:space="0" w:color="auto"/>
            <w:right w:val="none" w:sz="0" w:space="0" w:color="auto"/>
          </w:divBdr>
        </w:div>
        <w:div w:id="899092105">
          <w:marLeft w:val="0"/>
          <w:marRight w:val="0"/>
          <w:marTop w:val="0"/>
          <w:marBottom w:val="0"/>
          <w:divBdr>
            <w:top w:val="none" w:sz="0" w:space="0" w:color="auto"/>
            <w:left w:val="none" w:sz="0" w:space="0" w:color="auto"/>
            <w:bottom w:val="none" w:sz="0" w:space="0" w:color="auto"/>
            <w:right w:val="none" w:sz="0" w:space="0" w:color="auto"/>
          </w:divBdr>
        </w:div>
        <w:div w:id="974993398">
          <w:marLeft w:val="0"/>
          <w:marRight w:val="0"/>
          <w:marTop w:val="0"/>
          <w:marBottom w:val="0"/>
          <w:divBdr>
            <w:top w:val="none" w:sz="0" w:space="0" w:color="auto"/>
            <w:left w:val="none" w:sz="0" w:space="0" w:color="auto"/>
            <w:bottom w:val="none" w:sz="0" w:space="0" w:color="auto"/>
            <w:right w:val="none" w:sz="0" w:space="0" w:color="auto"/>
          </w:divBdr>
        </w:div>
        <w:div w:id="1079250024">
          <w:marLeft w:val="0"/>
          <w:marRight w:val="0"/>
          <w:marTop w:val="0"/>
          <w:marBottom w:val="0"/>
          <w:divBdr>
            <w:top w:val="none" w:sz="0" w:space="0" w:color="auto"/>
            <w:left w:val="none" w:sz="0" w:space="0" w:color="auto"/>
            <w:bottom w:val="none" w:sz="0" w:space="0" w:color="auto"/>
            <w:right w:val="none" w:sz="0" w:space="0" w:color="auto"/>
          </w:divBdr>
        </w:div>
        <w:div w:id="1090586631">
          <w:marLeft w:val="0"/>
          <w:marRight w:val="0"/>
          <w:marTop w:val="0"/>
          <w:marBottom w:val="0"/>
          <w:divBdr>
            <w:top w:val="none" w:sz="0" w:space="0" w:color="auto"/>
            <w:left w:val="none" w:sz="0" w:space="0" w:color="auto"/>
            <w:bottom w:val="none" w:sz="0" w:space="0" w:color="auto"/>
            <w:right w:val="none" w:sz="0" w:space="0" w:color="auto"/>
          </w:divBdr>
        </w:div>
        <w:div w:id="1227957791">
          <w:marLeft w:val="0"/>
          <w:marRight w:val="0"/>
          <w:marTop w:val="0"/>
          <w:marBottom w:val="0"/>
          <w:divBdr>
            <w:top w:val="none" w:sz="0" w:space="0" w:color="auto"/>
            <w:left w:val="none" w:sz="0" w:space="0" w:color="auto"/>
            <w:bottom w:val="none" w:sz="0" w:space="0" w:color="auto"/>
            <w:right w:val="none" w:sz="0" w:space="0" w:color="auto"/>
          </w:divBdr>
          <w:divsChild>
            <w:div w:id="2078896952">
              <w:marLeft w:val="0"/>
              <w:marRight w:val="0"/>
              <w:marTop w:val="0"/>
              <w:marBottom w:val="0"/>
              <w:divBdr>
                <w:top w:val="none" w:sz="0" w:space="0" w:color="auto"/>
                <w:left w:val="none" w:sz="0" w:space="0" w:color="auto"/>
                <w:bottom w:val="none" w:sz="0" w:space="0" w:color="auto"/>
                <w:right w:val="none" w:sz="0" w:space="0" w:color="auto"/>
              </w:divBdr>
              <w:divsChild>
                <w:div w:id="127817963">
                  <w:marLeft w:val="0"/>
                  <w:marRight w:val="0"/>
                  <w:marTop w:val="0"/>
                  <w:marBottom w:val="0"/>
                  <w:divBdr>
                    <w:top w:val="none" w:sz="0" w:space="0" w:color="auto"/>
                    <w:left w:val="none" w:sz="0" w:space="0" w:color="auto"/>
                    <w:bottom w:val="none" w:sz="0" w:space="0" w:color="auto"/>
                    <w:right w:val="none" w:sz="0" w:space="0" w:color="auto"/>
                  </w:divBdr>
                </w:div>
                <w:div w:id="158729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72753">
          <w:marLeft w:val="0"/>
          <w:marRight w:val="0"/>
          <w:marTop w:val="0"/>
          <w:marBottom w:val="0"/>
          <w:divBdr>
            <w:top w:val="none" w:sz="0" w:space="0" w:color="auto"/>
            <w:left w:val="none" w:sz="0" w:space="0" w:color="auto"/>
            <w:bottom w:val="none" w:sz="0" w:space="0" w:color="auto"/>
            <w:right w:val="none" w:sz="0" w:space="0" w:color="auto"/>
          </w:divBdr>
        </w:div>
        <w:div w:id="1422334747">
          <w:marLeft w:val="0"/>
          <w:marRight w:val="0"/>
          <w:marTop w:val="0"/>
          <w:marBottom w:val="0"/>
          <w:divBdr>
            <w:top w:val="none" w:sz="0" w:space="0" w:color="auto"/>
            <w:left w:val="none" w:sz="0" w:space="0" w:color="auto"/>
            <w:bottom w:val="none" w:sz="0" w:space="0" w:color="auto"/>
            <w:right w:val="none" w:sz="0" w:space="0" w:color="auto"/>
          </w:divBdr>
          <w:divsChild>
            <w:div w:id="213783886">
              <w:marLeft w:val="0"/>
              <w:marRight w:val="0"/>
              <w:marTop w:val="0"/>
              <w:marBottom w:val="0"/>
              <w:divBdr>
                <w:top w:val="none" w:sz="0" w:space="0" w:color="auto"/>
                <w:left w:val="none" w:sz="0" w:space="0" w:color="auto"/>
                <w:bottom w:val="none" w:sz="0" w:space="0" w:color="auto"/>
                <w:right w:val="none" w:sz="0" w:space="0" w:color="auto"/>
              </w:divBdr>
              <w:divsChild>
                <w:div w:id="1072506549">
                  <w:marLeft w:val="0"/>
                  <w:marRight w:val="0"/>
                  <w:marTop w:val="0"/>
                  <w:marBottom w:val="0"/>
                  <w:divBdr>
                    <w:top w:val="none" w:sz="0" w:space="0" w:color="auto"/>
                    <w:left w:val="none" w:sz="0" w:space="0" w:color="auto"/>
                    <w:bottom w:val="none" w:sz="0" w:space="0" w:color="auto"/>
                    <w:right w:val="none" w:sz="0" w:space="0" w:color="auto"/>
                  </w:divBdr>
                </w:div>
              </w:divsChild>
            </w:div>
            <w:div w:id="559946886">
              <w:marLeft w:val="0"/>
              <w:marRight w:val="0"/>
              <w:marTop w:val="0"/>
              <w:marBottom w:val="0"/>
              <w:divBdr>
                <w:top w:val="none" w:sz="0" w:space="0" w:color="auto"/>
                <w:left w:val="none" w:sz="0" w:space="0" w:color="auto"/>
                <w:bottom w:val="none" w:sz="0" w:space="0" w:color="auto"/>
                <w:right w:val="none" w:sz="0" w:space="0" w:color="auto"/>
              </w:divBdr>
            </w:div>
          </w:divsChild>
        </w:div>
        <w:div w:id="1534225285">
          <w:marLeft w:val="0"/>
          <w:marRight w:val="0"/>
          <w:marTop w:val="0"/>
          <w:marBottom w:val="0"/>
          <w:divBdr>
            <w:top w:val="none" w:sz="0" w:space="0" w:color="auto"/>
            <w:left w:val="none" w:sz="0" w:space="0" w:color="auto"/>
            <w:bottom w:val="none" w:sz="0" w:space="0" w:color="auto"/>
            <w:right w:val="none" w:sz="0" w:space="0" w:color="auto"/>
          </w:divBdr>
          <w:divsChild>
            <w:div w:id="94400502">
              <w:marLeft w:val="0"/>
              <w:marRight w:val="0"/>
              <w:marTop w:val="0"/>
              <w:marBottom w:val="0"/>
              <w:divBdr>
                <w:top w:val="none" w:sz="0" w:space="0" w:color="auto"/>
                <w:left w:val="none" w:sz="0" w:space="0" w:color="auto"/>
                <w:bottom w:val="none" w:sz="0" w:space="0" w:color="auto"/>
                <w:right w:val="none" w:sz="0" w:space="0" w:color="auto"/>
              </w:divBdr>
              <w:divsChild>
                <w:div w:id="855575579">
                  <w:marLeft w:val="0"/>
                  <w:marRight w:val="0"/>
                  <w:marTop w:val="0"/>
                  <w:marBottom w:val="0"/>
                  <w:divBdr>
                    <w:top w:val="none" w:sz="0" w:space="0" w:color="auto"/>
                    <w:left w:val="none" w:sz="0" w:space="0" w:color="auto"/>
                    <w:bottom w:val="none" w:sz="0" w:space="0" w:color="auto"/>
                    <w:right w:val="none" w:sz="0" w:space="0" w:color="auto"/>
                  </w:divBdr>
                </w:div>
                <w:div w:id="1497652192">
                  <w:marLeft w:val="0"/>
                  <w:marRight w:val="0"/>
                  <w:marTop w:val="0"/>
                  <w:marBottom w:val="0"/>
                  <w:divBdr>
                    <w:top w:val="none" w:sz="0" w:space="0" w:color="auto"/>
                    <w:left w:val="none" w:sz="0" w:space="0" w:color="auto"/>
                    <w:bottom w:val="none" w:sz="0" w:space="0" w:color="auto"/>
                    <w:right w:val="none" w:sz="0" w:space="0" w:color="auto"/>
                  </w:divBdr>
                </w:div>
                <w:div w:id="150609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399113">
          <w:marLeft w:val="0"/>
          <w:marRight w:val="0"/>
          <w:marTop w:val="0"/>
          <w:marBottom w:val="0"/>
          <w:divBdr>
            <w:top w:val="none" w:sz="0" w:space="0" w:color="auto"/>
            <w:left w:val="none" w:sz="0" w:space="0" w:color="auto"/>
            <w:bottom w:val="none" w:sz="0" w:space="0" w:color="auto"/>
            <w:right w:val="none" w:sz="0" w:space="0" w:color="auto"/>
          </w:divBdr>
        </w:div>
        <w:div w:id="1728189162">
          <w:marLeft w:val="0"/>
          <w:marRight w:val="0"/>
          <w:marTop w:val="0"/>
          <w:marBottom w:val="0"/>
          <w:divBdr>
            <w:top w:val="none" w:sz="0" w:space="0" w:color="auto"/>
            <w:left w:val="none" w:sz="0" w:space="0" w:color="auto"/>
            <w:bottom w:val="none" w:sz="0" w:space="0" w:color="auto"/>
            <w:right w:val="none" w:sz="0" w:space="0" w:color="auto"/>
          </w:divBdr>
        </w:div>
        <w:div w:id="1751849722">
          <w:marLeft w:val="0"/>
          <w:marRight w:val="0"/>
          <w:marTop w:val="0"/>
          <w:marBottom w:val="0"/>
          <w:divBdr>
            <w:top w:val="none" w:sz="0" w:space="0" w:color="auto"/>
            <w:left w:val="none" w:sz="0" w:space="0" w:color="auto"/>
            <w:bottom w:val="none" w:sz="0" w:space="0" w:color="auto"/>
            <w:right w:val="none" w:sz="0" w:space="0" w:color="auto"/>
          </w:divBdr>
        </w:div>
        <w:div w:id="1823504349">
          <w:marLeft w:val="0"/>
          <w:marRight w:val="0"/>
          <w:marTop w:val="0"/>
          <w:marBottom w:val="0"/>
          <w:divBdr>
            <w:top w:val="none" w:sz="0" w:space="0" w:color="auto"/>
            <w:left w:val="none" w:sz="0" w:space="0" w:color="auto"/>
            <w:bottom w:val="none" w:sz="0" w:space="0" w:color="auto"/>
            <w:right w:val="none" w:sz="0" w:space="0" w:color="auto"/>
          </w:divBdr>
        </w:div>
        <w:div w:id="1848328975">
          <w:marLeft w:val="0"/>
          <w:marRight w:val="0"/>
          <w:marTop w:val="0"/>
          <w:marBottom w:val="0"/>
          <w:divBdr>
            <w:top w:val="none" w:sz="0" w:space="0" w:color="auto"/>
            <w:left w:val="none" w:sz="0" w:space="0" w:color="auto"/>
            <w:bottom w:val="none" w:sz="0" w:space="0" w:color="auto"/>
            <w:right w:val="none" w:sz="0" w:space="0" w:color="auto"/>
          </w:divBdr>
        </w:div>
        <w:div w:id="1969120863">
          <w:marLeft w:val="0"/>
          <w:marRight w:val="0"/>
          <w:marTop w:val="0"/>
          <w:marBottom w:val="0"/>
          <w:divBdr>
            <w:top w:val="none" w:sz="0" w:space="0" w:color="auto"/>
            <w:left w:val="none" w:sz="0" w:space="0" w:color="auto"/>
            <w:bottom w:val="none" w:sz="0" w:space="0" w:color="auto"/>
            <w:right w:val="none" w:sz="0" w:space="0" w:color="auto"/>
          </w:divBdr>
        </w:div>
        <w:div w:id="2061124985">
          <w:marLeft w:val="0"/>
          <w:marRight w:val="0"/>
          <w:marTop w:val="0"/>
          <w:marBottom w:val="0"/>
          <w:divBdr>
            <w:top w:val="none" w:sz="0" w:space="0" w:color="auto"/>
            <w:left w:val="none" w:sz="0" w:space="0" w:color="auto"/>
            <w:bottom w:val="none" w:sz="0" w:space="0" w:color="auto"/>
            <w:right w:val="none" w:sz="0" w:space="0" w:color="auto"/>
          </w:divBdr>
        </w:div>
      </w:divsChild>
    </w:div>
    <w:div w:id="1687366037">
      <w:bodyDiv w:val="1"/>
      <w:marLeft w:val="0"/>
      <w:marRight w:val="0"/>
      <w:marTop w:val="0"/>
      <w:marBottom w:val="0"/>
      <w:divBdr>
        <w:top w:val="none" w:sz="0" w:space="0" w:color="auto"/>
        <w:left w:val="none" w:sz="0" w:space="0" w:color="auto"/>
        <w:bottom w:val="none" w:sz="0" w:space="0" w:color="auto"/>
        <w:right w:val="none" w:sz="0" w:space="0" w:color="auto"/>
      </w:divBdr>
    </w:div>
    <w:div w:id="1700886866">
      <w:bodyDiv w:val="1"/>
      <w:marLeft w:val="0"/>
      <w:marRight w:val="0"/>
      <w:marTop w:val="0"/>
      <w:marBottom w:val="0"/>
      <w:divBdr>
        <w:top w:val="none" w:sz="0" w:space="0" w:color="auto"/>
        <w:left w:val="none" w:sz="0" w:space="0" w:color="auto"/>
        <w:bottom w:val="none" w:sz="0" w:space="0" w:color="auto"/>
        <w:right w:val="none" w:sz="0" w:space="0" w:color="auto"/>
      </w:divBdr>
      <w:divsChild>
        <w:div w:id="1668165594">
          <w:marLeft w:val="0"/>
          <w:marRight w:val="0"/>
          <w:marTop w:val="0"/>
          <w:marBottom w:val="0"/>
          <w:divBdr>
            <w:top w:val="none" w:sz="0" w:space="0" w:color="auto"/>
            <w:left w:val="none" w:sz="0" w:space="0" w:color="auto"/>
            <w:bottom w:val="none" w:sz="0" w:space="0" w:color="auto"/>
            <w:right w:val="none" w:sz="0" w:space="0" w:color="auto"/>
          </w:divBdr>
        </w:div>
        <w:div w:id="1961689391">
          <w:marLeft w:val="0"/>
          <w:marRight w:val="0"/>
          <w:marTop w:val="0"/>
          <w:marBottom w:val="0"/>
          <w:divBdr>
            <w:top w:val="none" w:sz="0" w:space="0" w:color="auto"/>
            <w:left w:val="none" w:sz="0" w:space="0" w:color="auto"/>
            <w:bottom w:val="none" w:sz="0" w:space="0" w:color="auto"/>
            <w:right w:val="none" w:sz="0" w:space="0" w:color="auto"/>
          </w:divBdr>
        </w:div>
      </w:divsChild>
    </w:div>
    <w:div w:id="1707409452">
      <w:bodyDiv w:val="1"/>
      <w:marLeft w:val="0"/>
      <w:marRight w:val="0"/>
      <w:marTop w:val="0"/>
      <w:marBottom w:val="0"/>
      <w:divBdr>
        <w:top w:val="none" w:sz="0" w:space="0" w:color="auto"/>
        <w:left w:val="none" w:sz="0" w:space="0" w:color="auto"/>
        <w:bottom w:val="none" w:sz="0" w:space="0" w:color="auto"/>
        <w:right w:val="none" w:sz="0" w:space="0" w:color="auto"/>
      </w:divBdr>
      <w:divsChild>
        <w:div w:id="117722430">
          <w:marLeft w:val="0"/>
          <w:marRight w:val="0"/>
          <w:marTop w:val="0"/>
          <w:marBottom w:val="0"/>
          <w:divBdr>
            <w:top w:val="none" w:sz="0" w:space="0" w:color="auto"/>
            <w:left w:val="none" w:sz="0" w:space="0" w:color="auto"/>
            <w:bottom w:val="none" w:sz="0" w:space="0" w:color="auto"/>
            <w:right w:val="none" w:sz="0" w:space="0" w:color="auto"/>
          </w:divBdr>
        </w:div>
        <w:div w:id="511379048">
          <w:marLeft w:val="0"/>
          <w:marRight w:val="0"/>
          <w:marTop w:val="0"/>
          <w:marBottom w:val="0"/>
          <w:divBdr>
            <w:top w:val="none" w:sz="0" w:space="0" w:color="auto"/>
            <w:left w:val="none" w:sz="0" w:space="0" w:color="auto"/>
            <w:bottom w:val="none" w:sz="0" w:space="0" w:color="auto"/>
            <w:right w:val="none" w:sz="0" w:space="0" w:color="auto"/>
          </w:divBdr>
        </w:div>
        <w:div w:id="1055816529">
          <w:marLeft w:val="0"/>
          <w:marRight w:val="0"/>
          <w:marTop w:val="0"/>
          <w:marBottom w:val="0"/>
          <w:divBdr>
            <w:top w:val="none" w:sz="0" w:space="0" w:color="auto"/>
            <w:left w:val="none" w:sz="0" w:space="0" w:color="auto"/>
            <w:bottom w:val="none" w:sz="0" w:space="0" w:color="auto"/>
            <w:right w:val="none" w:sz="0" w:space="0" w:color="auto"/>
          </w:divBdr>
        </w:div>
      </w:divsChild>
    </w:div>
    <w:div w:id="1726562358">
      <w:bodyDiv w:val="1"/>
      <w:marLeft w:val="0"/>
      <w:marRight w:val="0"/>
      <w:marTop w:val="0"/>
      <w:marBottom w:val="0"/>
      <w:divBdr>
        <w:top w:val="none" w:sz="0" w:space="0" w:color="auto"/>
        <w:left w:val="none" w:sz="0" w:space="0" w:color="auto"/>
        <w:bottom w:val="none" w:sz="0" w:space="0" w:color="auto"/>
        <w:right w:val="none" w:sz="0" w:space="0" w:color="auto"/>
      </w:divBdr>
    </w:div>
    <w:div w:id="1751465213">
      <w:bodyDiv w:val="1"/>
      <w:marLeft w:val="0"/>
      <w:marRight w:val="0"/>
      <w:marTop w:val="0"/>
      <w:marBottom w:val="0"/>
      <w:divBdr>
        <w:top w:val="none" w:sz="0" w:space="0" w:color="auto"/>
        <w:left w:val="none" w:sz="0" w:space="0" w:color="auto"/>
        <w:bottom w:val="none" w:sz="0" w:space="0" w:color="auto"/>
        <w:right w:val="none" w:sz="0" w:space="0" w:color="auto"/>
      </w:divBdr>
    </w:div>
    <w:div w:id="1765882971">
      <w:bodyDiv w:val="1"/>
      <w:marLeft w:val="0"/>
      <w:marRight w:val="0"/>
      <w:marTop w:val="0"/>
      <w:marBottom w:val="0"/>
      <w:divBdr>
        <w:top w:val="none" w:sz="0" w:space="0" w:color="auto"/>
        <w:left w:val="none" w:sz="0" w:space="0" w:color="auto"/>
        <w:bottom w:val="none" w:sz="0" w:space="0" w:color="auto"/>
        <w:right w:val="none" w:sz="0" w:space="0" w:color="auto"/>
      </w:divBdr>
    </w:div>
    <w:div w:id="1774089324">
      <w:bodyDiv w:val="1"/>
      <w:marLeft w:val="0"/>
      <w:marRight w:val="0"/>
      <w:marTop w:val="0"/>
      <w:marBottom w:val="0"/>
      <w:divBdr>
        <w:top w:val="none" w:sz="0" w:space="0" w:color="auto"/>
        <w:left w:val="none" w:sz="0" w:space="0" w:color="auto"/>
        <w:bottom w:val="none" w:sz="0" w:space="0" w:color="auto"/>
        <w:right w:val="none" w:sz="0" w:space="0" w:color="auto"/>
      </w:divBdr>
    </w:div>
    <w:div w:id="1785803409">
      <w:bodyDiv w:val="1"/>
      <w:marLeft w:val="0"/>
      <w:marRight w:val="0"/>
      <w:marTop w:val="0"/>
      <w:marBottom w:val="0"/>
      <w:divBdr>
        <w:top w:val="none" w:sz="0" w:space="0" w:color="auto"/>
        <w:left w:val="none" w:sz="0" w:space="0" w:color="auto"/>
        <w:bottom w:val="none" w:sz="0" w:space="0" w:color="auto"/>
        <w:right w:val="none" w:sz="0" w:space="0" w:color="auto"/>
      </w:divBdr>
      <w:divsChild>
        <w:div w:id="725303656">
          <w:marLeft w:val="0"/>
          <w:marRight w:val="0"/>
          <w:marTop w:val="0"/>
          <w:marBottom w:val="0"/>
          <w:divBdr>
            <w:top w:val="none" w:sz="0" w:space="0" w:color="auto"/>
            <w:left w:val="none" w:sz="0" w:space="0" w:color="auto"/>
            <w:bottom w:val="none" w:sz="0" w:space="0" w:color="auto"/>
            <w:right w:val="none" w:sz="0" w:space="0" w:color="auto"/>
          </w:divBdr>
        </w:div>
        <w:div w:id="1137068861">
          <w:marLeft w:val="0"/>
          <w:marRight w:val="0"/>
          <w:marTop w:val="0"/>
          <w:marBottom w:val="0"/>
          <w:divBdr>
            <w:top w:val="none" w:sz="0" w:space="0" w:color="auto"/>
            <w:left w:val="none" w:sz="0" w:space="0" w:color="auto"/>
            <w:bottom w:val="none" w:sz="0" w:space="0" w:color="auto"/>
            <w:right w:val="none" w:sz="0" w:space="0" w:color="auto"/>
          </w:divBdr>
        </w:div>
      </w:divsChild>
    </w:div>
    <w:div w:id="1790313924">
      <w:bodyDiv w:val="1"/>
      <w:marLeft w:val="0"/>
      <w:marRight w:val="0"/>
      <w:marTop w:val="0"/>
      <w:marBottom w:val="0"/>
      <w:divBdr>
        <w:top w:val="none" w:sz="0" w:space="0" w:color="auto"/>
        <w:left w:val="none" w:sz="0" w:space="0" w:color="auto"/>
        <w:bottom w:val="none" w:sz="0" w:space="0" w:color="auto"/>
        <w:right w:val="none" w:sz="0" w:space="0" w:color="auto"/>
      </w:divBdr>
      <w:divsChild>
        <w:div w:id="1255941365">
          <w:marLeft w:val="0"/>
          <w:marRight w:val="0"/>
          <w:marTop w:val="0"/>
          <w:marBottom w:val="0"/>
          <w:divBdr>
            <w:top w:val="none" w:sz="0" w:space="0" w:color="auto"/>
            <w:left w:val="none" w:sz="0" w:space="0" w:color="auto"/>
            <w:bottom w:val="none" w:sz="0" w:space="0" w:color="auto"/>
            <w:right w:val="none" w:sz="0" w:space="0" w:color="auto"/>
          </w:divBdr>
        </w:div>
        <w:div w:id="1412121353">
          <w:marLeft w:val="0"/>
          <w:marRight w:val="0"/>
          <w:marTop w:val="0"/>
          <w:marBottom w:val="0"/>
          <w:divBdr>
            <w:top w:val="none" w:sz="0" w:space="0" w:color="auto"/>
            <w:left w:val="none" w:sz="0" w:space="0" w:color="auto"/>
            <w:bottom w:val="none" w:sz="0" w:space="0" w:color="auto"/>
            <w:right w:val="none" w:sz="0" w:space="0" w:color="auto"/>
          </w:divBdr>
        </w:div>
        <w:div w:id="1644848658">
          <w:marLeft w:val="0"/>
          <w:marRight w:val="0"/>
          <w:marTop w:val="0"/>
          <w:marBottom w:val="0"/>
          <w:divBdr>
            <w:top w:val="none" w:sz="0" w:space="0" w:color="auto"/>
            <w:left w:val="none" w:sz="0" w:space="0" w:color="auto"/>
            <w:bottom w:val="none" w:sz="0" w:space="0" w:color="auto"/>
            <w:right w:val="none" w:sz="0" w:space="0" w:color="auto"/>
          </w:divBdr>
        </w:div>
      </w:divsChild>
    </w:div>
    <w:div w:id="1806046979">
      <w:bodyDiv w:val="1"/>
      <w:marLeft w:val="0"/>
      <w:marRight w:val="0"/>
      <w:marTop w:val="0"/>
      <w:marBottom w:val="0"/>
      <w:divBdr>
        <w:top w:val="none" w:sz="0" w:space="0" w:color="auto"/>
        <w:left w:val="none" w:sz="0" w:space="0" w:color="auto"/>
        <w:bottom w:val="none" w:sz="0" w:space="0" w:color="auto"/>
        <w:right w:val="none" w:sz="0" w:space="0" w:color="auto"/>
      </w:divBdr>
      <w:divsChild>
        <w:div w:id="59325179">
          <w:marLeft w:val="0"/>
          <w:marRight w:val="0"/>
          <w:marTop w:val="0"/>
          <w:marBottom w:val="0"/>
          <w:divBdr>
            <w:top w:val="none" w:sz="0" w:space="0" w:color="auto"/>
            <w:left w:val="none" w:sz="0" w:space="0" w:color="auto"/>
            <w:bottom w:val="none" w:sz="0" w:space="0" w:color="auto"/>
            <w:right w:val="none" w:sz="0" w:space="0" w:color="auto"/>
          </w:divBdr>
        </w:div>
        <w:div w:id="978613429">
          <w:marLeft w:val="0"/>
          <w:marRight w:val="0"/>
          <w:marTop w:val="0"/>
          <w:marBottom w:val="0"/>
          <w:divBdr>
            <w:top w:val="none" w:sz="0" w:space="0" w:color="auto"/>
            <w:left w:val="none" w:sz="0" w:space="0" w:color="auto"/>
            <w:bottom w:val="none" w:sz="0" w:space="0" w:color="auto"/>
            <w:right w:val="none" w:sz="0" w:space="0" w:color="auto"/>
          </w:divBdr>
        </w:div>
        <w:div w:id="2049798849">
          <w:marLeft w:val="0"/>
          <w:marRight w:val="0"/>
          <w:marTop w:val="0"/>
          <w:marBottom w:val="0"/>
          <w:divBdr>
            <w:top w:val="none" w:sz="0" w:space="0" w:color="auto"/>
            <w:left w:val="none" w:sz="0" w:space="0" w:color="auto"/>
            <w:bottom w:val="none" w:sz="0" w:space="0" w:color="auto"/>
            <w:right w:val="none" w:sz="0" w:space="0" w:color="auto"/>
          </w:divBdr>
        </w:div>
      </w:divsChild>
    </w:div>
    <w:div w:id="1811970481">
      <w:bodyDiv w:val="1"/>
      <w:marLeft w:val="0"/>
      <w:marRight w:val="0"/>
      <w:marTop w:val="0"/>
      <w:marBottom w:val="0"/>
      <w:divBdr>
        <w:top w:val="none" w:sz="0" w:space="0" w:color="auto"/>
        <w:left w:val="none" w:sz="0" w:space="0" w:color="auto"/>
        <w:bottom w:val="none" w:sz="0" w:space="0" w:color="auto"/>
        <w:right w:val="none" w:sz="0" w:space="0" w:color="auto"/>
      </w:divBdr>
      <w:divsChild>
        <w:div w:id="953946205">
          <w:marLeft w:val="0"/>
          <w:marRight w:val="0"/>
          <w:marTop w:val="0"/>
          <w:marBottom w:val="0"/>
          <w:divBdr>
            <w:top w:val="none" w:sz="0" w:space="0" w:color="auto"/>
            <w:left w:val="none" w:sz="0" w:space="0" w:color="auto"/>
            <w:bottom w:val="none" w:sz="0" w:space="0" w:color="auto"/>
            <w:right w:val="none" w:sz="0" w:space="0" w:color="auto"/>
          </w:divBdr>
        </w:div>
        <w:div w:id="1008025429">
          <w:marLeft w:val="0"/>
          <w:marRight w:val="0"/>
          <w:marTop w:val="0"/>
          <w:marBottom w:val="0"/>
          <w:divBdr>
            <w:top w:val="none" w:sz="0" w:space="0" w:color="auto"/>
            <w:left w:val="none" w:sz="0" w:space="0" w:color="auto"/>
            <w:bottom w:val="none" w:sz="0" w:space="0" w:color="auto"/>
            <w:right w:val="none" w:sz="0" w:space="0" w:color="auto"/>
          </w:divBdr>
        </w:div>
        <w:div w:id="1255671274">
          <w:marLeft w:val="0"/>
          <w:marRight w:val="0"/>
          <w:marTop w:val="0"/>
          <w:marBottom w:val="0"/>
          <w:divBdr>
            <w:top w:val="none" w:sz="0" w:space="0" w:color="auto"/>
            <w:left w:val="none" w:sz="0" w:space="0" w:color="auto"/>
            <w:bottom w:val="none" w:sz="0" w:space="0" w:color="auto"/>
            <w:right w:val="none" w:sz="0" w:space="0" w:color="auto"/>
          </w:divBdr>
        </w:div>
      </w:divsChild>
    </w:div>
    <w:div w:id="1818495726">
      <w:bodyDiv w:val="1"/>
      <w:marLeft w:val="0"/>
      <w:marRight w:val="0"/>
      <w:marTop w:val="0"/>
      <w:marBottom w:val="0"/>
      <w:divBdr>
        <w:top w:val="none" w:sz="0" w:space="0" w:color="auto"/>
        <w:left w:val="none" w:sz="0" w:space="0" w:color="auto"/>
        <w:bottom w:val="none" w:sz="0" w:space="0" w:color="auto"/>
        <w:right w:val="none" w:sz="0" w:space="0" w:color="auto"/>
      </w:divBdr>
      <w:divsChild>
        <w:div w:id="403263595">
          <w:marLeft w:val="994"/>
          <w:marRight w:val="0"/>
          <w:marTop w:val="0"/>
          <w:marBottom w:val="0"/>
          <w:divBdr>
            <w:top w:val="none" w:sz="0" w:space="0" w:color="auto"/>
            <w:left w:val="none" w:sz="0" w:space="0" w:color="auto"/>
            <w:bottom w:val="none" w:sz="0" w:space="0" w:color="auto"/>
            <w:right w:val="none" w:sz="0" w:space="0" w:color="auto"/>
          </w:divBdr>
        </w:div>
        <w:div w:id="935014132">
          <w:marLeft w:val="994"/>
          <w:marRight w:val="0"/>
          <w:marTop w:val="0"/>
          <w:marBottom w:val="0"/>
          <w:divBdr>
            <w:top w:val="none" w:sz="0" w:space="0" w:color="auto"/>
            <w:left w:val="none" w:sz="0" w:space="0" w:color="auto"/>
            <w:bottom w:val="none" w:sz="0" w:space="0" w:color="auto"/>
            <w:right w:val="none" w:sz="0" w:space="0" w:color="auto"/>
          </w:divBdr>
        </w:div>
        <w:div w:id="1133524510">
          <w:marLeft w:val="994"/>
          <w:marRight w:val="0"/>
          <w:marTop w:val="0"/>
          <w:marBottom w:val="0"/>
          <w:divBdr>
            <w:top w:val="none" w:sz="0" w:space="0" w:color="auto"/>
            <w:left w:val="none" w:sz="0" w:space="0" w:color="auto"/>
            <w:bottom w:val="none" w:sz="0" w:space="0" w:color="auto"/>
            <w:right w:val="none" w:sz="0" w:space="0" w:color="auto"/>
          </w:divBdr>
        </w:div>
        <w:div w:id="1396852984">
          <w:marLeft w:val="994"/>
          <w:marRight w:val="0"/>
          <w:marTop w:val="0"/>
          <w:marBottom w:val="0"/>
          <w:divBdr>
            <w:top w:val="none" w:sz="0" w:space="0" w:color="auto"/>
            <w:left w:val="none" w:sz="0" w:space="0" w:color="auto"/>
            <w:bottom w:val="none" w:sz="0" w:space="0" w:color="auto"/>
            <w:right w:val="none" w:sz="0" w:space="0" w:color="auto"/>
          </w:divBdr>
        </w:div>
      </w:divsChild>
    </w:div>
    <w:div w:id="1821771400">
      <w:bodyDiv w:val="1"/>
      <w:marLeft w:val="0"/>
      <w:marRight w:val="0"/>
      <w:marTop w:val="0"/>
      <w:marBottom w:val="0"/>
      <w:divBdr>
        <w:top w:val="none" w:sz="0" w:space="0" w:color="auto"/>
        <w:left w:val="none" w:sz="0" w:space="0" w:color="auto"/>
        <w:bottom w:val="none" w:sz="0" w:space="0" w:color="auto"/>
        <w:right w:val="none" w:sz="0" w:space="0" w:color="auto"/>
      </w:divBdr>
    </w:div>
    <w:div w:id="1823503646">
      <w:bodyDiv w:val="1"/>
      <w:marLeft w:val="0"/>
      <w:marRight w:val="0"/>
      <w:marTop w:val="0"/>
      <w:marBottom w:val="0"/>
      <w:divBdr>
        <w:top w:val="none" w:sz="0" w:space="0" w:color="auto"/>
        <w:left w:val="none" w:sz="0" w:space="0" w:color="auto"/>
        <w:bottom w:val="none" w:sz="0" w:space="0" w:color="auto"/>
        <w:right w:val="none" w:sz="0" w:space="0" w:color="auto"/>
      </w:divBdr>
      <w:divsChild>
        <w:div w:id="479225843">
          <w:marLeft w:val="0"/>
          <w:marRight w:val="0"/>
          <w:marTop w:val="0"/>
          <w:marBottom w:val="0"/>
          <w:divBdr>
            <w:top w:val="none" w:sz="0" w:space="0" w:color="auto"/>
            <w:left w:val="none" w:sz="0" w:space="0" w:color="auto"/>
            <w:bottom w:val="none" w:sz="0" w:space="0" w:color="auto"/>
            <w:right w:val="none" w:sz="0" w:space="0" w:color="auto"/>
          </w:divBdr>
        </w:div>
        <w:div w:id="659575014">
          <w:marLeft w:val="0"/>
          <w:marRight w:val="0"/>
          <w:marTop w:val="0"/>
          <w:marBottom w:val="0"/>
          <w:divBdr>
            <w:top w:val="none" w:sz="0" w:space="0" w:color="auto"/>
            <w:left w:val="none" w:sz="0" w:space="0" w:color="auto"/>
            <w:bottom w:val="none" w:sz="0" w:space="0" w:color="auto"/>
            <w:right w:val="none" w:sz="0" w:space="0" w:color="auto"/>
          </w:divBdr>
        </w:div>
        <w:div w:id="714504144">
          <w:marLeft w:val="0"/>
          <w:marRight w:val="0"/>
          <w:marTop w:val="0"/>
          <w:marBottom w:val="0"/>
          <w:divBdr>
            <w:top w:val="none" w:sz="0" w:space="0" w:color="auto"/>
            <w:left w:val="none" w:sz="0" w:space="0" w:color="auto"/>
            <w:bottom w:val="none" w:sz="0" w:space="0" w:color="auto"/>
            <w:right w:val="none" w:sz="0" w:space="0" w:color="auto"/>
          </w:divBdr>
        </w:div>
      </w:divsChild>
    </w:div>
    <w:div w:id="1830515666">
      <w:bodyDiv w:val="1"/>
      <w:marLeft w:val="0"/>
      <w:marRight w:val="0"/>
      <w:marTop w:val="0"/>
      <w:marBottom w:val="0"/>
      <w:divBdr>
        <w:top w:val="none" w:sz="0" w:space="0" w:color="auto"/>
        <w:left w:val="none" w:sz="0" w:space="0" w:color="auto"/>
        <w:bottom w:val="none" w:sz="0" w:space="0" w:color="auto"/>
        <w:right w:val="none" w:sz="0" w:space="0" w:color="auto"/>
      </w:divBdr>
    </w:div>
    <w:div w:id="1844319832">
      <w:bodyDiv w:val="1"/>
      <w:marLeft w:val="0"/>
      <w:marRight w:val="0"/>
      <w:marTop w:val="0"/>
      <w:marBottom w:val="0"/>
      <w:divBdr>
        <w:top w:val="none" w:sz="0" w:space="0" w:color="auto"/>
        <w:left w:val="none" w:sz="0" w:space="0" w:color="auto"/>
        <w:bottom w:val="none" w:sz="0" w:space="0" w:color="auto"/>
        <w:right w:val="none" w:sz="0" w:space="0" w:color="auto"/>
      </w:divBdr>
      <w:divsChild>
        <w:div w:id="303583247">
          <w:marLeft w:val="0"/>
          <w:marRight w:val="0"/>
          <w:marTop w:val="0"/>
          <w:marBottom w:val="0"/>
          <w:divBdr>
            <w:top w:val="none" w:sz="0" w:space="0" w:color="auto"/>
            <w:left w:val="none" w:sz="0" w:space="0" w:color="auto"/>
            <w:bottom w:val="none" w:sz="0" w:space="0" w:color="auto"/>
            <w:right w:val="none" w:sz="0" w:space="0" w:color="auto"/>
          </w:divBdr>
        </w:div>
        <w:div w:id="1655597323">
          <w:marLeft w:val="0"/>
          <w:marRight w:val="0"/>
          <w:marTop w:val="0"/>
          <w:marBottom w:val="0"/>
          <w:divBdr>
            <w:top w:val="none" w:sz="0" w:space="0" w:color="auto"/>
            <w:left w:val="none" w:sz="0" w:space="0" w:color="auto"/>
            <w:bottom w:val="none" w:sz="0" w:space="0" w:color="auto"/>
            <w:right w:val="none" w:sz="0" w:space="0" w:color="auto"/>
          </w:divBdr>
        </w:div>
      </w:divsChild>
    </w:div>
    <w:div w:id="1848978839">
      <w:bodyDiv w:val="1"/>
      <w:marLeft w:val="0"/>
      <w:marRight w:val="0"/>
      <w:marTop w:val="0"/>
      <w:marBottom w:val="0"/>
      <w:divBdr>
        <w:top w:val="none" w:sz="0" w:space="0" w:color="auto"/>
        <w:left w:val="none" w:sz="0" w:space="0" w:color="auto"/>
        <w:bottom w:val="none" w:sz="0" w:space="0" w:color="auto"/>
        <w:right w:val="none" w:sz="0" w:space="0" w:color="auto"/>
      </w:divBdr>
    </w:div>
    <w:div w:id="1849636541">
      <w:bodyDiv w:val="1"/>
      <w:marLeft w:val="0"/>
      <w:marRight w:val="0"/>
      <w:marTop w:val="0"/>
      <w:marBottom w:val="0"/>
      <w:divBdr>
        <w:top w:val="none" w:sz="0" w:space="0" w:color="auto"/>
        <w:left w:val="none" w:sz="0" w:space="0" w:color="auto"/>
        <w:bottom w:val="none" w:sz="0" w:space="0" w:color="auto"/>
        <w:right w:val="none" w:sz="0" w:space="0" w:color="auto"/>
      </w:divBdr>
      <w:divsChild>
        <w:div w:id="1077746732">
          <w:marLeft w:val="0"/>
          <w:marRight w:val="0"/>
          <w:marTop w:val="0"/>
          <w:marBottom w:val="0"/>
          <w:divBdr>
            <w:top w:val="none" w:sz="0" w:space="0" w:color="auto"/>
            <w:left w:val="none" w:sz="0" w:space="0" w:color="auto"/>
            <w:bottom w:val="none" w:sz="0" w:space="0" w:color="auto"/>
            <w:right w:val="none" w:sz="0" w:space="0" w:color="auto"/>
          </w:divBdr>
        </w:div>
        <w:div w:id="1589804433">
          <w:marLeft w:val="0"/>
          <w:marRight w:val="0"/>
          <w:marTop w:val="0"/>
          <w:marBottom w:val="0"/>
          <w:divBdr>
            <w:top w:val="none" w:sz="0" w:space="0" w:color="auto"/>
            <w:left w:val="none" w:sz="0" w:space="0" w:color="auto"/>
            <w:bottom w:val="none" w:sz="0" w:space="0" w:color="auto"/>
            <w:right w:val="none" w:sz="0" w:space="0" w:color="auto"/>
          </w:divBdr>
        </w:div>
      </w:divsChild>
    </w:div>
    <w:div w:id="1850678117">
      <w:bodyDiv w:val="1"/>
      <w:marLeft w:val="0"/>
      <w:marRight w:val="0"/>
      <w:marTop w:val="0"/>
      <w:marBottom w:val="0"/>
      <w:divBdr>
        <w:top w:val="none" w:sz="0" w:space="0" w:color="auto"/>
        <w:left w:val="none" w:sz="0" w:space="0" w:color="auto"/>
        <w:bottom w:val="none" w:sz="0" w:space="0" w:color="auto"/>
        <w:right w:val="none" w:sz="0" w:space="0" w:color="auto"/>
      </w:divBdr>
    </w:div>
    <w:div w:id="1863856735">
      <w:bodyDiv w:val="1"/>
      <w:marLeft w:val="0"/>
      <w:marRight w:val="0"/>
      <w:marTop w:val="0"/>
      <w:marBottom w:val="0"/>
      <w:divBdr>
        <w:top w:val="none" w:sz="0" w:space="0" w:color="auto"/>
        <w:left w:val="none" w:sz="0" w:space="0" w:color="auto"/>
        <w:bottom w:val="none" w:sz="0" w:space="0" w:color="auto"/>
        <w:right w:val="none" w:sz="0" w:space="0" w:color="auto"/>
      </w:divBdr>
      <w:divsChild>
        <w:div w:id="1089890714">
          <w:marLeft w:val="0"/>
          <w:marRight w:val="0"/>
          <w:marTop w:val="0"/>
          <w:marBottom w:val="0"/>
          <w:divBdr>
            <w:top w:val="none" w:sz="0" w:space="0" w:color="auto"/>
            <w:left w:val="none" w:sz="0" w:space="0" w:color="auto"/>
            <w:bottom w:val="none" w:sz="0" w:space="0" w:color="auto"/>
            <w:right w:val="none" w:sz="0" w:space="0" w:color="auto"/>
          </w:divBdr>
        </w:div>
      </w:divsChild>
    </w:div>
    <w:div w:id="1888829687">
      <w:bodyDiv w:val="1"/>
      <w:marLeft w:val="0"/>
      <w:marRight w:val="0"/>
      <w:marTop w:val="0"/>
      <w:marBottom w:val="0"/>
      <w:divBdr>
        <w:top w:val="none" w:sz="0" w:space="0" w:color="auto"/>
        <w:left w:val="none" w:sz="0" w:space="0" w:color="auto"/>
        <w:bottom w:val="none" w:sz="0" w:space="0" w:color="auto"/>
        <w:right w:val="none" w:sz="0" w:space="0" w:color="auto"/>
      </w:divBdr>
      <w:divsChild>
        <w:div w:id="680082151">
          <w:marLeft w:val="0"/>
          <w:marRight w:val="0"/>
          <w:marTop w:val="0"/>
          <w:marBottom w:val="0"/>
          <w:divBdr>
            <w:top w:val="none" w:sz="0" w:space="0" w:color="auto"/>
            <w:left w:val="none" w:sz="0" w:space="0" w:color="auto"/>
            <w:bottom w:val="none" w:sz="0" w:space="0" w:color="auto"/>
            <w:right w:val="none" w:sz="0" w:space="0" w:color="auto"/>
          </w:divBdr>
        </w:div>
        <w:div w:id="1012293952">
          <w:marLeft w:val="0"/>
          <w:marRight w:val="0"/>
          <w:marTop w:val="0"/>
          <w:marBottom w:val="0"/>
          <w:divBdr>
            <w:top w:val="none" w:sz="0" w:space="0" w:color="auto"/>
            <w:left w:val="none" w:sz="0" w:space="0" w:color="auto"/>
            <w:bottom w:val="none" w:sz="0" w:space="0" w:color="auto"/>
            <w:right w:val="none" w:sz="0" w:space="0" w:color="auto"/>
          </w:divBdr>
        </w:div>
        <w:div w:id="1444306831">
          <w:marLeft w:val="0"/>
          <w:marRight w:val="0"/>
          <w:marTop w:val="0"/>
          <w:marBottom w:val="0"/>
          <w:divBdr>
            <w:top w:val="none" w:sz="0" w:space="0" w:color="auto"/>
            <w:left w:val="none" w:sz="0" w:space="0" w:color="auto"/>
            <w:bottom w:val="none" w:sz="0" w:space="0" w:color="auto"/>
            <w:right w:val="none" w:sz="0" w:space="0" w:color="auto"/>
          </w:divBdr>
        </w:div>
      </w:divsChild>
    </w:div>
    <w:div w:id="1897157243">
      <w:bodyDiv w:val="1"/>
      <w:marLeft w:val="0"/>
      <w:marRight w:val="0"/>
      <w:marTop w:val="0"/>
      <w:marBottom w:val="0"/>
      <w:divBdr>
        <w:top w:val="none" w:sz="0" w:space="0" w:color="auto"/>
        <w:left w:val="none" w:sz="0" w:space="0" w:color="auto"/>
        <w:bottom w:val="none" w:sz="0" w:space="0" w:color="auto"/>
        <w:right w:val="none" w:sz="0" w:space="0" w:color="auto"/>
      </w:divBdr>
    </w:div>
    <w:div w:id="1902590338">
      <w:bodyDiv w:val="1"/>
      <w:marLeft w:val="0"/>
      <w:marRight w:val="0"/>
      <w:marTop w:val="0"/>
      <w:marBottom w:val="0"/>
      <w:divBdr>
        <w:top w:val="none" w:sz="0" w:space="0" w:color="auto"/>
        <w:left w:val="none" w:sz="0" w:space="0" w:color="auto"/>
        <w:bottom w:val="none" w:sz="0" w:space="0" w:color="auto"/>
        <w:right w:val="none" w:sz="0" w:space="0" w:color="auto"/>
      </w:divBdr>
    </w:div>
    <w:div w:id="1907063570">
      <w:bodyDiv w:val="1"/>
      <w:marLeft w:val="0"/>
      <w:marRight w:val="0"/>
      <w:marTop w:val="0"/>
      <w:marBottom w:val="0"/>
      <w:divBdr>
        <w:top w:val="none" w:sz="0" w:space="0" w:color="auto"/>
        <w:left w:val="none" w:sz="0" w:space="0" w:color="auto"/>
        <w:bottom w:val="none" w:sz="0" w:space="0" w:color="auto"/>
        <w:right w:val="none" w:sz="0" w:space="0" w:color="auto"/>
      </w:divBdr>
    </w:div>
    <w:div w:id="1912695950">
      <w:bodyDiv w:val="1"/>
      <w:marLeft w:val="0"/>
      <w:marRight w:val="0"/>
      <w:marTop w:val="0"/>
      <w:marBottom w:val="0"/>
      <w:divBdr>
        <w:top w:val="none" w:sz="0" w:space="0" w:color="auto"/>
        <w:left w:val="none" w:sz="0" w:space="0" w:color="auto"/>
        <w:bottom w:val="none" w:sz="0" w:space="0" w:color="auto"/>
        <w:right w:val="none" w:sz="0" w:space="0" w:color="auto"/>
      </w:divBdr>
    </w:div>
    <w:div w:id="1930775717">
      <w:bodyDiv w:val="1"/>
      <w:marLeft w:val="0"/>
      <w:marRight w:val="0"/>
      <w:marTop w:val="0"/>
      <w:marBottom w:val="0"/>
      <w:divBdr>
        <w:top w:val="none" w:sz="0" w:space="0" w:color="auto"/>
        <w:left w:val="none" w:sz="0" w:space="0" w:color="auto"/>
        <w:bottom w:val="none" w:sz="0" w:space="0" w:color="auto"/>
        <w:right w:val="none" w:sz="0" w:space="0" w:color="auto"/>
      </w:divBdr>
    </w:div>
    <w:div w:id="1936285797">
      <w:bodyDiv w:val="1"/>
      <w:marLeft w:val="0"/>
      <w:marRight w:val="0"/>
      <w:marTop w:val="0"/>
      <w:marBottom w:val="0"/>
      <w:divBdr>
        <w:top w:val="none" w:sz="0" w:space="0" w:color="auto"/>
        <w:left w:val="none" w:sz="0" w:space="0" w:color="auto"/>
        <w:bottom w:val="none" w:sz="0" w:space="0" w:color="auto"/>
        <w:right w:val="none" w:sz="0" w:space="0" w:color="auto"/>
      </w:divBdr>
      <w:divsChild>
        <w:div w:id="340931473">
          <w:marLeft w:val="0"/>
          <w:marRight w:val="0"/>
          <w:marTop w:val="0"/>
          <w:marBottom w:val="0"/>
          <w:divBdr>
            <w:top w:val="none" w:sz="0" w:space="0" w:color="auto"/>
            <w:left w:val="none" w:sz="0" w:space="0" w:color="auto"/>
            <w:bottom w:val="none" w:sz="0" w:space="0" w:color="auto"/>
            <w:right w:val="none" w:sz="0" w:space="0" w:color="auto"/>
          </w:divBdr>
        </w:div>
        <w:div w:id="857159860">
          <w:marLeft w:val="0"/>
          <w:marRight w:val="0"/>
          <w:marTop w:val="0"/>
          <w:marBottom w:val="0"/>
          <w:divBdr>
            <w:top w:val="none" w:sz="0" w:space="0" w:color="auto"/>
            <w:left w:val="none" w:sz="0" w:space="0" w:color="auto"/>
            <w:bottom w:val="none" w:sz="0" w:space="0" w:color="auto"/>
            <w:right w:val="none" w:sz="0" w:space="0" w:color="auto"/>
          </w:divBdr>
        </w:div>
        <w:div w:id="1183587508">
          <w:marLeft w:val="0"/>
          <w:marRight w:val="0"/>
          <w:marTop w:val="0"/>
          <w:marBottom w:val="0"/>
          <w:divBdr>
            <w:top w:val="none" w:sz="0" w:space="0" w:color="auto"/>
            <w:left w:val="none" w:sz="0" w:space="0" w:color="auto"/>
            <w:bottom w:val="none" w:sz="0" w:space="0" w:color="auto"/>
            <w:right w:val="none" w:sz="0" w:space="0" w:color="auto"/>
          </w:divBdr>
        </w:div>
        <w:div w:id="1564871893">
          <w:marLeft w:val="0"/>
          <w:marRight w:val="0"/>
          <w:marTop w:val="0"/>
          <w:marBottom w:val="0"/>
          <w:divBdr>
            <w:top w:val="none" w:sz="0" w:space="0" w:color="auto"/>
            <w:left w:val="none" w:sz="0" w:space="0" w:color="auto"/>
            <w:bottom w:val="none" w:sz="0" w:space="0" w:color="auto"/>
            <w:right w:val="none" w:sz="0" w:space="0" w:color="auto"/>
          </w:divBdr>
        </w:div>
      </w:divsChild>
    </w:div>
    <w:div w:id="1939560450">
      <w:bodyDiv w:val="1"/>
      <w:marLeft w:val="0"/>
      <w:marRight w:val="0"/>
      <w:marTop w:val="0"/>
      <w:marBottom w:val="0"/>
      <w:divBdr>
        <w:top w:val="none" w:sz="0" w:space="0" w:color="auto"/>
        <w:left w:val="none" w:sz="0" w:space="0" w:color="auto"/>
        <w:bottom w:val="none" w:sz="0" w:space="0" w:color="auto"/>
        <w:right w:val="none" w:sz="0" w:space="0" w:color="auto"/>
      </w:divBdr>
      <w:divsChild>
        <w:div w:id="1427725417">
          <w:marLeft w:val="0"/>
          <w:marRight w:val="0"/>
          <w:marTop w:val="0"/>
          <w:marBottom w:val="0"/>
          <w:divBdr>
            <w:top w:val="none" w:sz="0" w:space="0" w:color="auto"/>
            <w:left w:val="none" w:sz="0" w:space="0" w:color="auto"/>
            <w:bottom w:val="none" w:sz="0" w:space="0" w:color="auto"/>
            <w:right w:val="none" w:sz="0" w:space="0" w:color="auto"/>
          </w:divBdr>
          <w:divsChild>
            <w:div w:id="88890300">
              <w:marLeft w:val="0"/>
              <w:marRight w:val="0"/>
              <w:marTop w:val="0"/>
              <w:marBottom w:val="0"/>
              <w:divBdr>
                <w:top w:val="none" w:sz="0" w:space="0" w:color="auto"/>
                <w:left w:val="none" w:sz="0" w:space="0" w:color="auto"/>
                <w:bottom w:val="none" w:sz="0" w:space="0" w:color="auto"/>
                <w:right w:val="none" w:sz="0" w:space="0" w:color="auto"/>
              </w:divBdr>
              <w:divsChild>
                <w:div w:id="1391071340">
                  <w:marLeft w:val="0"/>
                  <w:marRight w:val="0"/>
                  <w:marTop w:val="0"/>
                  <w:marBottom w:val="0"/>
                  <w:divBdr>
                    <w:top w:val="none" w:sz="0" w:space="0" w:color="auto"/>
                    <w:left w:val="none" w:sz="0" w:space="0" w:color="auto"/>
                    <w:bottom w:val="none" w:sz="0" w:space="0" w:color="auto"/>
                    <w:right w:val="none" w:sz="0" w:space="0" w:color="auto"/>
                  </w:divBdr>
                  <w:divsChild>
                    <w:div w:id="45489483">
                      <w:marLeft w:val="0"/>
                      <w:marRight w:val="0"/>
                      <w:marTop w:val="0"/>
                      <w:marBottom w:val="0"/>
                      <w:divBdr>
                        <w:top w:val="none" w:sz="0" w:space="0" w:color="auto"/>
                        <w:left w:val="none" w:sz="0" w:space="0" w:color="auto"/>
                        <w:bottom w:val="none" w:sz="0" w:space="0" w:color="auto"/>
                        <w:right w:val="none" w:sz="0" w:space="0" w:color="auto"/>
                      </w:divBdr>
                      <w:divsChild>
                        <w:div w:id="154028759">
                          <w:marLeft w:val="0"/>
                          <w:marRight w:val="0"/>
                          <w:marTop w:val="0"/>
                          <w:marBottom w:val="0"/>
                          <w:divBdr>
                            <w:top w:val="none" w:sz="0" w:space="0" w:color="auto"/>
                            <w:left w:val="none" w:sz="0" w:space="0" w:color="auto"/>
                            <w:bottom w:val="none" w:sz="0" w:space="0" w:color="auto"/>
                            <w:right w:val="none" w:sz="0" w:space="0" w:color="auto"/>
                          </w:divBdr>
                        </w:div>
                        <w:div w:id="415129428">
                          <w:marLeft w:val="0"/>
                          <w:marRight w:val="0"/>
                          <w:marTop w:val="0"/>
                          <w:marBottom w:val="0"/>
                          <w:divBdr>
                            <w:top w:val="none" w:sz="0" w:space="0" w:color="auto"/>
                            <w:left w:val="none" w:sz="0" w:space="0" w:color="auto"/>
                            <w:bottom w:val="none" w:sz="0" w:space="0" w:color="auto"/>
                            <w:right w:val="none" w:sz="0" w:space="0" w:color="auto"/>
                          </w:divBdr>
                        </w:div>
                        <w:div w:id="600917704">
                          <w:marLeft w:val="0"/>
                          <w:marRight w:val="0"/>
                          <w:marTop w:val="0"/>
                          <w:marBottom w:val="0"/>
                          <w:divBdr>
                            <w:top w:val="none" w:sz="0" w:space="0" w:color="auto"/>
                            <w:left w:val="none" w:sz="0" w:space="0" w:color="auto"/>
                            <w:bottom w:val="none" w:sz="0" w:space="0" w:color="auto"/>
                            <w:right w:val="none" w:sz="0" w:space="0" w:color="auto"/>
                          </w:divBdr>
                        </w:div>
                        <w:div w:id="657152007">
                          <w:marLeft w:val="0"/>
                          <w:marRight w:val="0"/>
                          <w:marTop w:val="0"/>
                          <w:marBottom w:val="0"/>
                          <w:divBdr>
                            <w:top w:val="none" w:sz="0" w:space="0" w:color="auto"/>
                            <w:left w:val="none" w:sz="0" w:space="0" w:color="auto"/>
                            <w:bottom w:val="none" w:sz="0" w:space="0" w:color="auto"/>
                            <w:right w:val="none" w:sz="0" w:space="0" w:color="auto"/>
                          </w:divBdr>
                        </w:div>
                        <w:div w:id="816844517">
                          <w:marLeft w:val="0"/>
                          <w:marRight w:val="0"/>
                          <w:marTop w:val="0"/>
                          <w:marBottom w:val="0"/>
                          <w:divBdr>
                            <w:top w:val="none" w:sz="0" w:space="0" w:color="auto"/>
                            <w:left w:val="none" w:sz="0" w:space="0" w:color="auto"/>
                            <w:bottom w:val="none" w:sz="0" w:space="0" w:color="auto"/>
                            <w:right w:val="none" w:sz="0" w:space="0" w:color="auto"/>
                          </w:divBdr>
                          <w:divsChild>
                            <w:div w:id="64038716">
                              <w:marLeft w:val="0"/>
                              <w:marRight w:val="0"/>
                              <w:marTop w:val="0"/>
                              <w:marBottom w:val="0"/>
                              <w:divBdr>
                                <w:top w:val="none" w:sz="0" w:space="0" w:color="auto"/>
                                <w:left w:val="none" w:sz="0" w:space="0" w:color="auto"/>
                                <w:bottom w:val="none" w:sz="0" w:space="0" w:color="auto"/>
                                <w:right w:val="none" w:sz="0" w:space="0" w:color="auto"/>
                              </w:divBdr>
                            </w:div>
                            <w:div w:id="73216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6122">
                      <w:marLeft w:val="0"/>
                      <w:marRight w:val="0"/>
                      <w:marTop w:val="0"/>
                      <w:marBottom w:val="0"/>
                      <w:divBdr>
                        <w:top w:val="none" w:sz="0" w:space="0" w:color="auto"/>
                        <w:left w:val="none" w:sz="0" w:space="0" w:color="auto"/>
                        <w:bottom w:val="none" w:sz="0" w:space="0" w:color="auto"/>
                        <w:right w:val="none" w:sz="0" w:space="0" w:color="auto"/>
                      </w:divBdr>
                    </w:div>
                    <w:div w:id="230236171">
                      <w:marLeft w:val="0"/>
                      <w:marRight w:val="0"/>
                      <w:marTop w:val="0"/>
                      <w:marBottom w:val="0"/>
                      <w:divBdr>
                        <w:top w:val="none" w:sz="0" w:space="0" w:color="auto"/>
                        <w:left w:val="none" w:sz="0" w:space="0" w:color="auto"/>
                        <w:bottom w:val="none" w:sz="0" w:space="0" w:color="auto"/>
                        <w:right w:val="none" w:sz="0" w:space="0" w:color="auto"/>
                      </w:divBdr>
                      <w:divsChild>
                        <w:div w:id="348800299">
                          <w:marLeft w:val="0"/>
                          <w:marRight w:val="0"/>
                          <w:marTop w:val="0"/>
                          <w:marBottom w:val="0"/>
                          <w:divBdr>
                            <w:top w:val="none" w:sz="0" w:space="0" w:color="auto"/>
                            <w:left w:val="none" w:sz="0" w:space="0" w:color="auto"/>
                            <w:bottom w:val="none" w:sz="0" w:space="0" w:color="auto"/>
                            <w:right w:val="none" w:sz="0" w:space="0" w:color="auto"/>
                          </w:divBdr>
                          <w:divsChild>
                            <w:div w:id="794983356">
                              <w:marLeft w:val="0"/>
                              <w:marRight w:val="0"/>
                              <w:marTop w:val="0"/>
                              <w:marBottom w:val="0"/>
                              <w:divBdr>
                                <w:top w:val="none" w:sz="0" w:space="0" w:color="auto"/>
                                <w:left w:val="none" w:sz="0" w:space="0" w:color="auto"/>
                                <w:bottom w:val="none" w:sz="0" w:space="0" w:color="auto"/>
                                <w:right w:val="none" w:sz="0" w:space="0" w:color="auto"/>
                              </w:divBdr>
                            </w:div>
                            <w:div w:id="92807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744483">
                      <w:marLeft w:val="0"/>
                      <w:marRight w:val="0"/>
                      <w:marTop w:val="0"/>
                      <w:marBottom w:val="0"/>
                      <w:divBdr>
                        <w:top w:val="none" w:sz="0" w:space="0" w:color="auto"/>
                        <w:left w:val="none" w:sz="0" w:space="0" w:color="auto"/>
                        <w:bottom w:val="none" w:sz="0" w:space="0" w:color="auto"/>
                        <w:right w:val="none" w:sz="0" w:space="0" w:color="auto"/>
                      </w:divBdr>
                    </w:div>
                    <w:div w:id="759107613">
                      <w:marLeft w:val="0"/>
                      <w:marRight w:val="0"/>
                      <w:marTop w:val="0"/>
                      <w:marBottom w:val="0"/>
                      <w:divBdr>
                        <w:top w:val="none" w:sz="0" w:space="0" w:color="auto"/>
                        <w:left w:val="none" w:sz="0" w:space="0" w:color="auto"/>
                        <w:bottom w:val="none" w:sz="0" w:space="0" w:color="auto"/>
                        <w:right w:val="none" w:sz="0" w:space="0" w:color="auto"/>
                      </w:divBdr>
                      <w:divsChild>
                        <w:div w:id="1761369396">
                          <w:marLeft w:val="0"/>
                          <w:marRight w:val="0"/>
                          <w:marTop w:val="0"/>
                          <w:marBottom w:val="0"/>
                          <w:divBdr>
                            <w:top w:val="none" w:sz="0" w:space="0" w:color="auto"/>
                            <w:left w:val="none" w:sz="0" w:space="0" w:color="auto"/>
                            <w:bottom w:val="none" w:sz="0" w:space="0" w:color="auto"/>
                            <w:right w:val="none" w:sz="0" w:space="0" w:color="auto"/>
                          </w:divBdr>
                          <w:divsChild>
                            <w:div w:id="662588400">
                              <w:marLeft w:val="0"/>
                              <w:marRight w:val="0"/>
                              <w:marTop w:val="0"/>
                              <w:marBottom w:val="0"/>
                              <w:divBdr>
                                <w:top w:val="none" w:sz="0" w:space="0" w:color="auto"/>
                                <w:left w:val="none" w:sz="0" w:space="0" w:color="auto"/>
                                <w:bottom w:val="none" w:sz="0" w:space="0" w:color="auto"/>
                                <w:right w:val="none" w:sz="0" w:space="0" w:color="auto"/>
                              </w:divBdr>
                            </w:div>
                            <w:div w:id="1149442168">
                              <w:marLeft w:val="0"/>
                              <w:marRight w:val="0"/>
                              <w:marTop w:val="0"/>
                              <w:marBottom w:val="0"/>
                              <w:divBdr>
                                <w:top w:val="none" w:sz="0" w:space="0" w:color="auto"/>
                                <w:left w:val="none" w:sz="0" w:space="0" w:color="auto"/>
                                <w:bottom w:val="none" w:sz="0" w:space="0" w:color="auto"/>
                                <w:right w:val="none" w:sz="0" w:space="0" w:color="auto"/>
                              </w:divBdr>
                              <w:divsChild>
                                <w:div w:id="892739945">
                                  <w:marLeft w:val="0"/>
                                  <w:marRight w:val="0"/>
                                  <w:marTop w:val="0"/>
                                  <w:marBottom w:val="0"/>
                                  <w:divBdr>
                                    <w:top w:val="none" w:sz="0" w:space="0" w:color="auto"/>
                                    <w:left w:val="none" w:sz="0" w:space="0" w:color="auto"/>
                                    <w:bottom w:val="none" w:sz="0" w:space="0" w:color="auto"/>
                                    <w:right w:val="none" w:sz="0" w:space="0" w:color="auto"/>
                                  </w:divBdr>
                                </w:div>
                                <w:div w:id="2126729113">
                                  <w:marLeft w:val="0"/>
                                  <w:marRight w:val="0"/>
                                  <w:marTop w:val="0"/>
                                  <w:marBottom w:val="0"/>
                                  <w:divBdr>
                                    <w:top w:val="none" w:sz="0" w:space="0" w:color="auto"/>
                                    <w:left w:val="none" w:sz="0" w:space="0" w:color="auto"/>
                                    <w:bottom w:val="none" w:sz="0" w:space="0" w:color="auto"/>
                                    <w:right w:val="none" w:sz="0" w:space="0" w:color="auto"/>
                                  </w:divBdr>
                                </w:div>
                              </w:divsChild>
                            </w:div>
                            <w:div w:id="1282152876">
                              <w:marLeft w:val="0"/>
                              <w:marRight w:val="0"/>
                              <w:marTop w:val="0"/>
                              <w:marBottom w:val="0"/>
                              <w:divBdr>
                                <w:top w:val="none" w:sz="0" w:space="0" w:color="auto"/>
                                <w:left w:val="none" w:sz="0" w:space="0" w:color="auto"/>
                                <w:bottom w:val="none" w:sz="0" w:space="0" w:color="auto"/>
                                <w:right w:val="none" w:sz="0" w:space="0" w:color="auto"/>
                              </w:divBdr>
                            </w:div>
                            <w:div w:id="1597589542">
                              <w:marLeft w:val="0"/>
                              <w:marRight w:val="0"/>
                              <w:marTop w:val="0"/>
                              <w:marBottom w:val="0"/>
                              <w:divBdr>
                                <w:top w:val="none" w:sz="0" w:space="0" w:color="auto"/>
                                <w:left w:val="none" w:sz="0" w:space="0" w:color="auto"/>
                                <w:bottom w:val="none" w:sz="0" w:space="0" w:color="auto"/>
                                <w:right w:val="none" w:sz="0" w:space="0" w:color="auto"/>
                              </w:divBdr>
                            </w:div>
                            <w:div w:id="160708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844106">
                      <w:marLeft w:val="0"/>
                      <w:marRight w:val="0"/>
                      <w:marTop w:val="0"/>
                      <w:marBottom w:val="0"/>
                      <w:divBdr>
                        <w:top w:val="none" w:sz="0" w:space="0" w:color="auto"/>
                        <w:left w:val="none" w:sz="0" w:space="0" w:color="auto"/>
                        <w:bottom w:val="none" w:sz="0" w:space="0" w:color="auto"/>
                        <w:right w:val="none" w:sz="0" w:space="0" w:color="auto"/>
                      </w:divBdr>
                      <w:divsChild>
                        <w:div w:id="52778536">
                          <w:marLeft w:val="0"/>
                          <w:marRight w:val="0"/>
                          <w:marTop w:val="0"/>
                          <w:marBottom w:val="0"/>
                          <w:divBdr>
                            <w:top w:val="none" w:sz="0" w:space="0" w:color="auto"/>
                            <w:left w:val="none" w:sz="0" w:space="0" w:color="auto"/>
                            <w:bottom w:val="none" w:sz="0" w:space="0" w:color="auto"/>
                            <w:right w:val="none" w:sz="0" w:space="0" w:color="auto"/>
                          </w:divBdr>
                        </w:div>
                        <w:div w:id="225647459">
                          <w:marLeft w:val="0"/>
                          <w:marRight w:val="0"/>
                          <w:marTop w:val="0"/>
                          <w:marBottom w:val="0"/>
                          <w:divBdr>
                            <w:top w:val="none" w:sz="0" w:space="0" w:color="auto"/>
                            <w:left w:val="none" w:sz="0" w:space="0" w:color="auto"/>
                            <w:bottom w:val="none" w:sz="0" w:space="0" w:color="auto"/>
                            <w:right w:val="none" w:sz="0" w:space="0" w:color="auto"/>
                          </w:divBdr>
                        </w:div>
                        <w:div w:id="1312758389">
                          <w:marLeft w:val="0"/>
                          <w:marRight w:val="0"/>
                          <w:marTop w:val="0"/>
                          <w:marBottom w:val="0"/>
                          <w:divBdr>
                            <w:top w:val="none" w:sz="0" w:space="0" w:color="auto"/>
                            <w:left w:val="none" w:sz="0" w:space="0" w:color="auto"/>
                            <w:bottom w:val="none" w:sz="0" w:space="0" w:color="auto"/>
                            <w:right w:val="none" w:sz="0" w:space="0" w:color="auto"/>
                          </w:divBdr>
                        </w:div>
                      </w:divsChild>
                    </w:div>
                    <w:div w:id="1135370524">
                      <w:marLeft w:val="0"/>
                      <w:marRight w:val="0"/>
                      <w:marTop w:val="0"/>
                      <w:marBottom w:val="0"/>
                      <w:divBdr>
                        <w:top w:val="none" w:sz="0" w:space="0" w:color="auto"/>
                        <w:left w:val="none" w:sz="0" w:space="0" w:color="auto"/>
                        <w:bottom w:val="none" w:sz="0" w:space="0" w:color="auto"/>
                        <w:right w:val="none" w:sz="0" w:space="0" w:color="auto"/>
                      </w:divBdr>
                    </w:div>
                    <w:div w:id="1365448096">
                      <w:marLeft w:val="0"/>
                      <w:marRight w:val="0"/>
                      <w:marTop w:val="0"/>
                      <w:marBottom w:val="0"/>
                      <w:divBdr>
                        <w:top w:val="none" w:sz="0" w:space="0" w:color="auto"/>
                        <w:left w:val="none" w:sz="0" w:space="0" w:color="auto"/>
                        <w:bottom w:val="none" w:sz="0" w:space="0" w:color="auto"/>
                        <w:right w:val="none" w:sz="0" w:space="0" w:color="auto"/>
                      </w:divBdr>
                    </w:div>
                    <w:div w:id="1434546360">
                      <w:marLeft w:val="0"/>
                      <w:marRight w:val="0"/>
                      <w:marTop w:val="0"/>
                      <w:marBottom w:val="0"/>
                      <w:divBdr>
                        <w:top w:val="none" w:sz="0" w:space="0" w:color="auto"/>
                        <w:left w:val="none" w:sz="0" w:space="0" w:color="auto"/>
                        <w:bottom w:val="none" w:sz="0" w:space="0" w:color="auto"/>
                        <w:right w:val="none" w:sz="0" w:space="0" w:color="auto"/>
                      </w:divBdr>
                    </w:div>
                    <w:div w:id="205646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494303">
      <w:bodyDiv w:val="1"/>
      <w:marLeft w:val="0"/>
      <w:marRight w:val="0"/>
      <w:marTop w:val="0"/>
      <w:marBottom w:val="0"/>
      <w:divBdr>
        <w:top w:val="none" w:sz="0" w:space="0" w:color="auto"/>
        <w:left w:val="none" w:sz="0" w:space="0" w:color="auto"/>
        <w:bottom w:val="none" w:sz="0" w:space="0" w:color="auto"/>
        <w:right w:val="none" w:sz="0" w:space="0" w:color="auto"/>
      </w:divBdr>
      <w:divsChild>
        <w:div w:id="134563310">
          <w:marLeft w:val="0"/>
          <w:marRight w:val="0"/>
          <w:marTop w:val="0"/>
          <w:marBottom w:val="0"/>
          <w:divBdr>
            <w:top w:val="none" w:sz="0" w:space="0" w:color="auto"/>
            <w:left w:val="none" w:sz="0" w:space="0" w:color="auto"/>
            <w:bottom w:val="none" w:sz="0" w:space="0" w:color="auto"/>
            <w:right w:val="none" w:sz="0" w:space="0" w:color="auto"/>
          </w:divBdr>
        </w:div>
        <w:div w:id="1176117300">
          <w:marLeft w:val="0"/>
          <w:marRight w:val="0"/>
          <w:marTop w:val="0"/>
          <w:marBottom w:val="0"/>
          <w:divBdr>
            <w:top w:val="none" w:sz="0" w:space="0" w:color="auto"/>
            <w:left w:val="none" w:sz="0" w:space="0" w:color="auto"/>
            <w:bottom w:val="none" w:sz="0" w:space="0" w:color="auto"/>
            <w:right w:val="none" w:sz="0" w:space="0" w:color="auto"/>
          </w:divBdr>
        </w:div>
      </w:divsChild>
    </w:div>
    <w:div w:id="1953121776">
      <w:bodyDiv w:val="1"/>
      <w:marLeft w:val="0"/>
      <w:marRight w:val="0"/>
      <w:marTop w:val="0"/>
      <w:marBottom w:val="0"/>
      <w:divBdr>
        <w:top w:val="none" w:sz="0" w:space="0" w:color="auto"/>
        <w:left w:val="none" w:sz="0" w:space="0" w:color="auto"/>
        <w:bottom w:val="none" w:sz="0" w:space="0" w:color="auto"/>
        <w:right w:val="none" w:sz="0" w:space="0" w:color="auto"/>
      </w:divBdr>
    </w:div>
    <w:div w:id="2044745727">
      <w:bodyDiv w:val="1"/>
      <w:marLeft w:val="0"/>
      <w:marRight w:val="0"/>
      <w:marTop w:val="0"/>
      <w:marBottom w:val="0"/>
      <w:divBdr>
        <w:top w:val="none" w:sz="0" w:space="0" w:color="auto"/>
        <w:left w:val="none" w:sz="0" w:space="0" w:color="auto"/>
        <w:bottom w:val="none" w:sz="0" w:space="0" w:color="auto"/>
        <w:right w:val="none" w:sz="0" w:space="0" w:color="auto"/>
      </w:divBdr>
    </w:div>
    <w:div w:id="2048950114">
      <w:bodyDiv w:val="1"/>
      <w:marLeft w:val="0"/>
      <w:marRight w:val="0"/>
      <w:marTop w:val="0"/>
      <w:marBottom w:val="0"/>
      <w:divBdr>
        <w:top w:val="none" w:sz="0" w:space="0" w:color="auto"/>
        <w:left w:val="none" w:sz="0" w:space="0" w:color="auto"/>
        <w:bottom w:val="none" w:sz="0" w:space="0" w:color="auto"/>
        <w:right w:val="none" w:sz="0" w:space="0" w:color="auto"/>
      </w:divBdr>
    </w:div>
    <w:div w:id="2054767089">
      <w:bodyDiv w:val="1"/>
      <w:marLeft w:val="0"/>
      <w:marRight w:val="0"/>
      <w:marTop w:val="0"/>
      <w:marBottom w:val="0"/>
      <w:divBdr>
        <w:top w:val="none" w:sz="0" w:space="0" w:color="auto"/>
        <w:left w:val="none" w:sz="0" w:space="0" w:color="auto"/>
        <w:bottom w:val="none" w:sz="0" w:space="0" w:color="auto"/>
        <w:right w:val="none" w:sz="0" w:space="0" w:color="auto"/>
      </w:divBdr>
      <w:divsChild>
        <w:div w:id="3290497">
          <w:marLeft w:val="0"/>
          <w:marRight w:val="0"/>
          <w:marTop w:val="0"/>
          <w:marBottom w:val="0"/>
          <w:divBdr>
            <w:top w:val="none" w:sz="0" w:space="0" w:color="auto"/>
            <w:left w:val="none" w:sz="0" w:space="0" w:color="auto"/>
            <w:bottom w:val="none" w:sz="0" w:space="0" w:color="auto"/>
            <w:right w:val="none" w:sz="0" w:space="0" w:color="auto"/>
          </w:divBdr>
        </w:div>
        <w:div w:id="485784384">
          <w:marLeft w:val="0"/>
          <w:marRight w:val="0"/>
          <w:marTop w:val="0"/>
          <w:marBottom w:val="0"/>
          <w:divBdr>
            <w:top w:val="none" w:sz="0" w:space="0" w:color="auto"/>
            <w:left w:val="none" w:sz="0" w:space="0" w:color="auto"/>
            <w:bottom w:val="none" w:sz="0" w:space="0" w:color="auto"/>
            <w:right w:val="none" w:sz="0" w:space="0" w:color="auto"/>
          </w:divBdr>
        </w:div>
        <w:div w:id="487524719">
          <w:marLeft w:val="0"/>
          <w:marRight w:val="0"/>
          <w:marTop w:val="0"/>
          <w:marBottom w:val="0"/>
          <w:divBdr>
            <w:top w:val="none" w:sz="0" w:space="0" w:color="auto"/>
            <w:left w:val="none" w:sz="0" w:space="0" w:color="auto"/>
            <w:bottom w:val="none" w:sz="0" w:space="0" w:color="auto"/>
            <w:right w:val="none" w:sz="0" w:space="0" w:color="auto"/>
          </w:divBdr>
        </w:div>
        <w:div w:id="1025331843">
          <w:marLeft w:val="0"/>
          <w:marRight w:val="0"/>
          <w:marTop w:val="0"/>
          <w:marBottom w:val="0"/>
          <w:divBdr>
            <w:top w:val="none" w:sz="0" w:space="0" w:color="auto"/>
            <w:left w:val="none" w:sz="0" w:space="0" w:color="auto"/>
            <w:bottom w:val="none" w:sz="0" w:space="0" w:color="auto"/>
            <w:right w:val="none" w:sz="0" w:space="0" w:color="auto"/>
          </w:divBdr>
        </w:div>
      </w:divsChild>
    </w:div>
    <w:div w:id="2063018785">
      <w:bodyDiv w:val="1"/>
      <w:marLeft w:val="0"/>
      <w:marRight w:val="0"/>
      <w:marTop w:val="0"/>
      <w:marBottom w:val="0"/>
      <w:divBdr>
        <w:top w:val="none" w:sz="0" w:space="0" w:color="auto"/>
        <w:left w:val="none" w:sz="0" w:space="0" w:color="auto"/>
        <w:bottom w:val="none" w:sz="0" w:space="0" w:color="auto"/>
        <w:right w:val="none" w:sz="0" w:space="0" w:color="auto"/>
      </w:divBdr>
    </w:div>
    <w:div w:id="2085636836">
      <w:bodyDiv w:val="1"/>
      <w:marLeft w:val="0"/>
      <w:marRight w:val="0"/>
      <w:marTop w:val="0"/>
      <w:marBottom w:val="0"/>
      <w:divBdr>
        <w:top w:val="none" w:sz="0" w:space="0" w:color="auto"/>
        <w:left w:val="none" w:sz="0" w:space="0" w:color="auto"/>
        <w:bottom w:val="none" w:sz="0" w:space="0" w:color="auto"/>
        <w:right w:val="none" w:sz="0" w:space="0" w:color="auto"/>
      </w:divBdr>
      <w:divsChild>
        <w:div w:id="170803510">
          <w:marLeft w:val="0"/>
          <w:marRight w:val="0"/>
          <w:marTop w:val="0"/>
          <w:marBottom w:val="0"/>
          <w:divBdr>
            <w:top w:val="none" w:sz="0" w:space="0" w:color="auto"/>
            <w:left w:val="none" w:sz="0" w:space="0" w:color="auto"/>
            <w:bottom w:val="none" w:sz="0" w:space="0" w:color="auto"/>
            <w:right w:val="none" w:sz="0" w:space="0" w:color="auto"/>
          </w:divBdr>
        </w:div>
        <w:div w:id="880096036">
          <w:marLeft w:val="0"/>
          <w:marRight w:val="0"/>
          <w:marTop w:val="0"/>
          <w:marBottom w:val="0"/>
          <w:divBdr>
            <w:top w:val="none" w:sz="0" w:space="0" w:color="auto"/>
            <w:left w:val="none" w:sz="0" w:space="0" w:color="auto"/>
            <w:bottom w:val="none" w:sz="0" w:space="0" w:color="auto"/>
            <w:right w:val="none" w:sz="0" w:space="0" w:color="auto"/>
          </w:divBdr>
        </w:div>
      </w:divsChild>
    </w:div>
    <w:div w:id="2090926605">
      <w:bodyDiv w:val="1"/>
      <w:marLeft w:val="0"/>
      <w:marRight w:val="0"/>
      <w:marTop w:val="0"/>
      <w:marBottom w:val="0"/>
      <w:divBdr>
        <w:top w:val="none" w:sz="0" w:space="0" w:color="auto"/>
        <w:left w:val="none" w:sz="0" w:space="0" w:color="auto"/>
        <w:bottom w:val="none" w:sz="0" w:space="0" w:color="auto"/>
        <w:right w:val="none" w:sz="0" w:space="0" w:color="auto"/>
      </w:divBdr>
    </w:div>
    <w:div w:id="2102798983">
      <w:bodyDiv w:val="1"/>
      <w:marLeft w:val="0"/>
      <w:marRight w:val="0"/>
      <w:marTop w:val="0"/>
      <w:marBottom w:val="0"/>
      <w:divBdr>
        <w:top w:val="none" w:sz="0" w:space="0" w:color="auto"/>
        <w:left w:val="none" w:sz="0" w:space="0" w:color="auto"/>
        <w:bottom w:val="none" w:sz="0" w:space="0" w:color="auto"/>
        <w:right w:val="none" w:sz="0" w:space="0" w:color="auto"/>
      </w:divBdr>
      <w:divsChild>
        <w:div w:id="291063108">
          <w:marLeft w:val="0"/>
          <w:marRight w:val="0"/>
          <w:marTop w:val="0"/>
          <w:marBottom w:val="0"/>
          <w:divBdr>
            <w:top w:val="none" w:sz="0" w:space="0" w:color="auto"/>
            <w:left w:val="none" w:sz="0" w:space="0" w:color="auto"/>
            <w:bottom w:val="none" w:sz="0" w:space="0" w:color="auto"/>
            <w:right w:val="none" w:sz="0" w:space="0" w:color="auto"/>
          </w:divBdr>
        </w:div>
        <w:div w:id="371854761">
          <w:marLeft w:val="0"/>
          <w:marRight w:val="0"/>
          <w:marTop w:val="0"/>
          <w:marBottom w:val="0"/>
          <w:divBdr>
            <w:top w:val="none" w:sz="0" w:space="0" w:color="auto"/>
            <w:left w:val="none" w:sz="0" w:space="0" w:color="auto"/>
            <w:bottom w:val="none" w:sz="0" w:space="0" w:color="auto"/>
            <w:right w:val="none" w:sz="0" w:space="0" w:color="auto"/>
          </w:divBdr>
        </w:div>
        <w:div w:id="600063730">
          <w:marLeft w:val="0"/>
          <w:marRight w:val="0"/>
          <w:marTop w:val="0"/>
          <w:marBottom w:val="0"/>
          <w:divBdr>
            <w:top w:val="none" w:sz="0" w:space="0" w:color="auto"/>
            <w:left w:val="none" w:sz="0" w:space="0" w:color="auto"/>
            <w:bottom w:val="none" w:sz="0" w:space="0" w:color="auto"/>
            <w:right w:val="none" w:sz="0" w:space="0" w:color="auto"/>
          </w:divBdr>
        </w:div>
        <w:div w:id="679355698">
          <w:marLeft w:val="0"/>
          <w:marRight w:val="0"/>
          <w:marTop w:val="0"/>
          <w:marBottom w:val="0"/>
          <w:divBdr>
            <w:top w:val="none" w:sz="0" w:space="0" w:color="auto"/>
            <w:left w:val="none" w:sz="0" w:space="0" w:color="auto"/>
            <w:bottom w:val="none" w:sz="0" w:space="0" w:color="auto"/>
            <w:right w:val="none" w:sz="0" w:space="0" w:color="auto"/>
          </w:divBdr>
        </w:div>
        <w:div w:id="933589039">
          <w:marLeft w:val="0"/>
          <w:marRight w:val="0"/>
          <w:marTop w:val="0"/>
          <w:marBottom w:val="0"/>
          <w:divBdr>
            <w:top w:val="none" w:sz="0" w:space="0" w:color="auto"/>
            <w:left w:val="none" w:sz="0" w:space="0" w:color="auto"/>
            <w:bottom w:val="none" w:sz="0" w:space="0" w:color="auto"/>
            <w:right w:val="none" w:sz="0" w:space="0" w:color="auto"/>
          </w:divBdr>
        </w:div>
        <w:div w:id="1010260364">
          <w:marLeft w:val="0"/>
          <w:marRight w:val="0"/>
          <w:marTop w:val="0"/>
          <w:marBottom w:val="0"/>
          <w:divBdr>
            <w:top w:val="none" w:sz="0" w:space="0" w:color="auto"/>
            <w:left w:val="none" w:sz="0" w:space="0" w:color="auto"/>
            <w:bottom w:val="none" w:sz="0" w:space="0" w:color="auto"/>
            <w:right w:val="none" w:sz="0" w:space="0" w:color="auto"/>
          </w:divBdr>
        </w:div>
        <w:div w:id="1026715495">
          <w:marLeft w:val="0"/>
          <w:marRight w:val="0"/>
          <w:marTop w:val="0"/>
          <w:marBottom w:val="0"/>
          <w:divBdr>
            <w:top w:val="none" w:sz="0" w:space="0" w:color="auto"/>
            <w:left w:val="none" w:sz="0" w:space="0" w:color="auto"/>
            <w:bottom w:val="none" w:sz="0" w:space="0" w:color="auto"/>
            <w:right w:val="none" w:sz="0" w:space="0" w:color="auto"/>
          </w:divBdr>
        </w:div>
        <w:div w:id="1378168246">
          <w:marLeft w:val="0"/>
          <w:marRight w:val="0"/>
          <w:marTop w:val="0"/>
          <w:marBottom w:val="0"/>
          <w:divBdr>
            <w:top w:val="none" w:sz="0" w:space="0" w:color="auto"/>
            <w:left w:val="none" w:sz="0" w:space="0" w:color="auto"/>
            <w:bottom w:val="none" w:sz="0" w:space="0" w:color="auto"/>
            <w:right w:val="none" w:sz="0" w:space="0" w:color="auto"/>
          </w:divBdr>
        </w:div>
        <w:div w:id="1393887986">
          <w:marLeft w:val="0"/>
          <w:marRight w:val="0"/>
          <w:marTop w:val="0"/>
          <w:marBottom w:val="0"/>
          <w:divBdr>
            <w:top w:val="none" w:sz="0" w:space="0" w:color="auto"/>
            <w:left w:val="none" w:sz="0" w:space="0" w:color="auto"/>
            <w:bottom w:val="none" w:sz="0" w:space="0" w:color="auto"/>
            <w:right w:val="none" w:sz="0" w:space="0" w:color="auto"/>
          </w:divBdr>
        </w:div>
        <w:div w:id="1415053657">
          <w:marLeft w:val="0"/>
          <w:marRight w:val="0"/>
          <w:marTop w:val="0"/>
          <w:marBottom w:val="0"/>
          <w:divBdr>
            <w:top w:val="none" w:sz="0" w:space="0" w:color="auto"/>
            <w:left w:val="none" w:sz="0" w:space="0" w:color="auto"/>
            <w:bottom w:val="none" w:sz="0" w:space="0" w:color="auto"/>
            <w:right w:val="none" w:sz="0" w:space="0" w:color="auto"/>
          </w:divBdr>
        </w:div>
        <w:div w:id="1435705011">
          <w:marLeft w:val="0"/>
          <w:marRight w:val="0"/>
          <w:marTop w:val="0"/>
          <w:marBottom w:val="0"/>
          <w:divBdr>
            <w:top w:val="none" w:sz="0" w:space="0" w:color="auto"/>
            <w:left w:val="none" w:sz="0" w:space="0" w:color="auto"/>
            <w:bottom w:val="none" w:sz="0" w:space="0" w:color="auto"/>
            <w:right w:val="none" w:sz="0" w:space="0" w:color="auto"/>
          </w:divBdr>
        </w:div>
        <w:div w:id="1605727580">
          <w:marLeft w:val="0"/>
          <w:marRight w:val="0"/>
          <w:marTop w:val="0"/>
          <w:marBottom w:val="0"/>
          <w:divBdr>
            <w:top w:val="none" w:sz="0" w:space="0" w:color="auto"/>
            <w:left w:val="none" w:sz="0" w:space="0" w:color="auto"/>
            <w:bottom w:val="none" w:sz="0" w:space="0" w:color="auto"/>
            <w:right w:val="none" w:sz="0" w:space="0" w:color="auto"/>
          </w:divBdr>
        </w:div>
        <w:div w:id="1642004962">
          <w:marLeft w:val="0"/>
          <w:marRight w:val="0"/>
          <w:marTop w:val="0"/>
          <w:marBottom w:val="0"/>
          <w:divBdr>
            <w:top w:val="none" w:sz="0" w:space="0" w:color="auto"/>
            <w:left w:val="none" w:sz="0" w:space="0" w:color="auto"/>
            <w:bottom w:val="none" w:sz="0" w:space="0" w:color="auto"/>
            <w:right w:val="none" w:sz="0" w:space="0" w:color="auto"/>
          </w:divBdr>
        </w:div>
        <w:div w:id="1697927483">
          <w:marLeft w:val="0"/>
          <w:marRight w:val="0"/>
          <w:marTop w:val="0"/>
          <w:marBottom w:val="0"/>
          <w:divBdr>
            <w:top w:val="none" w:sz="0" w:space="0" w:color="auto"/>
            <w:left w:val="none" w:sz="0" w:space="0" w:color="auto"/>
            <w:bottom w:val="none" w:sz="0" w:space="0" w:color="auto"/>
            <w:right w:val="none" w:sz="0" w:space="0" w:color="auto"/>
          </w:divBdr>
        </w:div>
        <w:div w:id="1735852703">
          <w:marLeft w:val="0"/>
          <w:marRight w:val="0"/>
          <w:marTop w:val="0"/>
          <w:marBottom w:val="0"/>
          <w:divBdr>
            <w:top w:val="none" w:sz="0" w:space="0" w:color="auto"/>
            <w:left w:val="none" w:sz="0" w:space="0" w:color="auto"/>
            <w:bottom w:val="none" w:sz="0" w:space="0" w:color="auto"/>
            <w:right w:val="none" w:sz="0" w:space="0" w:color="auto"/>
          </w:divBdr>
        </w:div>
        <w:div w:id="1782996997">
          <w:marLeft w:val="0"/>
          <w:marRight w:val="0"/>
          <w:marTop w:val="0"/>
          <w:marBottom w:val="0"/>
          <w:divBdr>
            <w:top w:val="none" w:sz="0" w:space="0" w:color="auto"/>
            <w:left w:val="none" w:sz="0" w:space="0" w:color="auto"/>
            <w:bottom w:val="none" w:sz="0" w:space="0" w:color="auto"/>
            <w:right w:val="none" w:sz="0" w:space="0" w:color="auto"/>
          </w:divBdr>
        </w:div>
      </w:divsChild>
    </w:div>
    <w:div w:id="2106874829">
      <w:bodyDiv w:val="1"/>
      <w:marLeft w:val="0"/>
      <w:marRight w:val="0"/>
      <w:marTop w:val="0"/>
      <w:marBottom w:val="0"/>
      <w:divBdr>
        <w:top w:val="none" w:sz="0" w:space="0" w:color="auto"/>
        <w:left w:val="none" w:sz="0" w:space="0" w:color="auto"/>
        <w:bottom w:val="none" w:sz="0" w:space="0" w:color="auto"/>
        <w:right w:val="none" w:sz="0" w:space="0" w:color="auto"/>
      </w:divBdr>
    </w:div>
    <w:div w:id="2108847715">
      <w:bodyDiv w:val="1"/>
      <w:marLeft w:val="0"/>
      <w:marRight w:val="0"/>
      <w:marTop w:val="0"/>
      <w:marBottom w:val="0"/>
      <w:divBdr>
        <w:top w:val="none" w:sz="0" w:space="0" w:color="auto"/>
        <w:left w:val="none" w:sz="0" w:space="0" w:color="auto"/>
        <w:bottom w:val="none" w:sz="0" w:space="0" w:color="auto"/>
        <w:right w:val="none" w:sz="0" w:space="0" w:color="auto"/>
      </w:divBdr>
    </w:div>
    <w:div w:id="2113669314">
      <w:bodyDiv w:val="1"/>
      <w:marLeft w:val="0"/>
      <w:marRight w:val="0"/>
      <w:marTop w:val="0"/>
      <w:marBottom w:val="0"/>
      <w:divBdr>
        <w:top w:val="none" w:sz="0" w:space="0" w:color="auto"/>
        <w:left w:val="none" w:sz="0" w:space="0" w:color="auto"/>
        <w:bottom w:val="none" w:sz="0" w:space="0" w:color="auto"/>
        <w:right w:val="none" w:sz="0" w:space="0" w:color="auto"/>
      </w:divBdr>
    </w:div>
    <w:div w:id="2114781852">
      <w:bodyDiv w:val="1"/>
      <w:marLeft w:val="0"/>
      <w:marRight w:val="0"/>
      <w:marTop w:val="0"/>
      <w:marBottom w:val="0"/>
      <w:divBdr>
        <w:top w:val="none" w:sz="0" w:space="0" w:color="auto"/>
        <w:left w:val="none" w:sz="0" w:space="0" w:color="auto"/>
        <w:bottom w:val="none" w:sz="0" w:space="0" w:color="auto"/>
        <w:right w:val="none" w:sz="0" w:space="0" w:color="auto"/>
      </w:divBdr>
      <w:divsChild>
        <w:div w:id="1043940723">
          <w:marLeft w:val="0"/>
          <w:marRight w:val="0"/>
          <w:marTop w:val="0"/>
          <w:marBottom w:val="0"/>
          <w:divBdr>
            <w:top w:val="none" w:sz="0" w:space="0" w:color="auto"/>
            <w:left w:val="none" w:sz="0" w:space="0" w:color="auto"/>
            <w:bottom w:val="none" w:sz="0" w:space="0" w:color="auto"/>
            <w:right w:val="none" w:sz="0" w:space="0" w:color="auto"/>
          </w:divBdr>
        </w:div>
        <w:div w:id="2013337671">
          <w:marLeft w:val="0"/>
          <w:marRight w:val="0"/>
          <w:marTop w:val="0"/>
          <w:marBottom w:val="0"/>
          <w:divBdr>
            <w:top w:val="none" w:sz="0" w:space="0" w:color="auto"/>
            <w:left w:val="none" w:sz="0" w:space="0" w:color="auto"/>
            <w:bottom w:val="none" w:sz="0" w:space="0" w:color="auto"/>
            <w:right w:val="none" w:sz="0" w:space="0" w:color="auto"/>
          </w:divBdr>
        </w:div>
      </w:divsChild>
    </w:div>
    <w:div w:id="2146458947">
      <w:bodyDiv w:val="1"/>
      <w:marLeft w:val="0"/>
      <w:marRight w:val="0"/>
      <w:marTop w:val="0"/>
      <w:marBottom w:val="0"/>
      <w:divBdr>
        <w:top w:val="none" w:sz="0" w:space="0" w:color="auto"/>
        <w:left w:val="none" w:sz="0" w:space="0" w:color="auto"/>
        <w:bottom w:val="none" w:sz="0" w:space="0" w:color="auto"/>
        <w:right w:val="none" w:sz="0" w:space="0" w:color="auto"/>
      </w:divBdr>
      <w:divsChild>
        <w:div w:id="1345551996">
          <w:marLeft w:val="1166"/>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ssemblee-nationale.fr/15/projets/pl3875.as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B04A2B76A9AB4FB4E0E26401896372" ma:contentTypeVersion="13" ma:contentTypeDescription="Crée un document." ma:contentTypeScope="" ma:versionID="fa5eb47674b166bd4b1e03f5e3e32852">
  <xsd:schema xmlns:xsd="http://www.w3.org/2001/XMLSchema" xmlns:xs="http://www.w3.org/2001/XMLSchema" xmlns:p="http://schemas.microsoft.com/office/2006/metadata/properties" xmlns:ns2="1b25993f-125e-415d-acd0-fb790af825de" xmlns:ns3="69823076-d0b2-4976-8311-ce21db8314c5" targetNamespace="http://schemas.microsoft.com/office/2006/metadata/properties" ma:root="true" ma:fieldsID="57ec45a1d9cff5d5874d877590aefe6f" ns2:_="" ns3:_="">
    <xsd:import namespace="1b25993f-125e-415d-acd0-fb790af825de"/>
    <xsd:import namespace="69823076-d0b2-4976-8311-ce21db8314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25993f-125e-415d-acd0-fb790af82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823076-d0b2-4976-8311-ce21db8314c5"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6BBAD-5229-4754-8096-85C804B86181}">
  <ds:schemaRefs>
    <ds:schemaRef ds:uri="http://schemas.openxmlformats.org/officeDocument/2006/bibliography"/>
  </ds:schemaRefs>
</ds:datastoreItem>
</file>

<file path=customXml/itemProps2.xml><?xml version="1.0" encoding="utf-8"?>
<ds:datastoreItem xmlns:ds="http://schemas.openxmlformats.org/officeDocument/2006/customXml" ds:itemID="{EE1C2ACD-1E6C-4E59-B15C-6121137F82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0DBD6F-43A1-4510-BC58-A1EC16C07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25993f-125e-415d-acd0-fb790af825de"/>
    <ds:schemaRef ds:uri="69823076-d0b2-4976-8311-ce21db8314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29B8E3-FFA8-41B4-9C46-FA0516A080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1322</TotalTime>
  <Pages>82</Pages>
  <Words>29774</Words>
  <Characters>163762</Characters>
  <Application>Microsoft Office Word</Application>
  <DocSecurity>0</DocSecurity>
  <Lines>1364</Lines>
  <Paragraphs>386</Paragraphs>
  <ScaleCrop>false</ScaleCrop>
  <HeadingPairs>
    <vt:vector size="4" baseType="variant">
      <vt:variant>
        <vt:lpstr>Titre</vt:lpstr>
      </vt:variant>
      <vt:variant>
        <vt:i4>1</vt:i4>
      </vt:variant>
      <vt:variant>
        <vt:lpstr>Titres</vt:lpstr>
      </vt:variant>
      <vt:variant>
        <vt:i4>54</vt:i4>
      </vt:variant>
    </vt:vector>
  </HeadingPairs>
  <TitlesOfParts>
    <vt:vector size="55" baseType="lpstr">
      <vt:lpstr/>
      <vt:lpstr>ACTUALITES FISCALES</vt:lpstr>
      <vt:lpstr>    Ce qu’il faut savoir en matière d’impôt sur les bénéfices</vt:lpstr>
      <vt:lpstr>        Réduction d’impôt pour investissement dans une société de presse</vt:lpstr>
      <vt:lpstr>        Amortissements et problème informatique</vt:lpstr>
      <vt:lpstr>        Calcul de la pénalité pour défaut d’adhésion à un OGA</vt:lpstr>
      <vt:lpstr>        Crédit d’impôt recherche et intérêts moratoires</vt:lpstr>
      <vt:lpstr>    Ce qu’il faut savoir en matière de TVA et autres impôts et taxes</vt:lpstr>
      <vt:lpstr>        Date limite de paiement de l’acompte de CFE</vt:lpstr>
      <vt:lpstr>ACTUALITES SOCIALES</vt:lpstr>
      <vt:lpstr>    Ce qu’il faut savoir en matière d’embauche</vt:lpstr>
      <vt:lpstr>        Absence de prise de poste</vt:lpstr>
      <vt:lpstr>        CDD successifs et rémunération</vt:lpstr>
      <vt:lpstr>        Calcul de la période d’essai</vt:lpstr>
      <vt:lpstr>    Ce qu’il faut savoir en matière de rémunération</vt:lpstr>
      <vt:lpstr>        Rémunération du salarié inapte</vt:lpstr>
      <vt:lpstr>    Ce qu’il faut savoir en matière de relations de travail</vt:lpstr>
      <vt:lpstr>        Mise à disposition d’un véhicule</vt:lpstr>
      <vt:lpstr>        Congés payés et jours de fractionnement</vt:lpstr>
      <vt:lpstr>        Allongement du congé paternité</vt:lpstr>
      <vt:lpstr>        Télétravail et NTIC : remboursement des frais professionnels</vt:lpstr>
      <vt:lpstr>    Ce qu’il faut savoir en matière de santé et sécurité au travail</vt:lpstr>
      <vt:lpstr>        Registre des accidents bénins</vt:lpstr>
      <vt:lpstr>        AT/MP et indemnisation de l’incapacité permanente</vt:lpstr>
      <vt:lpstr>        Arrêt maladie et obligations de l’employeur</vt:lpstr>
      <vt:lpstr>    Ce qu’il faut savoir en matière de représentation du personnel</vt:lpstr>
      <vt:lpstr>        Violation du statut protecteur</vt:lpstr>
      <vt:lpstr>    Ce qu’il faut savoir en matière de relations avec l’administration sociale</vt:lpstr>
      <vt:lpstr>        Quotité de travail en DSN</vt:lpstr>
      <vt:lpstr>        Contrôle URSSAF et signature des inspecteurs</vt:lpstr>
      <vt:lpstr>        Versement transport</vt:lpstr>
      <vt:lpstr>        Révocabilité de l’option pour la réduction Fillon</vt:lpstr>
      <vt:lpstr>    </vt:lpstr>
      <vt:lpstr>    Ce qu’il faut savoir en matière de rupture de contrat</vt:lpstr>
      <vt:lpstr>        Contestation d’un licenciement économique et CSP</vt:lpstr>
      <vt:lpstr>        Indemnité de rupture conventionnelle</vt:lpstr>
      <vt:lpstr>        Licenciement économique et dispositifs de reclassement</vt:lpstr>
      <vt:lpstr>ACTUALITES JURIDIQUES</vt:lpstr>
      <vt:lpstr>    Ce qu’il faut savoir en matière de gestion juridique de l’entreprise</vt:lpstr>
      <vt:lpstr>        Rançongiciels et préconisations de la CNIL</vt:lpstr>
      <vt:lpstr>        RGPD et analyse d’impact</vt:lpstr>
      <vt:lpstr>        Pratiques anticoncurrentielles et procédure de clémence</vt:lpstr>
      <vt:lpstr>        Commande publique et guide pour aider les entreprises à se relancer</vt:lpstr>
      <vt:lpstr>        Loi sur la sécurité globale</vt:lpstr>
      <vt:lpstr>        Concurrence déloyale et démarchage fautif</vt:lpstr>
      <vt:lpstr>        Simplification de la vie des entreprises</vt:lpstr>
      <vt:lpstr>    Ce qu’il faut savoir en matière de droit des sociétés</vt:lpstr>
      <vt:lpstr>        Président de SAS et expiration du mandat</vt:lpstr>
      <vt:lpstr>        Vente de parts sociales et détermination du prix</vt:lpstr>
      <vt:lpstr>        Liquidation judiciaire et interdiction de gérer</vt:lpstr>
      <vt:lpstr>LE COIN DU DIRIGEANT</vt:lpstr>
      <vt:lpstr>    Ce qu’il faut savoir en matière d’impôt sur le revenu</vt:lpstr>
      <vt:lpstr>        Crédit d’impôt sur les 1ers abonnements à un journal</vt:lpstr>
      <vt:lpstr>        Réduction d’impôt « Madelin »</vt:lpstr>
      <vt:lpstr>        Système du quotient et notion de « revenu exceptionnel »</vt:lpstr>
    </vt:vector>
  </TitlesOfParts>
  <Company/>
  <LinksUpToDate>false</LinksUpToDate>
  <CharactersWithSpaces>193150</CharactersWithSpaces>
  <SharedDoc>false</SharedDoc>
  <HLinks>
    <vt:vector size="1092" baseType="variant">
      <vt:variant>
        <vt:i4>6750267</vt:i4>
      </vt:variant>
      <vt:variant>
        <vt:i4>945</vt:i4>
      </vt:variant>
      <vt:variant>
        <vt:i4>0</vt:i4>
      </vt:variant>
      <vt:variant>
        <vt:i4>5</vt:i4>
      </vt:variant>
      <vt:variant>
        <vt:lpwstr>http://questions.assemblee-nationale.fr/q15/15-25611QE.htm</vt:lpwstr>
      </vt:variant>
      <vt:variant>
        <vt:lpwstr/>
      </vt:variant>
      <vt:variant>
        <vt:i4>786531</vt:i4>
      </vt:variant>
      <vt:variant>
        <vt:i4>942</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7208997</vt:i4>
      </vt:variant>
      <vt:variant>
        <vt:i4>939</vt:i4>
      </vt:variant>
      <vt:variant>
        <vt:i4>0</vt:i4>
      </vt:variant>
      <vt:variant>
        <vt:i4>5</vt:i4>
      </vt:variant>
      <vt:variant>
        <vt:lpwstr>https://www.legifrance.gouv.fr/affichJuriJudi.do?oldAction=rechExpJuriJudi&amp;idTexte=JURITEXT000041490565&amp;fastReqId=389088824&amp;fastPos=16</vt:lpwstr>
      </vt:variant>
      <vt:variant>
        <vt:lpwstr/>
      </vt:variant>
      <vt:variant>
        <vt:i4>458817</vt:i4>
      </vt:variant>
      <vt:variant>
        <vt:i4>936</vt:i4>
      </vt:variant>
      <vt:variant>
        <vt:i4>0</vt:i4>
      </vt:variant>
      <vt:variant>
        <vt:i4>5</vt:i4>
      </vt:variant>
      <vt:variant>
        <vt:lpwstr>https://www.legifrance.gouv.fr/affichJuriJudi.do?oldAction=rechJuriJudi&amp;idTexte=JURITEXT000039419237&amp;fastReqId=1132181518&amp;fastPos=1A</vt:lpwstr>
      </vt:variant>
      <vt:variant>
        <vt:lpwstr/>
      </vt:variant>
      <vt:variant>
        <vt:i4>6291572</vt:i4>
      </vt:variant>
      <vt:variant>
        <vt:i4>933</vt:i4>
      </vt:variant>
      <vt:variant>
        <vt:i4>0</vt:i4>
      </vt:variant>
      <vt:variant>
        <vt:i4>5</vt:i4>
      </vt:variant>
      <vt:variant>
        <vt:lpwstr>https://www.legifrance.gouv.fr/affichJuriJudi.do?oldAction=rechJuriJudi&amp;idTexte=JURITEXT000039465703&amp;fastReqId=1496456399&amp;fastPos=1</vt:lpwstr>
      </vt:variant>
      <vt:variant>
        <vt:lpwstr/>
      </vt:variant>
      <vt:variant>
        <vt:i4>3604537</vt:i4>
      </vt:variant>
      <vt:variant>
        <vt:i4>930</vt:i4>
      </vt:variant>
      <vt:variant>
        <vt:i4>0</vt:i4>
      </vt:variant>
      <vt:variant>
        <vt:i4>5</vt:i4>
      </vt:variant>
      <vt:variant>
        <vt:lpwstr>https://www.legifrance.gouv.fr/affichTexte.do?cidTexte=JORFTEXT000041505155&amp;dateTexte=&amp;categorieLien=id</vt:lpwstr>
      </vt:variant>
      <vt:variant>
        <vt:lpwstr/>
      </vt:variant>
      <vt:variant>
        <vt:i4>3473463</vt:i4>
      </vt:variant>
      <vt:variant>
        <vt:i4>927</vt:i4>
      </vt:variant>
      <vt:variant>
        <vt:i4>0</vt:i4>
      </vt:variant>
      <vt:variant>
        <vt:i4>5</vt:i4>
      </vt:variant>
      <vt:variant>
        <vt:lpwstr>https://www.legifrance.gouv.fr/affichTexte.do?cidTexte=JORFTEXT000041601208&amp;dateTexte=&amp;categorieLien=id</vt:lpwstr>
      </vt:variant>
      <vt:variant>
        <vt:lpwstr/>
      </vt:variant>
      <vt:variant>
        <vt:i4>4784209</vt:i4>
      </vt:variant>
      <vt:variant>
        <vt:i4>924</vt:i4>
      </vt:variant>
      <vt:variant>
        <vt:i4>0</vt:i4>
      </vt:variant>
      <vt:variant>
        <vt:i4>5</vt:i4>
      </vt:variant>
      <vt:variant>
        <vt:lpwstr>https://agriculture.gouv.fr/le-ministere-mobilise-particuliers-et-professionnels-contre-un-virus-emergent-dangereux-pour-les</vt:lpwstr>
      </vt:variant>
      <vt:variant>
        <vt:lpwstr/>
      </vt:variant>
      <vt:variant>
        <vt:i4>6160467</vt:i4>
      </vt:variant>
      <vt:variant>
        <vt:i4>921</vt:i4>
      </vt:variant>
      <vt:variant>
        <vt:i4>0</vt:i4>
      </vt:variant>
      <vt:variant>
        <vt:i4>5</vt:i4>
      </vt:variant>
      <vt:variant>
        <vt:lpwstr>https://www.legifrance.gouv.fr/affichJuriAdmin.do?oldAction=rechJuriAdmin&amp;idTexte=CETATEXT000041569364&amp;fastReqId=1948072701&amp;fastPos=1</vt:lpwstr>
      </vt:variant>
      <vt:variant>
        <vt:lpwstr/>
      </vt:variant>
      <vt:variant>
        <vt:i4>786531</vt:i4>
      </vt:variant>
      <vt:variant>
        <vt:i4>918</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8061032</vt:i4>
      </vt:variant>
      <vt:variant>
        <vt:i4>915</vt:i4>
      </vt:variant>
      <vt:variant>
        <vt:i4>0</vt:i4>
      </vt:variant>
      <vt:variant>
        <vt:i4>5</vt:i4>
      </vt:variant>
      <vt:variant>
        <vt:lpwstr>https://agriculture.gouv.fr/peche-la-situation-sur-lacces-aux-eaux-de-guernesey</vt:lpwstr>
      </vt:variant>
      <vt:variant>
        <vt:lpwstr/>
      </vt:variant>
      <vt:variant>
        <vt:i4>2228327</vt:i4>
      </vt:variant>
      <vt:variant>
        <vt:i4>912</vt:i4>
      </vt:variant>
      <vt:variant>
        <vt:i4>0</vt:i4>
      </vt:variant>
      <vt:variant>
        <vt:i4>5</vt:i4>
      </vt:variant>
      <vt:variant>
        <vt:lpwstr>https://www.legifrance.gouv.fr/affichJuriJudi.do?oldAction=rechExpJuriJudi&amp;idTexte=JURITEXT000041482025&amp;fastReqId=1679248829&amp;fastPos=3</vt:lpwstr>
      </vt:variant>
      <vt:variant>
        <vt:lpwstr/>
      </vt:variant>
      <vt:variant>
        <vt:i4>6160467</vt:i4>
      </vt:variant>
      <vt:variant>
        <vt:i4>909</vt:i4>
      </vt:variant>
      <vt:variant>
        <vt:i4>0</vt:i4>
      </vt:variant>
      <vt:variant>
        <vt:i4>5</vt:i4>
      </vt:variant>
      <vt:variant>
        <vt:lpwstr>https://www.legifrance.gouv.fr/affichJuriAdmin.do?oldAction=rechJuriAdmin&amp;idTexte=CETATEXT000041569364&amp;fastReqId=1948072701&amp;fastPos=1</vt:lpwstr>
      </vt:variant>
      <vt:variant>
        <vt:lpwstr/>
      </vt:variant>
      <vt:variant>
        <vt:i4>786531</vt:i4>
      </vt:variant>
      <vt:variant>
        <vt:i4>906</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786531</vt:i4>
      </vt:variant>
      <vt:variant>
        <vt:i4>903</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6684711</vt:i4>
      </vt:variant>
      <vt:variant>
        <vt:i4>900</vt:i4>
      </vt:variant>
      <vt:variant>
        <vt:i4>0</vt:i4>
      </vt:variant>
      <vt:variant>
        <vt:i4>5</vt:i4>
      </vt:variant>
      <vt:variant>
        <vt:lpwstr>https://www.legifrance.gouv.fr/affichJuriJudi.do?oldAction=rechExpJuriJudi&amp;idTexte=JURITEXT000041490456&amp;fastReqId=557681584&amp;fastPos=45</vt:lpwstr>
      </vt:variant>
      <vt:variant>
        <vt:lpwstr/>
      </vt:variant>
      <vt:variant>
        <vt:i4>786531</vt:i4>
      </vt:variant>
      <vt:variant>
        <vt:i4>897</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4128816</vt:i4>
      </vt:variant>
      <vt:variant>
        <vt:i4>894</vt:i4>
      </vt:variant>
      <vt:variant>
        <vt:i4>0</vt:i4>
      </vt:variant>
      <vt:variant>
        <vt:i4>5</vt:i4>
      </vt:variant>
      <vt:variant>
        <vt:lpwstr>https://www.legifrance.gouv.fr/affichTexte.do?cidTexte=JORFTEXT000041559018&amp;dateTexte=&amp;categorieLien=id</vt:lpwstr>
      </vt:variant>
      <vt:variant>
        <vt:lpwstr/>
      </vt:variant>
      <vt:variant>
        <vt:i4>3866676</vt:i4>
      </vt:variant>
      <vt:variant>
        <vt:i4>891</vt:i4>
      </vt:variant>
      <vt:variant>
        <vt:i4>0</vt:i4>
      </vt:variant>
      <vt:variant>
        <vt:i4>5</vt:i4>
      </vt:variant>
      <vt:variant>
        <vt:lpwstr>https://www.legifrance.gouv.fr/affichTexte.do?cidTexte=JORFTEXT000041514880&amp;dateTexte=&amp;categorieLien=id</vt:lpwstr>
      </vt:variant>
      <vt:variant>
        <vt:lpwstr/>
      </vt:variant>
      <vt:variant>
        <vt:i4>3014761</vt:i4>
      </vt:variant>
      <vt:variant>
        <vt:i4>888</vt:i4>
      </vt:variant>
      <vt:variant>
        <vt:i4>0</vt:i4>
      </vt:variant>
      <vt:variant>
        <vt:i4>5</vt:i4>
      </vt:variant>
      <vt:variant>
        <vt:lpwstr>https://www.legifrance.gouv.fr/affichJuriJudi.do?oldAction=rechExpJuriJudi&amp;idTexte=JURITEXT000041585803&amp;fastReqId=1767455582&amp;fastPos=30</vt:lpwstr>
      </vt:variant>
      <vt:variant>
        <vt:lpwstr/>
      </vt:variant>
      <vt:variant>
        <vt:i4>786531</vt:i4>
      </vt:variant>
      <vt:variant>
        <vt:i4>885</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6619171</vt:i4>
      </vt:variant>
      <vt:variant>
        <vt:i4>882</vt:i4>
      </vt:variant>
      <vt:variant>
        <vt:i4>0</vt:i4>
      </vt:variant>
      <vt:variant>
        <vt:i4>5</vt:i4>
      </vt:variant>
      <vt:variant>
        <vt:lpwstr>https://www.legifrance.gouv.fr/affichJuriJudi.do?oldAction=rechExpJuriJudi&amp;idTexte=JURITEXT000041490580&amp;fastReqId=389088824&amp;fastPos=23</vt:lpwstr>
      </vt:variant>
      <vt:variant>
        <vt:lpwstr/>
      </vt:variant>
      <vt:variant>
        <vt:i4>3342395</vt:i4>
      </vt:variant>
      <vt:variant>
        <vt:i4>879</vt:i4>
      </vt:variant>
      <vt:variant>
        <vt:i4>0</vt:i4>
      </vt:variant>
      <vt:variant>
        <vt:i4>5</vt:i4>
      </vt:variant>
      <vt:variant>
        <vt:lpwstr>https://www.legifrance.gouv.fr/affichTexte.do?cidTexte=JORFTEXT000041573475&amp;dateTexte=&amp;categorieLien=id</vt:lpwstr>
      </vt:variant>
      <vt:variant>
        <vt:lpwstr/>
      </vt:variant>
      <vt:variant>
        <vt:i4>6225945</vt:i4>
      </vt:variant>
      <vt:variant>
        <vt:i4>876</vt:i4>
      </vt:variant>
      <vt:variant>
        <vt:i4>0</vt:i4>
      </vt:variant>
      <vt:variant>
        <vt:i4>5</vt:i4>
      </vt:variant>
      <vt:variant>
        <vt:lpwstr>https://www.legifrance.gouv.fr/affichJuriJudi.do?oldAction=rechExpJuriJudi&amp;idTexte=JURITEXT000041551278&amp;fastReqId=306202242&amp;fastPos=4</vt:lpwstr>
      </vt:variant>
      <vt:variant>
        <vt:lpwstr/>
      </vt:variant>
      <vt:variant>
        <vt:i4>6225944</vt:i4>
      </vt:variant>
      <vt:variant>
        <vt:i4>873</vt:i4>
      </vt:variant>
      <vt:variant>
        <vt:i4>0</vt:i4>
      </vt:variant>
      <vt:variant>
        <vt:i4>5</vt:i4>
      </vt:variant>
      <vt:variant>
        <vt:lpwstr>https://www.legifrance.gouv.fr/affichJuriJudi.do?oldAction=rechExpJuriJudi&amp;idTexte=JURITEXT000041551279&amp;fastReqId=306202242&amp;fastPos=3</vt:lpwstr>
      </vt:variant>
      <vt:variant>
        <vt:lpwstr/>
      </vt:variant>
      <vt:variant>
        <vt:i4>786531</vt:i4>
      </vt:variant>
      <vt:variant>
        <vt:i4>870</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2490477</vt:i4>
      </vt:variant>
      <vt:variant>
        <vt:i4>867</vt:i4>
      </vt:variant>
      <vt:variant>
        <vt:i4>0</vt:i4>
      </vt:variant>
      <vt:variant>
        <vt:i4>5</vt:i4>
      </vt:variant>
      <vt:variant>
        <vt:lpwstr>https://www.legifrance.gouv.fr/affichJuriJudi.do?oldAction=rechExpJuriJudi&amp;idTexte=JURITEXT000041490641&amp;fastReqId=1739753615&amp;fastPos=17</vt:lpwstr>
      </vt:variant>
      <vt:variant>
        <vt:lpwstr/>
      </vt:variant>
      <vt:variant>
        <vt:i4>3801141</vt:i4>
      </vt:variant>
      <vt:variant>
        <vt:i4>864</vt:i4>
      </vt:variant>
      <vt:variant>
        <vt:i4>0</vt:i4>
      </vt:variant>
      <vt:variant>
        <vt:i4>5</vt:i4>
      </vt:variant>
      <vt:variant>
        <vt:lpwstr>https://www.legifrance.gouv.fr/affichTexte.do?cidTexte=JORFTEXT000041579748&amp;dateTexte=&amp;categorieLien=id</vt:lpwstr>
      </vt:variant>
      <vt:variant>
        <vt:lpwstr/>
      </vt:variant>
      <vt:variant>
        <vt:i4>2228328</vt:i4>
      </vt:variant>
      <vt:variant>
        <vt:i4>861</vt:i4>
      </vt:variant>
      <vt:variant>
        <vt:i4>0</vt:i4>
      </vt:variant>
      <vt:variant>
        <vt:i4>5</vt:i4>
      </vt:variant>
      <vt:variant>
        <vt:lpwstr>https://www.legifrance.gouv.fr/affichJuriJudi.do?oldAction=rechExpJuriJudi&amp;idTexte=JURITEXT000041551198&amp;fastReqId=1846868853&amp;fastPos=32</vt:lpwstr>
      </vt:variant>
      <vt:variant>
        <vt:lpwstr/>
      </vt:variant>
      <vt:variant>
        <vt:i4>786531</vt:i4>
      </vt:variant>
      <vt:variant>
        <vt:i4>858</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786531</vt:i4>
      </vt:variant>
      <vt:variant>
        <vt:i4>855</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3145760</vt:i4>
      </vt:variant>
      <vt:variant>
        <vt:i4>852</vt:i4>
      </vt:variant>
      <vt:variant>
        <vt:i4>0</vt:i4>
      </vt:variant>
      <vt:variant>
        <vt:i4>5</vt:i4>
      </vt:variant>
      <vt:variant>
        <vt:lpwstr>https://www.economie.gouv.fr/dgccrf/commercialisation-des-viandes-et-abats-de-veau</vt:lpwstr>
      </vt:variant>
      <vt:variant>
        <vt:lpwstr/>
      </vt:variant>
      <vt:variant>
        <vt:i4>2424894</vt:i4>
      </vt:variant>
      <vt:variant>
        <vt:i4>849</vt:i4>
      </vt:variant>
      <vt:variant>
        <vt:i4>0</vt:i4>
      </vt:variant>
      <vt:variant>
        <vt:i4>5</vt:i4>
      </vt:variant>
      <vt:variant>
        <vt:lpwstr>https://www.economie.gouv.fr/dgccrf/controles-des-etiquetages-de-viande-de-volaille</vt:lpwstr>
      </vt:variant>
      <vt:variant>
        <vt:lpwstr/>
      </vt:variant>
      <vt:variant>
        <vt:i4>4128816</vt:i4>
      </vt:variant>
      <vt:variant>
        <vt:i4>846</vt:i4>
      </vt:variant>
      <vt:variant>
        <vt:i4>0</vt:i4>
      </vt:variant>
      <vt:variant>
        <vt:i4>5</vt:i4>
      </vt:variant>
      <vt:variant>
        <vt:lpwstr>https://www.legifrance.gouv.fr/affichTexte.do?cidTexte=JORFTEXT000041559018&amp;dateTexte=&amp;categorieLien=id</vt:lpwstr>
      </vt:variant>
      <vt:variant>
        <vt:lpwstr/>
      </vt:variant>
      <vt:variant>
        <vt:i4>786531</vt:i4>
      </vt:variant>
      <vt:variant>
        <vt:i4>843</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786531</vt:i4>
      </vt:variant>
      <vt:variant>
        <vt:i4>840</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5177431</vt:i4>
      </vt:variant>
      <vt:variant>
        <vt:i4>837</vt:i4>
      </vt:variant>
      <vt:variant>
        <vt:i4>0</vt:i4>
      </vt:variant>
      <vt:variant>
        <vt:i4>5</vt:i4>
      </vt:variant>
      <vt:variant>
        <vt:lpwstr>https://www.legifrance.gouv.fr/affichTexte.do?cidTexte=JORFTEXT000039373396&amp;categorieLien=id</vt:lpwstr>
      </vt:variant>
      <vt:variant>
        <vt:lpwstr/>
      </vt:variant>
      <vt:variant>
        <vt:i4>5111894</vt:i4>
      </vt:variant>
      <vt:variant>
        <vt:i4>834</vt:i4>
      </vt:variant>
      <vt:variant>
        <vt:i4>0</vt:i4>
      </vt:variant>
      <vt:variant>
        <vt:i4>5</vt:i4>
      </vt:variant>
      <vt:variant>
        <vt:lpwstr>https://www.legifrance.gouv.fr/affichTexte.do?cidTexte=JORFTEXT000039373387&amp;categorieLien=id</vt:lpwstr>
      </vt:variant>
      <vt:variant>
        <vt:lpwstr/>
      </vt:variant>
      <vt:variant>
        <vt:i4>4653151</vt:i4>
      </vt:variant>
      <vt:variant>
        <vt:i4>831</vt:i4>
      </vt:variant>
      <vt:variant>
        <vt:i4>0</vt:i4>
      </vt:variant>
      <vt:variant>
        <vt:i4>5</vt:i4>
      </vt:variant>
      <vt:variant>
        <vt:lpwstr>https://www.legifrance.gouv.fr/affichTexte.do?cidTexte=JORFTEXT000041506557&amp;categorieLien=id</vt:lpwstr>
      </vt:variant>
      <vt:variant>
        <vt:lpwstr/>
      </vt:variant>
      <vt:variant>
        <vt:i4>4587613</vt:i4>
      </vt:variant>
      <vt:variant>
        <vt:i4>828</vt:i4>
      </vt:variant>
      <vt:variant>
        <vt:i4>0</vt:i4>
      </vt:variant>
      <vt:variant>
        <vt:i4>5</vt:i4>
      </vt:variant>
      <vt:variant>
        <vt:lpwstr>https://www.legifrance.gouv.fr/affichTexte.do?cidTexte=JORFTEXT000041506545&amp;categorieLien=id</vt:lpwstr>
      </vt:variant>
      <vt:variant>
        <vt:lpwstr/>
      </vt:variant>
      <vt:variant>
        <vt:i4>7208992</vt:i4>
      </vt:variant>
      <vt:variant>
        <vt:i4>825</vt:i4>
      </vt:variant>
      <vt:variant>
        <vt:i4>0</vt:i4>
      </vt:variant>
      <vt:variant>
        <vt:i4>5</vt:i4>
      </vt:variant>
      <vt:variant>
        <vt:lpwstr>https://www.legifrance.gouv.fr/affichJuriJudi.do?oldAction=rechExpJuriJudi&amp;idTexte=JURITEXT000041490387&amp;fastReqId=557681584&amp;fastPos=50</vt:lpwstr>
      </vt:variant>
      <vt:variant>
        <vt:lpwstr/>
      </vt:variant>
      <vt:variant>
        <vt:i4>786531</vt:i4>
      </vt:variant>
      <vt:variant>
        <vt:i4>822</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786531</vt:i4>
      </vt:variant>
      <vt:variant>
        <vt:i4>819</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786531</vt:i4>
      </vt:variant>
      <vt:variant>
        <vt:i4>816</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786531</vt:i4>
      </vt:variant>
      <vt:variant>
        <vt:i4>813</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786531</vt:i4>
      </vt:variant>
      <vt:variant>
        <vt:i4>810</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786531</vt:i4>
      </vt:variant>
      <vt:variant>
        <vt:i4>807</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3932214</vt:i4>
      </vt:variant>
      <vt:variant>
        <vt:i4>804</vt:i4>
      </vt:variant>
      <vt:variant>
        <vt:i4>0</vt:i4>
      </vt:variant>
      <vt:variant>
        <vt:i4>5</vt:i4>
      </vt:variant>
      <vt:variant>
        <vt:lpwstr>https://www.legifrance.gouv.fr/affichTexte.do?cidTexte=JORFTEXT000041513882&amp;dateTexte=&amp;categorieLien=id</vt:lpwstr>
      </vt:variant>
      <vt:variant>
        <vt:lpwstr/>
      </vt:variant>
      <vt:variant>
        <vt:i4>3342391</vt:i4>
      </vt:variant>
      <vt:variant>
        <vt:i4>801</vt:i4>
      </vt:variant>
      <vt:variant>
        <vt:i4>0</vt:i4>
      </vt:variant>
      <vt:variant>
        <vt:i4>5</vt:i4>
      </vt:variant>
      <vt:variant>
        <vt:lpwstr>https://www.legifrance.gouv.fr/affichTexte.do?cidTexte=JORFTEXT000041513873&amp;dateTexte=&amp;categorieLien=id</vt:lpwstr>
      </vt:variant>
      <vt:variant>
        <vt:lpwstr/>
      </vt:variant>
      <vt:variant>
        <vt:i4>1376315</vt:i4>
      </vt:variant>
      <vt:variant>
        <vt:i4>794</vt:i4>
      </vt:variant>
      <vt:variant>
        <vt:i4>0</vt:i4>
      </vt:variant>
      <vt:variant>
        <vt:i4>5</vt:i4>
      </vt:variant>
      <vt:variant>
        <vt:lpwstr/>
      </vt:variant>
      <vt:variant>
        <vt:lpwstr>_Toc32489058</vt:lpwstr>
      </vt:variant>
      <vt:variant>
        <vt:i4>1703995</vt:i4>
      </vt:variant>
      <vt:variant>
        <vt:i4>788</vt:i4>
      </vt:variant>
      <vt:variant>
        <vt:i4>0</vt:i4>
      </vt:variant>
      <vt:variant>
        <vt:i4>5</vt:i4>
      </vt:variant>
      <vt:variant>
        <vt:lpwstr/>
      </vt:variant>
      <vt:variant>
        <vt:lpwstr>_Toc32489057</vt:lpwstr>
      </vt:variant>
      <vt:variant>
        <vt:i4>1769531</vt:i4>
      </vt:variant>
      <vt:variant>
        <vt:i4>782</vt:i4>
      </vt:variant>
      <vt:variant>
        <vt:i4>0</vt:i4>
      </vt:variant>
      <vt:variant>
        <vt:i4>5</vt:i4>
      </vt:variant>
      <vt:variant>
        <vt:lpwstr/>
      </vt:variant>
      <vt:variant>
        <vt:lpwstr>_Toc32489056</vt:lpwstr>
      </vt:variant>
      <vt:variant>
        <vt:i4>1572923</vt:i4>
      </vt:variant>
      <vt:variant>
        <vt:i4>776</vt:i4>
      </vt:variant>
      <vt:variant>
        <vt:i4>0</vt:i4>
      </vt:variant>
      <vt:variant>
        <vt:i4>5</vt:i4>
      </vt:variant>
      <vt:variant>
        <vt:lpwstr/>
      </vt:variant>
      <vt:variant>
        <vt:lpwstr>_Toc32489055</vt:lpwstr>
      </vt:variant>
      <vt:variant>
        <vt:i4>1638459</vt:i4>
      </vt:variant>
      <vt:variant>
        <vt:i4>770</vt:i4>
      </vt:variant>
      <vt:variant>
        <vt:i4>0</vt:i4>
      </vt:variant>
      <vt:variant>
        <vt:i4>5</vt:i4>
      </vt:variant>
      <vt:variant>
        <vt:lpwstr/>
      </vt:variant>
      <vt:variant>
        <vt:lpwstr>_Toc32489054</vt:lpwstr>
      </vt:variant>
      <vt:variant>
        <vt:i4>1966139</vt:i4>
      </vt:variant>
      <vt:variant>
        <vt:i4>764</vt:i4>
      </vt:variant>
      <vt:variant>
        <vt:i4>0</vt:i4>
      </vt:variant>
      <vt:variant>
        <vt:i4>5</vt:i4>
      </vt:variant>
      <vt:variant>
        <vt:lpwstr/>
      </vt:variant>
      <vt:variant>
        <vt:lpwstr>_Toc32489053</vt:lpwstr>
      </vt:variant>
      <vt:variant>
        <vt:i4>2031675</vt:i4>
      </vt:variant>
      <vt:variant>
        <vt:i4>758</vt:i4>
      </vt:variant>
      <vt:variant>
        <vt:i4>0</vt:i4>
      </vt:variant>
      <vt:variant>
        <vt:i4>5</vt:i4>
      </vt:variant>
      <vt:variant>
        <vt:lpwstr/>
      </vt:variant>
      <vt:variant>
        <vt:lpwstr>_Toc32489052</vt:lpwstr>
      </vt:variant>
      <vt:variant>
        <vt:i4>1835067</vt:i4>
      </vt:variant>
      <vt:variant>
        <vt:i4>752</vt:i4>
      </vt:variant>
      <vt:variant>
        <vt:i4>0</vt:i4>
      </vt:variant>
      <vt:variant>
        <vt:i4>5</vt:i4>
      </vt:variant>
      <vt:variant>
        <vt:lpwstr/>
      </vt:variant>
      <vt:variant>
        <vt:lpwstr>_Toc32489051</vt:lpwstr>
      </vt:variant>
      <vt:variant>
        <vt:i4>1900603</vt:i4>
      </vt:variant>
      <vt:variant>
        <vt:i4>746</vt:i4>
      </vt:variant>
      <vt:variant>
        <vt:i4>0</vt:i4>
      </vt:variant>
      <vt:variant>
        <vt:i4>5</vt:i4>
      </vt:variant>
      <vt:variant>
        <vt:lpwstr/>
      </vt:variant>
      <vt:variant>
        <vt:lpwstr>_Toc32489050</vt:lpwstr>
      </vt:variant>
      <vt:variant>
        <vt:i4>1310778</vt:i4>
      </vt:variant>
      <vt:variant>
        <vt:i4>740</vt:i4>
      </vt:variant>
      <vt:variant>
        <vt:i4>0</vt:i4>
      </vt:variant>
      <vt:variant>
        <vt:i4>5</vt:i4>
      </vt:variant>
      <vt:variant>
        <vt:lpwstr/>
      </vt:variant>
      <vt:variant>
        <vt:lpwstr>_Toc32489049</vt:lpwstr>
      </vt:variant>
      <vt:variant>
        <vt:i4>1376314</vt:i4>
      </vt:variant>
      <vt:variant>
        <vt:i4>734</vt:i4>
      </vt:variant>
      <vt:variant>
        <vt:i4>0</vt:i4>
      </vt:variant>
      <vt:variant>
        <vt:i4>5</vt:i4>
      </vt:variant>
      <vt:variant>
        <vt:lpwstr/>
      </vt:variant>
      <vt:variant>
        <vt:lpwstr>_Toc32489048</vt:lpwstr>
      </vt:variant>
      <vt:variant>
        <vt:i4>1703994</vt:i4>
      </vt:variant>
      <vt:variant>
        <vt:i4>728</vt:i4>
      </vt:variant>
      <vt:variant>
        <vt:i4>0</vt:i4>
      </vt:variant>
      <vt:variant>
        <vt:i4>5</vt:i4>
      </vt:variant>
      <vt:variant>
        <vt:lpwstr/>
      </vt:variant>
      <vt:variant>
        <vt:lpwstr>_Toc32489047</vt:lpwstr>
      </vt:variant>
      <vt:variant>
        <vt:i4>1769530</vt:i4>
      </vt:variant>
      <vt:variant>
        <vt:i4>722</vt:i4>
      </vt:variant>
      <vt:variant>
        <vt:i4>0</vt:i4>
      </vt:variant>
      <vt:variant>
        <vt:i4>5</vt:i4>
      </vt:variant>
      <vt:variant>
        <vt:lpwstr/>
      </vt:variant>
      <vt:variant>
        <vt:lpwstr>_Toc32489046</vt:lpwstr>
      </vt:variant>
      <vt:variant>
        <vt:i4>1572922</vt:i4>
      </vt:variant>
      <vt:variant>
        <vt:i4>716</vt:i4>
      </vt:variant>
      <vt:variant>
        <vt:i4>0</vt:i4>
      </vt:variant>
      <vt:variant>
        <vt:i4>5</vt:i4>
      </vt:variant>
      <vt:variant>
        <vt:lpwstr/>
      </vt:variant>
      <vt:variant>
        <vt:lpwstr>_Toc32489045</vt:lpwstr>
      </vt:variant>
      <vt:variant>
        <vt:i4>1638458</vt:i4>
      </vt:variant>
      <vt:variant>
        <vt:i4>710</vt:i4>
      </vt:variant>
      <vt:variant>
        <vt:i4>0</vt:i4>
      </vt:variant>
      <vt:variant>
        <vt:i4>5</vt:i4>
      </vt:variant>
      <vt:variant>
        <vt:lpwstr/>
      </vt:variant>
      <vt:variant>
        <vt:lpwstr>_Toc32489044</vt:lpwstr>
      </vt:variant>
      <vt:variant>
        <vt:i4>1966138</vt:i4>
      </vt:variant>
      <vt:variant>
        <vt:i4>704</vt:i4>
      </vt:variant>
      <vt:variant>
        <vt:i4>0</vt:i4>
      </vt:variant>
      <vt:variant>
        <vt:i4>5</vt:i4>
      </vt:variant>
      <vt:variant>
        <vt:lpwstr/>
      </vt:variant>
      <vt:variant>
        <vt:lpwstr>_Toc32489043</vt:lpwstr>
      </vt:variant>
      <vt:variant>
        <vt:i4>2031674</vt:i4>
      </vt:variant>
      <vt:variant>
        <vt:i4>698</vt:i4>
      </vt:variant>
      <vt:variant>
        <vt:i4>0</vt:i4>
      </vt:variant>
      <vt:variant>
        <vt:i4>5</vt:i4>
      </vt:variant>
      <vt:variant>
        <vt:lpwstr/>
      </vt:variant>
      <vt:variant>
        <vt:lpwstr>_Toc32489042</vt:lpwstr>
      </vt:variant>
      <vt:variant>
        <vt:i4>1835066</vt:i4>
      </vt:variant>
      <vt:variant>
        <vt:i4>692</vt:i4>
      </vt:variant>
      <vt:variant>
        <vt:i4>0</vt:i4>
      </vt:variant>
      <vt:variant>
        <vt:i4>5</vt:i4>
      </vt:variant>
      <vt:variant>
        <vt:lpwstr/>
      </vt:variant>
      <vt:variant>
        <vt:lpwstr>_Toc32489041</vt:lpwstr>
      </vt:variant>
      <vt:variant>
        <vt:i4>1900602</vt:i4>
      </vt:variant>
      <vt:variant>
        <vt:i4>686</vt:i4>
      </vt:variant>
      <vt:variant>
        <vt:i4>0</vt:i4>
      </vt:variant>
      <vt:variant>
        <vt:i4>5</vt:i4>
      </vt:variant>
      <vt:variant>
        <vt:lpwstr/>
      </vt:variant>
      <vt:variant>
        <vt:lpwstr>_Toc32489040</vt:lpwstr>
      </vt:variant>
      <vt:variant>
        <vt:i4>1310781</vt:i4>
      </vt:variant>
      <vt:variant>
        <vt:i4>680</vt:i4>
      </vt:variant>
      <vt:variant>
        <vt:i4>0</vt:i4>
      </vt:variant>
      <vt:variant>
        <vt:i4>5</vt:i4>
      </vt:variant>
      <vt:variant>
        <vt:lpwstr/>
      </vt:variant>
      <vt:variant>
        <vt:lpwstr>_Toc32489039</vt:lpwstr>
      </vt:variant>
      <vt:variant>
        <vt:i4>1376317</vt:i4>
      </vt:variant>
      <vt:variant>
        <vt:i4>674</vt:i4>
      </vt:variant>
      <vt:variant>
        <vt:i4>0</vt:i4>
      </vt:variant>
      <vt:variant>
        <vt:i4>5</vt:i4>
      </vt:variant>
      <vt:variant>
        <vt:lpwstr/>
      </vt:variant>
      <vt:variant>
        <vt:lpwstr>_Toc32489038</vt:lpwstr>
      </vt:variant>
      <vt:variant>
        <vt:i4>1703997</vt:i4>
      </vt:variant>
      <vt:variant>
        <vt:i4>668</vt:i4>
      </vt:variant>
      <vt:variant>
        <vt:i4>0</vt:i4>
      </vt:variant>
      <vt:variant>
        <vt:i4>5</vt:i4>
      </vt:variant>
      <vt:variant>
        <vt:lpwstr/>
      </vt:variant>
      <vt:variant>
        <vt:lpwstr>_Toc32489037</vt:lpwstr>
      </vt:variant>
      <vt:variant>
        <vt:i4>1769533</vt:i4>
      </vt:variant>
      <vt:variant>
        <vt:i4>662</vt:i4>
      </vt:variant>
      <vt:variant>
        <vt:i4>0</vt:i4>
      </vt:variant>
      <vt:variant>
        <vt:i4>5</vt:i4>
      </vt:variant>
      <vt:variant>
        <vt:lpwstr/>
      </vt:variant>
      <vt:variant>
        <vt:lpwstr>_Toc32489036</vt:lpwstr>
      </vt:variant>
      <vt:variant>
        <vt:i4>1572925</vt:i4>
      </vt:variant>
      <vt:variant>
        <vt:i4>656</vt:i4>
      </vt:variant>
      <vt:variant>
        <vt:i4>0</vt:i4>
      </vt:variant>
      <vt:variant>
        <vt:i4>5</vt:i4>
      </vt:variant>
      <vt:variant>
        <vt:lpwstr/>
      </vt:variant>
      <vt:variant>
        <vt:lpwstr>_Toc32489035</vt:lpwstr>
      </vt:variant>
      <vt:variant>
        <vt:i4>1638461</vt:i4>
      </vt:variant>
      <vt:variant>
        <vt:i4>650</vt:i4>
      </vt:variant>
      <vt:variant>
        <vt:i4>0</vt:i4>
      </vt:variant>
      <vt:variant>
        <vt:i4>5</vt:i4>
      </vt:variant>
      <vt:variant>
        <vt:lpwstr/>
      </vt:variant>
      <vt:variant>
        <vt:lpwstr>_Toc32489034</vt:lpwstr>
      </vt:variant>
      <vt:variant>
        <vt:i4>1966141</vt:i4>
      </vt:variant>
      <vt:variant>
        <vt:i4>644</vt:i4>
      </vt:variant>
      <vt:variant>
        <vt:i4>0</vt:i4>
      </vt:variant>
      <vt:variant>
        <vt:i4>5</vt:i4>
      </vt:variant>
      <vt:variant>
        <vt:lpwstr/>
      </vt:variant>
      <vt:variant>
        <vt:lpwstr>_Toc32489033</vt:lpwstr>
      </vt:variant>
      <vt:variant>
        <vt:i4>2031677</vt:i4>
      </vt:variant>
      <vt:variant>
        <vt:i4>638</vt:i4>
      </vt:variant>
      <vt:variant>
        <vt:i4>0</vt:i4>
      </vt:variant>
      <vt:variant>
        <vt:i4>5</vt:i4>
      </vt:variant>
      <vt:variant>
        <vt:lpwstr/>
      </vt:variant>
      <vt:variant>
        <vt:lpwstr>_Toc32489032</vt:lpwstr>
      </vt:variant>
      <vt:variant>
        <vt:i4>1835069</vt:i4>
      </vt:variant>
      <vt:variant>
        <vt:i4>632</vt:i4>
      </vt:variant>
      <vt:variant>
        <vt:i4>0</vt:i4>
      </vt:variant>
      <vt:variant>
        <vt:i4>5</vt:i4>
      </vt:variant>
      <vt:variant>
        <vt:lpwstr/>
      </vt:variant>
      <vt:variant>
        <vt:lpwstr>_Toc32489031</vt:lpwstr>
      </vt:variant>
      <vt:variant>
        <vt:i4>1900605</vt:i4>
      </vt:variant>
      <vt:variant>
        <vt:i4>626</vt:i4>
      </vt:variant>
      <vt:variant>
        <vt:i4>0</vt:i4>
      </vt:variant>
      <vt:variant>
        <vt:i4>5</vt:i4>
      </vt:variant>
      <vt:variant>
        <vt:lpwstr/>
      </vt:variant>
      <vt:variant>
        <vt:lpwstr>_Toc32489030</vt:lpwstr>
      </vt:variant>
      <vt:variant>
        <vt:i4>1310780</vt:i4>
      </vt:variant>
      <vt:variant>
        <vt:i4>620</vt:i4>
      </vt:variant>
      <vt:variant>
        <vt:i4>0</vt:i4>
      </vt:variant>
      <vt:variant>
        <vt:i4>5</vt:i4>
      </vt:variant>
      <vt:variant>
        <vt:lpwstr/>
      </vt:variant>
      <vt:variant>
        <vt:lpwstr>_Toc32489029</vt:lpwstr>
      </vt:variant>
      <vt:variant>
        <vt:i4>1376316</vt:i4>
      </vt:variant>
      <vt:variant>
        <vt:i4>614</vt:i4>
      </vt:variant>
      <vt:variant>
        <vt:i4>0</vt:i4>
      </vt:variant>
      <vt:variant>
        <vt:i4>5</vt:i4>
      </vt:variant>
      <vt:variant>
        <vt:lpwstr/>
      </vt:variant>
      <vt:variant>
        <vt:lpwstr>_Toc32489028</vt:lpwstr>
      </vt:variant>
      <vt:variant>
        <vt:i4>1703996</vt:i4>
      </vt:variant>
      <vt:variant>
        <vt:i4>608</vt:i4>
      </vt:variant>
      <vt:variant>
        <vt:i4>0</vt:i4>
      </vt:variant>
      <vt:variant>
        <vt:i4>5</vt:i4>
      </vt:variant>
      <vt:variant>
        <vt:lpwstr/>
      </vt:variant>
      <vt:variant>
        <vt:lpwstr>_Toc32489027</vt:lpwstr>
      </vt:variant>
      <vt:variant>
        <vt:i4>1769532</vt:i4>
      </vt:variant>
      <vt:variant>
        <vt:i4>602</vt:i4>
      </vt:variant>
      <vt:variant>
        <vt:i4>0</vt:i4>
      </vt:variant>
      <vt:variant>
        <vt:i4>5</vt:i4>
      </vt:variant>
      <vt:variant>
        <vt:lpwstr/>
      </vt:variant>
      <vt:variant>
        <vt:lpwstr>_Toc32489026</vt:lpwstr>
      </vt:variant>
      <vt:variant>
        <vt:i4>1572924</vt:i4>
      </vt:variant>
      <vt:variant>
        <vt:i4>596</vt:i4>
      </vt:variant>
      <vt:variant>
        <vt:i4>0</vt:i4>
      </vt:variant>
      <vt:variant>
        <vt:i4>5</vt:i4>
      </vt:variant>
      <vt:variant>
        <vt:lpwstr/>
      </vt:variant>
      <vt:variant>
        <vt:lpwstr>_Toc32489025</vt:lpwstr>
      </vt:variant>
      <vt:variant>
        <vt:i4>1638460</vt:i4>
      </vt:variant>
      <vt:variant>
        <vt:i4>590</vt:i4>
      </vt:variant>
      <vt:variant>
        <vt:i4>0</vt:i4>
      </vt:variant>
      <vt:variant>
        <vt:i4>5</vt:i4>
      </vt:variant>
      <vt:variant>
        <vt:lpwstr/>
      </vt:variant>
      <vt:variant>
        <vt:lpwstr>_Toc32489024</vt:lpwstr>
      </vt:variant>
      <vt:variant>
        <vt:i4>1966140</vt:i4>
      </vt:variant>
      <vt:variant>
        <vt:i4>584</vt:i4>
      </vt:variant>
      <vt:variant>
        <vt:i4>0</vt:i4>
      </vt:variant>
      <vt:variant>
        <vt:i4>5</vt:i4>
      </vt:variant>
      <vt:variant>
        <vt:lpwstr/>
      </vt:variant>
      <vt:variant>
        <vt:lpwstr>_Toc32489023</vt:lpwstr>
      </vt:variant>
      <vt:variant>
        <vt:i4>2031676</vt:i4>
      </vt:variant>
      <vt:variant>
        <vt:i4>578</vt:i4>
      </vt:variant>
      <vt:variant>
        <vt:i4>0</vt:i4>
      </vt:variant>
      <vt:variant>
        <vt:i4>5</vt:i4>
      </vt:variant>
      <vt:variant>
        <vt:lpwstr/>
      </vt:variant>
      <vt:variant>
        <vt:lpwstr>_Toc32489022</vt:lpwstr>
      </vt:variant>
      <vt:variant>
        <vt:i4>1835068</vt:i4>
      </vt:variant>
      <vt:variant>
        <vt:i4>572</vt:i4>
      </vt:variant>
      <vt:variant>
        <vt:i4>0</vt:i4>
      </vt:variant>
      <vt:variant>
        <vt:i4>5</vt:i4>
      </vt:variant>
      <vt:variant>
        <vt:lpwstr/>
      </vt:variant>
      <vt:variant>
        <vt:lpwstr>_Toc32489021</vt:lpwstr>
      </vt:variant>
      <vt:variant>
        <vt:i4>1900604</vt:i4>
      </vt:variant>
      <vt:variant>
        <vt:i4>566</vt:i4>
      </vt:variant>
      <vt:variant>
        <vt:i4>0</vt:i4>
      </vt:variant>
      <vt:variant>
        <vt:i4>5</vt:i4>
      </vt:variant>
      <vt:variant>
        <vt:lpwstr/>
      </vt:variant>
      <vt:variant>
        <vt:lpwstr>_Toc32489020</vt:lpwstr>
      </vt:variant>
      <vt:variant>
        <vt:i4>1310783</vt:i4>
      </vt:variant>
      <vt:variant>
        <vt:i4>560</vt:i4>
      </vt:variant>
      <vt:variant>
        <vt:i4>0</vt:i4>
      </vt:variant>
      <vt:variant>
        <vt:i4>5</vt:i4>
      </vt:variant>
      <vt:variant>
        <vt:lpwstr/>
      </vt:variant>
      <vt:variant>
        <vt:lpwstr>_Toc32489019</vt:lpwstr>
      </vt:variant>
      <vt:variant>
        <vt:i4>1376319</vt:i4>
      </vt:variant>
      <vt:variant>
        <vt:i4>554</vt:i4>
      </vt:variant>
      <vt:variant>
        <vt:i4>0</vt:i4>
      </vt:variant>
      <vt:variant>
        <vt:i4>5</vt:i4>
      </vt:variant>
      <vt:variant>
        <vt:lpwstr/>
      </vt:variant>
      <vt:variant>
        <vt:lpwstr>_Toc32489018</vt:lpwstr>
      </vt:variant>
      <vt:variant>
        <vt:i4>1703999</vt:i4>
      </vt:variant>
      <vt:variant>
        <vt:i4>548</vt:i4>
      </vt:variant>
      <vt:variant>
        <vt:i4>0</vt:i4>
      </vt:variant>
      <vt:variant>
        <vt:i4>5</vt:i4>
      </vt:variant>
      <vt:variant>
        <vt:lpwstr/>
      </vt:variant>
      <vt:variant>
        <vt:lpwstr>_Toc32489017</vt:lpwstr>
      </vt:variant>
      <vt:variant>
        <vt:i4>1769535</vt:i4>
      </vt:variant>
      <vt:variant>
        <vt:i4>542</vt:i4>
      </vt:variant>
      <vt:variant>
        <vt:i4>0</vt:i4>
      </vt:variant>
      <vt:variant>
        <vt:i4>5</vt:i4>
      </vt:variant>
      <vt:variant>
        <vt:lpwstr/>
      </vt:variant>
      <vt:variant>
        <vt:lpwstr>_Toc32489016</vt:lpwstr>
      </vt:variant>
      <vt:variant>
        <vt:i4>1572927</vt:i4>
      </vt:variant>
      <vt:variant>
        <vt:i4>536</vt:i4>
      </vt:variant>
      <vt:variant>
        <vt:i4>0</vt:i4>
      </vt:variant>
      <vt:variant>
        <vt:i4>5</vt:i4>
      </vt:variant>
      <vt:variant>
        <vt:lpwstr/>
      </vt:variant>
      <vt:variant>
        <vt:lpwstr>_Toc32489015</vt:lpwstr>
      </vt:variant>
      <vt:variant>
        <vt:i4>1638463</vt:i4>
      </vt:variant>
      <vt:variant>
        <vt:i4>530</vt:i4>
      </vt:variant>
      <vt:variant>
        <vt:i4>0</vt:i4>
      </vt:variant>
      <vt:variant>
        <vt:i4>5</vt:i4>
      </vt:variant>
      <vt:variant>
        <vt:lpwstr/>
      </vt:variant>
      <vt:variant>
        <vt:lpwstr>_Toc32489014</vt:lpwstr>
      </vt:variant>
      <vt:variant>
        <vt:i4>1966143</vt:i4>
      </vt:variant>
      <vt:variant>
        <vt:i4>524</vt:i4>
      </vt:variant>
      <vt:variant>
        <vt:i4>0</vt:i4>
      </vt:variant>
      <vt:variant>
        <vt:i4>5</vt:i4>
      </vt:variant>
      <vt:variant>
        <vt:lpwstr/>
      </vt:variant>
      <vt:variant>
        <vt:lpwstr>_Toc32489013</vt:lpwstr>
      </vt:variant>
      <vt:variant>
        <vt:i4>2031679</vt:i4>
      </vt:variant>
      <vt:variant>
        <vt:i4>518</vt:i4>
      </vt:variant>
      <vt:variant>
        <vt:i4>0</vt:i4>
      </vt:variant>
      <vt:variant>
        <vt:i4>5</vt:i4>
      </vt:variant>
      <vt:variant>
        <vt:lpwstr/>
      </vt:variant>
      <vt:variant>
        <vt:lpwstr>_Toc32489012</vt:lpwstr>
      </vt:variant>
      <vt:variant>
        <vt:i4>1835071</vt:i4>
      </vt:variant>
      <vt:variant>
        <vt:i4>512</vt:i4>
      </vt:variant>
      <vt:variant>
        <vt:i4>0</vt:i4>
      </vt:variant>
      <vt:variant>
        <vt:i4>5</vt:i4>
      </vt:variant>
      <vt:variant>
        <vt:lpwstr/>
      </vt:variant>
      <vt:variant>
        <vt:lpwstr>_Toc32489011</vt:lpwstr>
      </vt:variant>
      <vt:variant>
        <vt:i4>1900607</vt:i4>
      </vt:variant>
      <vt:variant>
        <vt:i4>506</vt:i4>
      </vt:variant>
      <vt:variant>
        <vt:i4>0</vt:i4>
      </vt:variant>
      <vt:variant>
        <vt:i4>5</vt:i4>
      </vt:variant>
      <vt:variant>
        <vt:lpwstr/>
      </vt:variant>
      <vt:variant>
        <vt:lpwstr>_Toc32489010</vt:lpwstr>
      </vt:variant>
      <vt:variant>
        <vt:i4>1310782</vt:i4>
      </vt:variant>
      <vt:variant>
        <vt:i4>500</vt:i4>
      </vt:variant>
      <vt:variant>
        <vt:i4>0</vt:i4>
      </vt:variant>
      <vt:variant>
        <vt:i4>5</vt:i4>
      </vt:variant>
      <vt:variant>
        <vt:lpwstr/>
      </vt:variant>
      <vt:variant>
        <vt:lpwstr>_Toc32489009</vt:lpwstr>
      </vt:variant>
      <vt:variant>
        <vt:i4>1376318</vt:i4>
      </vt:variant>
      <vt:variant>
        <vt:i4>494</vt:i4>
      </vt:variant>
      <vt:variant>
        <vt:i4>0</vt:i4>
      </vt:variant>
      <vt:variant>
        <vt:i4>5</vt:i4>
      </vt:variant>
      <vt:variant>
        <vt:lpwstr/>
      </vt:variant>
      <vt:variant>
        <vt:lpwstr>_Toc32489008</vt:lpwstr>
      </vt:variant>
      <vt:variant>
        <vt:i4>1703998</vt:i4>
      </vt:variant>
      <vt:variant>
        <vt:i4>488</vt:i4>
      </vt:variant>
      <vt:variant>
        <vt:i4>0</vt:i4>
      </vt:variant>
      <vt:variant>
        <vt:i4>5</vt:i4>
      </vt:variant>
      <vt:variant>
        <vt:lpwstr/>
      </vt:variant>
      <vt:variant>
        <vt:lpwstr>_Toc32489007</vt:lpwstr>
      </vt:variant>
      <vt:variant>
        <vt:i4>1769534</vt:i4>
      </vt:variant>
      <vt:variant>
        <vt:i4>482</vt:i4>
      </vt:variant>
      <vt:variant>
        <vt:i4>0</vt:i4>
      </vt:variant>
      <vt:variant>
        <vt:i4>5</vt:i4>
      </vt:variant>
      <vt:variant>
        <vt:lpwstr/>
      </vt:variant>
      <vt:variant>
        <vt:lpwstr>_Toc32489006</vt:lpwstr>
      </vt:variant>
      <vt:variant>
        <vt:i4>1572926</vt:i4>
      </vt:variant>
      <vt:variant>
        <vt:i4>476</vt:i4>
      </vt:variant>
      <vt:variant>
        <vt:i4>0</vt:i4>
      </vt:variant>
      <vt:variant>
        <vt:i4>5</vt:i4>
      </vt:variant>
      <vt:variant>
        <vt:lpwstr/>
      </vt:variant>
      <vt:variant>
        <vt:lpwstr>_Toc32489005</vt:lpwstr>
      </vt:variant>
      <vt:variant>
        <vt:i4>1638462</vt:i4>
      </vt:variant>
      <vt:variant>
        <vt:i4>470</vt:i4>
      </vt:variant>
      <vt:variant>
        <vt:i4>0</vt:i4>
      </vt:variant>
      <vt:variant>
        <vt:i4>5</vt:i4>
      </vt:variant>
      <vt:variant>
        <vt:lpwstr/>
      </vt:variant>
      <vt:variant>
        <vt:lpwstr>_Toc32489004</vt:lpwstr>
      </vt:variant>
      <vt:variant>
        <vt:i4>1966142</vt:i4>
      </vt:variant>
      <vt:variant>
        <vt:i4>464</vt:i4>
      </vt:variant>
      <vt:variant>
        <vt:i4>0</vt:i4>
      </vt:variant>
      <vt:variant>
        <vt:i4>5</vt:i4>
      </vt:variant>
      <vt:variant>
        <vt:lpwstr/>
      </vt:variant>
      <vt:variant>
        <vt:lpwstr>_Toc32489003</vt:lpwstr>
      </vt:variant>
      <vt:variant>
        <vt:i4>2031678</vt:i4>
      </vt:variant>
      <vt:variant>
        <vt:i4>458</vt:i4>
      </vt:variant>
      <vt:variant>
        <vt:i4>0</vt:i4>
      </vt:variant>
      <vt:variant>
        <vt:i4>5</vt:i4>
      </vt:variant>
      <vt:variant>
        <vt:lpwstr/>
      </vt:variant>
      <vt:variant>
        <vt:lpwstr>_Toc32489002</vt:lpwstr>
      </vt:variant>
      <vt:variant>
        <vt:i4>1835070</vt:i4>
      </vt:variant>
      <vt:variant>
        <vt:i4>452</vt:i4>
      </vt:variant>
      <vt:variant>
        <vt:i4>0</vt:i4>
      </vt:variant>
      <vt:variant>
        <vt:i4>5</vt:i4>
      </vt:variant>
      <vt:variant>
        <vt:lpwstr/>
      </vt:variant>
      <vt:variant>
        <vt:lpwstr>_Toc32489001</vt:lpwstr>
      </vt:variant>
      <vt:variant>
        <vt:i4>1900606</vt:i4>
      </vt:variant>
      <vt:variant>
        <vt:i4>446</vt:i4>
      </vt:variant>
      <vt:variant>
        <vt:i4>0</vt:i4>
      </vt:variant>
      <vt:variant>
        <vt:i4>5</vt:i4>
      </vt:variant>
      <vt:variant>
        <vt:lpwstr/>
      </vt:variant>
      <vt:variant>
        <vt:lpwstr>_Toc32489000</vt:lpwstr>
      </vt:variant>
      <vt:variant>
        <vt:i4>1900598</vt:i4>
      </vt:variant>
      <vt:variant>
        <vt:i4>440</vt:i4>
      </vt:variant>
      <vt:variant>
        <vt:i4>0</vt:i4>
      </vt:variant>
      <vt:variant>
        <vt:i4>5</vt:i4>
      </vt:variant>
      <vt:variant>
        <vt:lpwstr/>
      </vt:variant>
      <vt:variant>
        <vt:lpwstr>_Toc32488999</vt:lpwstr>
      </vt:variant>
      <vt:variant>
        <vt:i4>1835062</vt:i4>
      </vt:variant>
      <vt:variant>
        <vt:i4>434</vt:i4>
      </vt:variant>
      <vt:variant>
        <vt:i4>0</vt:i4>
      </vt:variant>
      <vt:variant>
        <vt:i4>5</vt:i4>
      </vt:variant>
      <vt:variant>
        <vt:lpwstr/>
      </vt:variant>
      <vt:variant>
        <vt:lpwstr>_Toc32488998</vt:lpwstr>
      </vt:variant>
      <vt:variant>
        <vt:i4>1245238</vt:i4>
      </vt:variant>
      <vt:variant>
        <vt:i4>428</vt:i4>
      </vt:variant>
      <vt:variant>
        <vt:i4>0</vt:i4>
      </vt:variant>
      <vt:variant>
        <vt:i4>5</vt:i4>
      </vt:variant>
      <vt:variant>
        <vt:lpwstr/>
      </vt:variant>
      <vt:variant>
        <vt:lpwstr>_Toc32488997</vt:lpwstr>
      </vt:variant>
      <vt:variant>
        <vt:i4>1179702</vt:i4>
      </vt:variant>
      <vt:variant>
        <vt:i4>422</vt:i4>
      </vt:variant>
      <vt:variant>
        <vt:i4>0</vt:i4>
      </vt:variant>
      <vt:variant>
        <vt:i4>5</vt:i4>
      </vt:variant>
      <vt:variant>
        <vt:lpwstr/>
      </vt:variant>
      <vt:variant>
        <vt:lpwstr>_Toc32488996</vt:lpwstr>
      </vt:variant>
      <vt:variant>
        <vt:i4>1114166</vt:i4>
      </vt:variant>
      <vt:variant>
        <vt:i4>416</vt:i4>
      </vt:variant>
      <vt:variant>
        <vt:i4>0</vt:i4>
      </vt:variant>
      <vt:variant>
        <vt:i4>5</vt:i4>
      </vt:variant>
      <vt:variant>
        <vt:lpwstr/>
      </vt:variant>
      <vt:variant>
        <vt:lpwstr>_Toc32488995</vt:lpwstr>
      </vt:variant>
      <vt:variant>
        <vt:i4>1048630</vt:i4>
      </vt:variant>
      <vt:variant>
        <vt:i4>410</vt:i4>
      </vt:variant>
      <vt:variant>
        <vt:i4>0</vt:i4>
      </vt:variant>
      <vt:variant>
        <vt:i4>5</vt:i4>
      </vt:variant>
      <vt:variant>
        <vt:lpwstr/>
      </vt:variant>
      <vt:variant>
        <vt:lpwstr>_Toc32488994</vt:lpwstr>
      </vt:variant>
      <vt:variant>
        <vt:i4>1507382</vt:i4>
      </vt:variant>
      <vt:variant>
        <vt:i4>404</vt:i4>
      </vt:variant>
      <vt:variant>
        <vt:i4>0</vt:i4>
      </vt:variant>
      <vt:variant>
        <vt:i4>5</vt:i4>
      </vt:variant>
      <vt:variant>
        <vt:lpwstr/>
      </vt:variant>
      <vt:variant>
        <vt:lpwstr>_Toc32488993</vt:lpwstr>
      </vt:variant>
      <vt:variant>
        <vt:i4>1441846</vt:i4>
      </vt:variant>
      <vt:variant>
        <vt:i4>398</vt:i4>
      </vt:variant>
      <vt:variant>
        <vt:i4>0</vt:i4>
      </vt:variant>
      <vt:variant>
        <vt:i4>5</vt:i4>
      </vt:variant>
      <vt:variant>
        <vt:lpwstr/>
      </vt:variant>
      <vt:variant>
        <vt:lpwstr>_Toc32488992</vt:lpwstr>
      </vt:variant>
      <vt:variant>
        <vt:i4>1376310</vt:i4>
      </vt:variant>
      <vt:variant>
        <vt:i4>392</vt:i4>
      </vt:variant>
      <vt:variant>
        <vt:i4>0</vt:i4>
      </vt:variant>
      <vt:variant>
        <vt:i4>5</vt:i4>
      </vt:variant>
      <vt:variant>
        <vt:lpwstr/>
      </vt:variant>
      <vt:variant>
        <vt:lpwstr>_Toc32488991</vt:lpwstr>
      </vt:variant>
      <vt:variant>
        <vt:i4>1310774</vt:i4>
      </vt:variant>
      <vt:variant>
        <vt:i4>386</vt:i4>
      </vt:variant>
      <vt:variant>
        <vt:i4>0</vt:i4>
      </vt:variant>
      <vt:variant>
        <vt:i4>5</vt:i4>
      </vt:variant>
      <vt:variant>
        <vt:lpwstr/>
      </vt:variant>
      <vt:variant>
        <vt:lpwstr>_Toc32488990</vt:lpwstr>
      </vt:variant>
      <vt:variant>
        <vt:i4>1900599</vt:i4>
      </vt:variant>
      <vt:variant>
        <vt:i4>380</vt:i4>
      </vt:variant>
      <vt:variant>
        <vt:i4>0</vt:i4>
      </vt:variant>
      <vt:variant>
        <vt:i4>5</vt:i4>
      </vt:variant>
      <vt:variant>
        <vt:lpwstr/>
      </vt:variant>
      <vt:variant>
        <vt:lpwstr>_Toc32488989</vt:lpwstr>
      </vt:variant>
      <vt:variant>
        <vt:i4>1835063</vt:i4>
      </vt:variant>
      <vt:variant>
        <vt:i4>374</vt:i4>
      </vt:variant>
      <vt:variant>
        <vt:i4>0</vt:i4>
      </vt:variant>
      <vt:variant>
        <vt:i4>5</vt:i4>
      </vt:variant>
      <vt:variant>
        <vt:lpwstr/>
      </vt:variant>
      <vt:variant>
        <vt:lpwstr>_Toc32488988</vt:lpwstr>
      </vt:variant>
      <vt:variant>
        <vt:i4>1245239</vt:i4>
      </vt:variant>
      <vt:variant>
        <vt:i4>368</vt:i4>
      </vt:variant>
      <vt:variant>
        <vt:i4>0</vt:i4>
      </vt:variant>
      <vt:variant>
        <vt:i4>5</vt:i4>
      </vt:variant>
      <vt:variant>
        <vt:lpwstr/>
      </vt:variant>
      <vt:variant>
        <vt:lpwstr>_Toc32488987</vt:lpwstr>
      </vt:variant>
      <vt:variant>
        <vt:i4>1179703</vt:i4>
      </vt:variant>
      <vt:variant>
        <vt:i4>362</vt:i4>
      </vt:variant>
      <vt:variant>
        <vt:i4>0</vt:i4>
      </vt:variant>
      <vt:variant>
        <vt:i4>5</vt:i4>
      </vt:variant>
      <vt:variant>
        <vt:lpwstr/>
      </vt:variant>
      <vt:variant>
        <vt:lpwstr>_Toc32488986</vt:lpwstr>
      </vt:variant>
      <vt:variant>
        <vt:i4>1114167</vt:i4>
      </vt:variant>
      <vt:variant>
        <vt:i4>356</vt:i4>
      </vt:variant>
      <vt:variant>
        <vt:i4>0</vt:i4>
      </vt:variant>
      <vt:variant>
        <vt:i4>5</vt:i4>
      </vt:variant>
      <vt:variant>
        <vt:lpwstr/>
      </vt:variant>
      <vt:variant>
        <vt:lpwstr>_Toc32488985</vt:lpwstr>
      </vt:variant>
      <vt:variant>
        <vt:i4>1048631</vt:i4>
      </vt:variant>
      <vt:variant>
        <vt:i4>350</vt:i4>
      </vt:variant>
      <vt:variant>
        <vt:i4>0</vt:i4>
      </vt:variant>
      <vt:variant>
        <vt:i4>5</vt:i4>
      </vt:variant>
      <vt:variant>
        <vt:lpwstr/>
      </vt:variant>
      <vt:variant>
        <vt:lpwstr>_Toc32488984</vt:lpwstr>
      </vt:variant>
      <vt:variant>
        <vt:i4>1507383</vt:i4>
      </vt:variant>
      <vt:variant>
        <vt:i4>344</vt:i4>
      </vt:variant>
      <vt:variant>
        <vt:i4>0</vt:i4>
      </vt:variant>
      <vt:variant>
        <vt:i4>5</vt:i4>
      </vt:variant>
      <vt:variant>
        <vt:lpwstr/>
      </vt:variant>
      <vt:variant>
        <vt:lpwstr>_Toc32488983</vt:lpwstr>
      </vt:variant>
      <vt:variant>
        <vt:i4>1441847</vt:i4>
      </vt:variant>
      <vt:variant>
        <vt:i4>338</vt:i4>
      </vt:variant>
      <vt:variant>
        <vt:i4>0</vt:i4>
      </vt:variant>
      <vt:variant>
        <vt:i4>5</vt:i4>
      </vt:variant>
      <vt:variant>
        <vt:lpwstr/>
      </vt:variant>
      <vt:variant>
        <vt:lpwstr>_Toc32488982</vt:lpwstr>
      </vt:variant>
      <vt:variant>
        <vt:i4>1376311</vt:i4>
      </vt:variant>
      <vt:variant>
        <vt:i4>332</vt:i4>
      </vt:variant>
      <vt:variant>
        <vt:i4>0</vt:i4>
      </vt:variant>
      <vt:variant>
        <vt:i4>5</vt:i4>
      </vt:variant>
      <vt:variant>
        <vt:lpwstr/>
      </vt:variant>
      <vt:variant>
        <vt:lpwstr>_Toc32488981</vt:lpwstr>
      </vt:variant>
      <vt:variant>
        <vt:i4>1310775</vt:i4>
      </vt:variant>
      <vt:variant>
        <vt:i4>326</vt:i4>
      </vt:variant>
      <vt:variant>
        <vt:i4>0</vt:i4>
      </vt:variant>
      <vt:variant>
        <vt:i4>5</vt:i4>
      </vt:variant>
      <vt:variant>
        <vt:lpwstr/>
      </vt:variant>
      <vt:variant>
        <vt:lpwstr>_Toc32488980</vt:lpwstr>
      </vt:variant>
      <vt:variant>
        <vt:i4>1900600</vt:i4>
      </vt:variant>
      <vt:variant>
        <vt:i4>320</vt:i4>
      </vt:variant>
      <vt:variant>
        <vt:i4>0</vt:i4>
      </vt:variant>
      <vt:variant>
        <vt:i4>5</vt:i4>
      </vt:variant>
      <vt:variant>
        <vt:lpwstr/>
      </vt:variant>
      <vt:variant>
        <vt:lpwstr>_Toc32488979</vt:lpwstr>
      </vt:variant>
      <vt:variant>
        <vt:i4>1835064</vt:i4>
      </vt:variant>
      <vt:variant>
        <vt:i4>314</vt:i4>
      </vt:variant>
      <vt:variant>
        <vt:i4>0</vt:i4>
      </vt:variant>
      <vt:variant>
        <vt:i4>5</vt:i4>
      </vt:variant>
      <vt:variant>
        <vt:lpwstr/>
      </vt:variant>
      <vt:variant>
        <vt:lpwstr>_Toc32488978</vt:lpwstr>
      </vt:variant>
      <vt:variant>
        <vt:i4>1245240</vt:i4>
      </vt:variant>
      <vt:variant>
        <vt:i4>308</vt:i4>
      </vt:variant>
      <vt:variant>
        <vt:i4>0</vt:i4>
      </vt:variant>
      <vt:variant>
        <vt:i4>5</vt:i4>
      </vt:variant>
      <vt:variant>
        <vt:lpwstr/>
      </vt:variant>
      <vt:variant>
        <vt:lpwstr>_Toc32488977</vt:lpwstr>
      </vt:variant>
      <vt:variant>
        <vt:i4>1179704</vt:i4>
      </vt:variant>
      <vt:variant>
        <vt:i4>302</vt:i4>
      </vt:variant>
      <vt:variant>
        <vt:i4>0</vt:i4>
      </vt:variant>
      <vt:variant>
        <vt:i4>5</vt:i4>
      </vt:variant>
      <vt:variant>
        <vt:lpwstr/>
      </vt:variant>
      <vt:variant>
        <vt:lpwstr>_Toc32488976</vt:lpwstr>
      </vt:variant>
      <vt:variant>
        <vt:i4>1114168</vt:i4>
      </vt:variant>
      <vt:variant>
        <vt:i4>296</vt:i4>
      </vt:variant>
      <vt:variant>
        <vt:i4>0</vt:i4>
      </vt:variant>
      <vt:variant>
        <vt:i4>5</vt:i4>
      </vt:variant>
      <vt:variant>
        <vt:lpwstr/>
      </vt:variant>
      <vt:variant>
        <vt:lpwstr>_Toc32488975</vt:lpwstr>
      </vt:variant>
      <vt:variant>
        <vt:i4>1048632</vt:i4>
      </vt:variant>
      <vt:variant>
        <vt:i4>290</vt:i4>
      </vt:variant>
      <vt:variant>
        <vt:i4>0</vt:i4>
      </vt:variant>
      <vt:variant>
        <vt:i4>5</vt:i4>
      </vt:variant>
      <vt:variant>
        <vt:lpwstr/>
      </vt:variant>
      <vt:variant>
        <vt:lpwstr>_Toc32488974</vt:lpwstr>
      </vt:variant>
      <vt:variant>
        <vt:i4>1507384</vt:i4>
      </vt:variant>
      <vt:variant>
        <vt:i4>284</vt:i4>
      </vt:variant>
      <vt:variant>
        <vt:i4>0</vt:i4>
      </vt:variant>
      <vt:variant>
        <vt:i4>5</vt:i4>
      </vt:variant>
      <vt:variant>
        <vt:lpwstr/>
      </vt:variant>
      <vt:variant>
        <vt:lpwstr>_Toc32488973</vt:lpwstr>
      </vt:variant>
      <vt:variant>
        <vt:i4>1441848</vt:i4>
      </vt:variant>
      <vt:variant>
        <vt:i4>278</vt:i4>
      </vt:variant>
      <vt:variant>
        <vt:i4>0</vt:i4>
      </vt:variant>
      <vt:variant>
        <vt:i4>5</vt:i4>
      </vt:variant>
      <vt:variant>
        <vt:lpwstr/>
      </vt:variant>
      <vt:variant>
        <vt:lpwstr>_Toc32488972</vt:lpwstr>
      </vt:variant>
      <vt:variant>
        <vt:i4>1376312</vt:i4>
      </vt:variant>
      <vt:variant>
        <vt:i4>272</vt:i4>
      </vt:variant>
      <vt:variant>
        <vt:i4>0</vt:i4>
      </vt:variant>
      <vt:variant>
        <vt:i4>5</vt:i4>
      </vt:variant>
      <vt:variant>
        <vt:lpwstr/>
      </vt:variant>
      <vt:variant>
        <vt:lpwstr>_Toc32488971</vt:lpwstr>
      </vt:variant>
      <vt:variant>
        <vt:i4>1310776</vt:i4>
      </vt:variant>
      <vt:variant>
        <vt:i4>266</vt:i4>
      </vt:variant>
      <vt:variant>
        <vt:i4>0</vt:i4>
      </vt:variant>
      <vt:variant>
        <vt:i4>5</vt:i4>
      </vt:variant>
      <vt:variant>
        <vt:lpwstr/>
      </vt:variant>
      <vt:variant>
        <vt:lpwstr>_Toc32488970</vt:lpwstr>
      </vt:variant>
      <vt:variant>
        <vt:i4>1900601</vt:i4>
      </vt:variant>
      <vt:variant>
        <vt:i4>260</vt:i4>
      </vt:variant>
      <vt:variant>
        <vt:i4>0</vt:i4>
      </vt:variant>
      <vt:variant>
        <vt:i4>5</vt:i4>
      </vt:variant>
      <vt:variant>
        <vt:lpwstr/>
      </vt:variant>
      <vt:variant>
        <vt:lpwstr>_Toc32488969</vt:lpwstr>
      </vt:variant>
      <vt:variant>
        <vt:i4>1835065</vt:i4>
      </vt:variant>
      <vt:variant>
        <vt:i4>254</vt:i4>
      </vt:variant>
      <vt:variant>
        <vt:i4>0</vt:i4>
      </vt:variant>
      <vt:variant>
        <vt:i4>5</vt:i4>
      </vt:variant>
      <vt:variant>
        <vt:lpwstr/>
      </vt:variant>
      <vt:variant>
        <vt:lpwstr>_Toc32488968</vt:lpwstr>
      </vt:variant>
      <vt:variant>
        <vt:i4>1245241</vt:i4>
      </vt:variant>
      <vt:variant>
        <vt:i4>248</vt:i4>
      </vt:variant>
      <vt:variant>
        <vt:i4>0</vt:i4>
      </vt:variant>
      <vt:variant>
        <vt:i4>5</vt:i4>
      </vt:variant>
      <vt:variant>
        <vt:lpwstr/>
      </vt:variant>
      <vt:variant>
        <vt:lpwstr>_Toc32488967</vt:lpwstr>
      </vt:variant>
      <vt:variant>
        <vt:i4>1179705</vt:i4>
      </vt:variant>
      <vt:variant>
        <vt:i4>242</vt:i4>
      </vt:variant>
      <vt:variant>
        <vt:i4>0</vt:i4>
      </vt:variant>
      <vt:variant>
        <vt:i4>5</vt:i4>
      </vt:variant>
      <vt:variant>
        <vt:lpwstr/>
      </vt:variant>
      <vt:variant>
        <vt:lpwstr>_Toc32488966</vt:lpwstr>
      </vt:variant>
      <vt:variant>
        <vt:i4>1114169</vt:i4>
      </vt:variant>
      <vt:variant>
        <vt:i4>236</vt:i4>
      </vt:variant>
      <vt:variant>
        <vt:i4>0</vt:i4>
      </vt:variant>
      <vt:variant>
        <vt:i4>5</vt:i4>
      </vt:variant>
      <vt:variant>
        <vt:lpwstr/>
      </vt:variant>
      <vt:variant>
        <vt:lpwstr>_Toc32488965</vt:lpwstr>
      </vt:variant>
      <vt:variant>
        <vt:i4>1048633</vt:i4>
      </vt:variant>
      <vt:variant>
        <vt:i4>230</vt:i4>
      </vt:variant>
      <vt:variant>
        <vt:i4>0</vt:i4>
      </vt:variant>
      <vt:variant>
        <vt:i4>5</vt:i4>
      </vt:variant>
      <vt:variant>
        <vt:lpwstr/>
      </vt:variant>
      <vt:variant>
        <vt:lpwstr>_Toc32488964</vt:lpwstr>
      </vt:variant>
      <vt:variant>
        <vt:i4>1507385</vt:i4>
      </vt:variant>
      <vt:variant>
        <vt:i4>224</vt:i4>
      </vt:variant>
      <vt:variant>
        <vt:i4>0</vt:i4>
      </vt:variant>
      <vt:variant>
        <vt:i4>5</vt:i4>
      </vt:variant>
      <vt:variant>
        <vt:lpwstr/>
      </vt:variant>
      <vt:variant>
        <vt:lpwstr>_Toc32488963</vt:lpwstr>
      </vt:variant>
      <vt:variant>
        <vt:i4>1441849</vt:i4>
      </vt:variant>
      <vt:variant>
        <vt:i4>218</vt:i4>
      </vt:variant>
      <vt:variant>
        <vt:i4>0</vt:i4>
      </vt:variant>
      <vt:variant>
        <vt:i4>5</vt:i4>
      </vt:variant>
      <vt:variant>
        <vt:lpwstr/>
      </vt:variant>
      <vt:variant>
        <vt:lpwstr>_Toc32488962</vt:lpwstr>
      </vt:variant>
      <vt:variant>
        <vt:i4>1376313</vt:i4>
      </vt:variant>
      <vt:variant>
        <vt:i4>212</vt:i4>
      </vt:variant>
      <vt:variant>
        <vt:i4>0</vt:i4>
      </vt:variant>
      <vt:variant>
        <vt:i4>5</vt:i4>
      </vt:variant>
      <vt:variant>
        <vt:lpwstr/>
      </vt:variant>
      <vt:variant>
        <vt:lpwstr>_Toc32488961</vt:lpwstr>
      </vt:variant>
      <vt:variant>
        <vt:i4>1310777</vt:i4>
      </vt:variant>
      <vt:variant>
        <vt:i4>206</vt:i4>
      </vt:variant>
      <vt:variant>
        <vt:i4>0</vt:i4>
      </vt:variant>
      <vt:variant>
        <vt:i4>5</vt:i4>
      </vt:variant>
      <vt:variant>
        <vt:lpwstr/>
      </vt:variant>
      <vt:variant>
        <vt:lpwstr>_Toc32488960</vt:lpwstr>
      </vt:variant>
      <vt:variant>
        <vt:i4>1900602</vt:i4>
      </vt:variant>
      <vt:variant>
        <vt:i4>200</vt:i4>
      </vt:variant>
      <vt:variant>
        <vt:i4>0</vt:i4>
      </vt:variant>
      <vt:variant>
        <vt:i4>5</vt:i4>
      </vt:variant>
      <vt:variant>
        <vt:lpwstr/>
      </vt:variant>
      <vt:variant>
        <vt:lpwstr>_Toc32488959</vt:lpwstr>
      </vt:variant>
      <vt:variant>
        <vt:i4>1835066</vt:i4>
      </vt:variant>
      <vt:variant>
        <vt:i4>194</vt:i4>
      </vt:variant>
      <vt:variant>
        <vt:i4>0</vt:i4>
      </vt:variant>
      <vt:variant>
        <vt:i4>5</vt:i4>
      </vt:variant>
      <vt:variant>
        <vt:lpwstr/>
      </vt:variant>
      <vt:variant>
        <vt:lpwstr>_Toc32488958</vt:lpwstr>
      </vt:variant>
      <vt:variant>
        <vt:i4>1245242</vt:i4>
      </vt:variant>
      <vt:variant>
        <vt:i4>188</vt:i4>
      </vt:variant>
      <vt:variant>
        <vt:i4>0</vt:i4>
      </vt:variant>
      <vt:variant>
        <vt:i4>5</vt:i4>
      </vt:variant>
      <vt:variant>
        <vt:lpwstr/>
      </vt:variant>
      <vt:variant>
        <vt:lpwstr>_Toc32488957</vt:lpwstr>
      </vt:variant>
      <vt:variant>
        <vt:i4>1179706</vt:i4>
      </vt:variant>
      <vt:variant>
        <vt:i4>182</vt:i4>
      </vt:variant>
      <vt:variant>
        <vt:i4>0</vt:i4>
      </vt:variant>
      <vt:variant>
        <vt:i4>5</vt:i4>
      </vt:variant>
      <vt:variant>
        <vt:lpwstr/>
      </vt:variant>
      <vt:variant>
        <vt:lpwstr>_Toc32488956</vt:lpwstr>
      </vt:variant>
      <vt:variant>
        <vt:i4>1114170</vt:i4>
      </vt:variant>
      <vt:variant>
        <vt:i4>176</vt:i4>
      </vt:variant>
      <vt:variant>
        <vt:i4>0</vt:i4>
      </vt:variant>
      <vt:variant>
        <vt:i4>5</vt:i4>
      </vt:variant>
      <vt:variant>
        <vt:lpwstr/>
      </vt:variant>
      <vt:variant>
        <vt:lpwstr>_Toc32488955</vt:lpwstr>
      </vt:variant>
      <vt:variant>
        <vt:i4>1048634</vt:i4>
      </vt:variant>
      <vt:variant>
        <vt:i4>170</vt:i4>
      </vt:variant>
      <vt:variant>
        <vt:i4>0</vt:i4>
      </vt:variant>
      <vt:variant>
        <vt:i4>5</vt:i4>
      </vt:variant>
      <vt:variant>
        <vt:lpwstr/>
      </vt:variant>
      <vt:variant>
        <vt:lpwstr>_Toc32488954</vt:lpwstr>
      </vt:variant>
      <vt:variant>
        <vt:i4>1507386</vt:i4>
      </vt:variant>
      <vt:variant>
        <vt:i4>164</vt:i4>
      </vt:variant>
      <vt:variant>
        <vt:i4>0</vt:i4>
      </vt:variant>
      <vt:variant>
        <vt:i4>5</vt:i4>
      </vt:variant>
      <vt:variant>
        <vt:lpwstr/>
      </vt:variant>
      <vt:variant>
        <vt:lpwstr>_Toc32488953</vt:lpwstr>
      </vt:variant>
      <vt:variant>
        <vt:i4>1441850</vt:i4>
      </vt:variant>
      <vt:variant>
        <vt:i4>158</vt:i4>
      </vt:variant>
      <vt:variant>
        <vt:i4>0</vt:i4>
      </vt:variant>
      <vt:variant>
        <vt:i4>5</vt:i4>
      </vt:variant>
      <vt:variant>
        <vt:lpwstr/>
      </vt:variant>
      <vt:variant>
        <vt:lpwstr>_Toc32488952</vt:lpwstr>
      </vt:variant>
      <vt:variant>
        <vt:i4>1376314</vt:i4>
      </vt:variant>
      <vt:variant>
        <vt:i4>152</vt:i4>
      </vt:variant>
      <vt:variant>
        <vt:i4>0</vt:i4>
      </vt:variant>
      <vt:variant>
        <vt:i4>5</vt:i4>
      </vt:variant>
      <vt:variant>
        <vt:lpwstr/>
      </vt:variant>
      <vt:variant>
        <vt:lpwstr>_Toc32488951</vt:lpwstr>
      </vt:variant>
      <vt:variant>
        <vt:i4>1310778</vt:i4>
      </vt:variant>
      <vt:variant>
        <vt:i4>146</vt:i4>
      </vt:variant>
      <vt:variant>
        <vt:i4>0</vt:i4>
      </vt:variant>
      <vt:variant>
        <vt:i4>5</vt:i4>
      </vt:variant>
      <vt:variant>
        <vt:lpwstr/>
      </vt:variant>
      <vt:variant>
        <vt:lpwstr>_Toc32488950</vt:lpwstr>
      </vt:variant>
      <vt:variant>
        <vt:i4>1900603</vt:i4>
      </vt:variant>
      <vt:variant>
        <vt:i4>140</vt:i4>
      </vt:variant>
      <vt:variant>
        <vt:i4>0</vt:i4>
      </vt:variant>
      <vt:variant>
        <vt:i4>5</vt:i4>
      </vt:variant>
      <vt:variant>
        <vt:lpwstr/>
      </vt:variant>
      <vt:variant>
        <vt:lpwstr>_Toc32488949</vt:lpwstr>
      </vt:variant>
      <vt:variant>
        <vt:i4>1835067</vt:i4>
      </vt:variant>
      <vt:variant>
        <vt:i4>134</vt:i4>
      </vt:variant>
      <vt:variant>
        <vt:i4>0</vt:i4>
      </vt:variant>
      <vt:variant>
        <vt:i4>5</vt:i4>
      </vt:variant>
      <vt:variant>
        <vt:lpwstr/>
      </vt:variant>
      <vt:variant>
        <vt:lpwstr>_Toc32488948</vt:lpwstr>
      </vt:variant>
      <vt:variant>
        <vt:i4>1245243</vt:i4>
      </vt:variant>
      <vt:variant>
        <vt:i4>128</vt:i4>
      </vt:variant>
      <vt:variant>
        <vt:i4>0</vt:i4>
      </vt:variant>
      <vt:variant>
        <vt:i4>5</vt:i4>
      </vt:variant>
      <vt:variant>
        <vt:lpwstr/>
      </vt:variant>
      <vt:variant>
        <vt:lpwstr>_Toc32488947</vt:lpwstr>
      </vt:variant>
      <vt:variant>
        <vt:i4>1179707</vt:i4>
      </vt:variant>
      <vt:variant>
        <vt:i4>122</vt:i4>
      </vt:variant>
      <vt:variant>
        <vt:i4>0</vt:i4>
      </vt:variant>
      <vt:variant>
        <vt:i4>5</vt:i4>
      </vt:variant>
      <vt:variant>
        <vt:lpwstr/>
      </vt:variant>
      <vt:variant>
        <vt:lpwstr>_Toc32488946</vt:lpwstr>
      </vt:variant>
      <vt:variant>
        <vt:i4>1114171</vt:i4>
      </vt:variant>
      <vt:variant>
        <vt:i4>116</vt:i4>
      </vt:variant>
      <vt:variant>
        <vt:i4>0</vt:i4>
      </vt:variant>
      <vt:variant>
        <vt:i4>5</vt:i4>
      </vt:variant>
      <vt:variant>
        <vt:lpwstr/>
      </vt:variant>
      <vt:variant>
        <vt:lpwstr>_Toc32488945</vt:lpwstr>
      </vt:variant>
      <vt:variant>
        <vt:i4>1048635</vt:i4>
      </vt:variant>
      <vt:variant>
        <vt:i4>110</vt:i4>
      </vt:variant>
      <vt:variant>
        <vt:i4>0</vt:i4>
      </vt:variant>
      <vt:variant>
        <vt:i4>5</vt:i4>
      </vt:variant>
      <vt:variant>
        <vt:lpwstr/>
      </vt:variant>
      <vt:variant>
        <vt:lpwstr>_Toc32488944</vt:lpwstr>
      </vt:variant>
      <vt:variant>
        <vt:i4>1507387</vt:i4>
      </vt:variant>
      <vt:variant>
        <vt:i4>104</vt:i4>
      </vt:variant>
      <vt:variant>
        <vt:i4>0</vt:i4>
      </vt:variant>
      <vt:variant>
        <vt:i4>5</vt:i4>
      </vt:variant>
      <vt:variant>
        <vt:lpwstr/>
      </vt:variant>
      <vt:variant>
        <vt:lpwstr>_Toc32488943</vt:lpwstr>
      </vt:variant>
      <vt:variant>
        <vt:i4>1441851</vt:i4>
      </vt:variant>
      <vt:variant>
        <vt:i4>98</vt:i4>
      </vt:variant>
      <vt:variant>
        <vt:i4>0</vt:i4>
      </vt:variant>
      <vt:variant>
        <vt:i4>5</vt:i4>
      </vt:variant>
      <vt:variant>
        <vt:lpwstr/>
      </vt:variant>
      <vt:variant>
        <vt:lpwstr>_Toc32488942</vt:lpwstr>
      </vt:variant>
      <vt:variant>
        <vt:i4>1376315</vt:i4>
      </vt:variant>
      <vt:variant>
        <vt:i4>92</vt:i4>
      </vt:variant>
      <vt:variant>
        <vt:i4>0</vt:i4>
      </vt:variant>
      <vt:variant>
        <vt:i4>5</vt:i4>
      </vt:variant>
      <vt:variant>
        <vt:lpwstr/>
      </vt:variant>
      <vt:variant>
        <vt:lpwstr>_Toc32488941</vt:lpwstr>
      </vt:variant>
      <vt:variant>
        <vt:i4>1310779</vt:i4>
      </vt:variant>
      <vt:variant>
        <vt:i4>86</vt:i4>
      </vt:variant>
      <vt:variant>
        <vt:i4>0</vt:i4>
      </vt:variant>
      <vt:variant>
        <vt:i4>5</vt:i4>
      </vt:variant>
      <vt:variant>
        <vt:lpwstr/>
      </vt:variant>
      <vt:variant>
        <vt:lpwstr>_Toc32488940</vt:lpwstr>
      </vt:variant>
      <vt:variant>
        <vt:i4>1900604</vt:i4>
      </vt:variant>
      <vt:variant>
        <vt:i4>80</vt:i4>
      </vt:variant>
      <vt:variant>
        <vt:i4>0</vt:i4>
      </vt:variant>
      <vt:variant>
        <vt:i4>5</vt:i4>
      </vt:variant>
      <vt:variant>
        <vt:lpwstr/>
      </vt:variant>
      <vt:variant>
        <vt:lpwstr>_Toc32488939</vt:lpwstr>
      </vt:variant>
      <vt:variant>
        <vt:i4>1835068</vt:i4>
      </vt:variant>
      <vt:variant>
        <vt:i4>74</vt:i4>
      </vt:variant>
      <vt:variant>
        <vt:i4>0</vt:i4>
      </vt:variant>
      <vt:variant>
        <vt:i4>5</vt:i4>
      </vt:variant>
      <vt:variant>
        <vt:lpwstr/>
      </vt:variant>
      <vt:variant>
        <vt:lpwstr>_Toc32488938</vt:lpwstr>
      </vt:variant>
      <vt:variant>
        <vt:i4>1245244</vt:i4>
      </vt:variant>
      <vt:variant>
        <vt:i4>68</vt:i4>
      </vt:variant>
      <vt:variant>
        <vt:i4>0</vt:i4>
      </vt:variant>
      <vt:variant>
        <vt:i4>5</vt:i4>
      </vt:variant>
      <vt:variant>
        <vt:lpwstr/>
      </vt:variant>
      <vt:variant>
        <vt:lpwstr>_Toc32488937</vt:lpwstr>
      </vt:variant>
      <vt:variant>
        <vt:i4>1179708</vt:i4>
      </vt:variant>
      <vt:variant>
        <vt:i4>62</vt:i4>
      </vt:variant>
      <vt:variant>
        <vt:i4>0</vt:i4>
      </vt:variant>
      <vt:variant>
        <vt:i4>5</vt:i4>
      </vt:variant>
      <vt:variant>
        <vt:lpwstr/>
      </vt:variant>
      <vt:variant>
        <vt:lpwstr>_Toc32488936</vt:lpwstr>
      </vt:variant>
      <vt:variant>
        <vt:i4>1114172</vt:i4>
      </vt:variant>
      <vt:variant>
        <vt:i4>56</vt:i4>
      </vt:variant>
      <vt:variant>
        <vt:i4>0</vt:i4>
      </vt:variant>
      <vt:variant>
        <vt:i4>5</vt:i4>
      </vt:variant>
      <vt:variant>
        <vt:lpwstr/>
      </vt:variant>
      <vt:variant>
        <vt:lpwstr>_Toc32488935</vt:lpwstr>
      </vt:variant>
      <vt:variant>
        <vt:i4>1048636</vt:i4>
      </vt:variant>
      <vt:variant>
        <vt:i4>50</vt:i4>
      </vt:variant>
      <vt:variant>
        <vt:i4>0</vt:i4>
      </vt:variant>
      <vt:variant>
        <vt:i4>5</vt:i4>
      </vt:variant>
      <vt:variant>
        <vt:lpwstr/>
      </vt:variant>
      <vt:variant>
        <vt:lpwstr>_Toc32488934</vt:lpwstr>
      </vt:variant>
      <vt:variant>
        <vt:i4>1507388</vt:i4>
      </vt:variant>
      <vt:variant>
        <vt:i4>44</vt:i4>
      </vt:variant>
      <vt:variant>
        <vt:i4>0</vt:i4>
      </vt:variant>
      <vt:variant>
        <vt:i4>5</vt:i4>
      </vt:variant>
      <vt:variant>
        <vt:lpwstr/>
      </vt:variant>
      <vt:variant>
        <vt:lpwstr>_Toc32488933</vt:lpwstr>
      </vt:variant>
      <vt:variant>
        <vt:i4>1441852</vt:i4>
      </vt:variant>
      <vt:variant>
        <vt:i4>38</vt:i4>
      </vt:variant>
      <vt:variant>
        <vt:i4>0</vt:i4>
      </vt:variant>
      <vt:variant>
        <vt:i4>5</vt:i4>
      </vt:variant>
      <vt:variant>
        <vt:lpwstr/>
      </vt:variant>
      <vt:variant>
        <vt:lpwstr>_Toc32488932</vt:lpwstr>
      </vt:variant>
      <vt:variant>
        <vt:i4>1376316</vt:i4>
      </vt:variant>
      <vt:variant>
        <vt:i4>32</vt:i4>
      </vt:variant>
      <vt:variant>
        <vt:i4>0</vt:i4>
      </vt:variant>
      <vt:variant>
        <vt:i4>5</vt:i4>
      </vt:variant>
      <vt:variant>
        <vt:lpwstr/>
      </vt:variant>
      <vt:variant>
        <vt:lpwstr>_Toc32488931</vt:lpwstr>
      </vt:variant>
      <vt:variant>
        <vt:i4>1310780</vt:i4>
      </vt:variant>
      <vt:variant>
        <vt:i4>26</vt:i4>
      </vt:variant>
      <vt:variant>
        <vt:i4>0</vt:i4>
      </vt:variant>
      <vt:variant>
        <vt:i4>5</vt:i4>
      </vt:variant>
      <vt:variant>
        <vt:lpwstr/>
      </vt:variant>
      <vt:variant>
        <vt:lpwstr>_Toc32488930</vt:lpwstr>
      </vt:variant>
      <vt:variant>
        <vt:i4>1900605</vt:i4>
      </vt:variant>
      <vt:variant>
        <vt:i4>20</vt:i4>
      </vt:variant>
      <vt:variant>
        <vt:i4>0</vt:i4>
      </vt:variant>
      <vt:variant>
        <vt:i4>5</vt:i4>
      </vt:variant>
      <vt:variant>
        <vt:lpwstr/>
      </vt:variant>
      <vt:variant>
        <vt:lpwstr>_Toc32488929</vt:lpwstr>
      </vt:variant>
      <vt:variant>
        <vt:i4>1835069</vt:i4>
      </vt:variant>
      <vt:variant>
        <vt:i4>14</vt:i4>
      </vt:variant>
      <vt:variant>
        <vt:i4>0</vt:i4>
      </vt:variant>
      <vt:variant>
        <vt:i4>5</vt:i4>
      </vt:variant>
      <vt:variant>
        <vt:lpwstr/>
      </vt:variant>
      <vt:variant>
        <vt:lpwstr>_Toc32488928</vt:lpwstr>
      </vt:variant>
      <vt:variant>
        <vt:i4>1245245</vt:i4>
      </vt:variant>
      <vt:variant>
        <vt:i4>8</vt:i4>
      </vt:variant>
      <vt:variant>
        <vt:i4>0</vt:i4>
      </vt:variant>
      <vt:variant>
        <vt:i4>5</vt:i4>
      </vt:variant>
      <vt:variant>
        <vt:lpwstr/>
      </vt:variant>
      <vt:variant>
        <vt:lpwstr>_Toc32488927</vt:lpwstr>
      </vt:variant>
      <vt:variant>
        <vt:i4>1179709</vt:i4>
      </vt:variant>
      <vt:variant>
        <vt:i4>2</vt:i4>
      </vt:variant>
      <vt:variant>
        <vt:i4>0</vt:i4>
      </vt:variant>
      <vt:variant>
        <vt:i4>5</vt:i4>
      </vt:variant>
      <vt:variant>
        <vt:lpwstr/>
      </vt:variant>
      <vt:variant>
        <vt:lpwstr>_Toc32488926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Francois</dc:creator>
  <cp:keywords/>
  <dc:description/>
  <cp:lastModifiedBy>WEBLEX - Julie MICHEL</cp:lastModifiedBy>
  <cp:revision>936</cp:revision>
  <cp:lastPrinted>2018-11-30T10:39:00Z</cp:lastPrinted>
  <dcterms:created xsi:type="dcterms:W3CDTF">2018-12-03T14:40:00Z</dcterms:created>
  <dcterms:modified xsi:type="dcterms:W3CDTF">2021-06-15T10:08:00Z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0x01010047B04A2B76A9AB4FB4E0E26401896372</vt:lpwstr>
  </property>
  <property fmtid="{D5CDD505-2E9C-101B-9397-08002B2CF9AE}" pid="3" name="Order">
    <vt:r8>916200</vt:r8>
  </property>
</Properties>
</file>